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化妆品生产许可“证照分离”改革措施</w:t>
      </w:r>
    </w:p>
    <w:p>
      <w:pPr>
        <w:spacing w:line="579" w:lineRule="exact"/>
        <w:rPr>
          <w:rFonts w:ascii="宋体" w:hAnsi="宋体"/>
          <w:b/>
        </w:rPr>
      </w:pPr>
    </w:p>
    <w:p>
      <w:pPr>
        <w:spacing w:line="579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根据《江西省人民政府关于在全省推开“证照分离”改革的通知》（赣府发</w:t>
      </w:r>
      <w:r>
        <w:rPr>
          <w:rFonts w:hint="eastAsia" w:ascii="宋体" w:hAnsi="宋体" w:cs="宋体"/>
          <w:szCs w:val="32"/>
        </w:rPr>
        <w:t>〔</w:t>
      </w:r>
      <w:r>
        <w:rPr>
          <w:rFonts w:hint="eastAsia" w:ascii="仿宋_GB2312" w:hAnsi="仿宋_GB2312" w:cs="仿宋_GB2312"/>
          <w:szCs w:val="32"/>
        </w:rPr>
        <w:t>2018</w:t>
      </w:r>
      <w:r>
        <w:rPr>
          <w:rFonts w:hint="eastAsia" w:ascii="宋体" w:hAnsi="宋体" w:cs="宋体"/>
          <w:szCs w:val="32"/>
        </w:rPr>
        <w:t>〕</w:t>
      </w:r>
      <w:r>
        <w:rPr>
          <w:rFonts w:hint="eastAsia" w:ascii="仿宋_GB2312" w:hAnsi="仿宋_GB2312" w:cs="仿宋_GB2312"/>
          <w:szCs w:val="32"/>
        </w:rPr>
        <w:t>40号）精神，从五个方面对化妆品生产许可进行优化服务，具体如下：</w:t>
      </w:r>
    </w:p>
    <w:p>
      <w:pPr>
        <w:spacing w:line="579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一、全面推行网上业务办理</w:t>
      </w:r>
    </w:p>
    <w:p>
      <w:pPr>
        <w:spacing w:line="579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全面推行网上业务办理，使用国家药监局“化妆品生产许可信息管理系统”接受群众网上申请许可业务。同时，在江西政务服务网上开辟申请入口，实现全程网上办理。在现场受理群众书面许可申请时，不得拒绝受理纸质申请材料。通过各种媒体宣传、网站、办证大厅公示等方式告知群众网上申办化妆品许可的具体方法、步骤、许可审批程序、受理条件、时限等。</w:t>
      </w:r>
    </w:p>
    <w:p>
      <w:pPr>
        <w:spacing w:line="579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二、压缩审批时限</w:t>
      </w:r>
    </w:p>
    <w:p>
      <w:pPr>
        <w:spacing w:line="579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完善工作流程，缩短审批时限，对办事指南进行全面修改，将法定审批时限压缩三分之一，使生产企业开办申请由60个工作日缩减至40个工作日。</w:t>
      </w:r>
    </w:p>
    <w:p>
      <w:pPr>
        <w:spacing w:line="579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三、精简审批材料</w:t>
      </w:r>
    </w:p>
    <w:p>
      <w:pPr>
        <w:spacing w:line="579" w:lineRule="exact"/>
        <w:ind w:firstLine="640" w:firstLineChars="200"/>
        <w:rPr>
          <w:rFonts w:ascii="宋体" w:hAnsi="宋体"/>
          <w:szCs w:val="32"/>
        </w:rPr>
      </w:pPr>
      <w:r>
        <w:rPr>
          <w:rFonts w:hint="eastAsia" w:ascii="仿宋_GB2312" w:hAnsi="仿宋_GB2312" w:cs="仿宋_GB2312"/>
          <w:szCs w:val="32"/>
        </w:rPr>
        <w:t>利用政府统一数据共享交换平台，优化准入服务，精简审批材料，在许可申请受理材料中，不再要求申请人提供营业执照、法定代表人或负责人身份证明复印件等材料，所需材料由受理工作人员通过江西省食品药品数据资源平台“数据核查”板块功能在线获取核验，确实无法查询到的，主动服务并做好解释工作。</w:t>
      </w:r>
    </w:p>
    <w:p>
      <w:pPr>
        <w:spacing w:line="579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四、公开办事指南</w:t>
      </w:r>
    </w:p>
    <w:p>
      <w:pPr>
        <w:autoSpaceDE w:val="0"/>
        <w:spacing w:line="579" w:lineRule="exact"/>
        <w:ind w:firstLine="63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公开行政审批事项办事指南，公开办理流程、受理条件、办理材料及标准、办理进度等，对拟批准的化妆品生产许可事项进行公示，审批结果及时公开，方便公众查询。以上内容可在江西省药品监督管理局网站“办事指南”“政务公开”“数据查询”等栏目在线获取。同时，企业通过国家药监局“化妆品生产许可信息管理系统”，可随时查询办理进度。</w:t>
      </w:r>
    </w:p>
    <w:p>
      <w:pPr>
        <w:spacing w:line="579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五、加强事中事后监管</w:t>
      </w:r>
    </w:p>
    <w:p>
      <w:pPr>
        <w:spacing w:line="579" w:lineRule="exact"/>
        <w:ind w:firstLine="640" w:firstLineChars="2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（一）严格落实《化妆品卫生监督条例》、《化妆品卫生监督条例实施细则》有关监管要求，定期开展日常监督检查、专项检查，完成相应的检查内容、检查频次。</w:t>
      </w:r>
    </w:p>
    <w:p>
      <w:pPr>
        <w:spacing w:line="579" w:lineRule="exact"/>
        <w:ind w:firstLine="640" w:firstLineChars="2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（二）开展飞行检查。每年完成飞行检查的企业数不少于企业总数的30%，原则上每家企业3年内至少飞行检查一次。针对高风险企业，加大检查频次、加强检查力度。</w:t>
      </w:r>
    </w:p>
    <w:p>
      <w:pPr>
        <w:spacing w:line="579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（三）加强社会共治促进企业自律。鼓励群众和企业举报投诉，对举报投诉较多的企业进行重点管理，对实名举报进行一一核实，检查覆盖率100%，对上级交办的案件落实率100%。</w:t>
      </w:r>
      <w:r>
        <w:rPr>
          <w:rFonts w:ascii="仿宋_GB2312"/>
          <w:szCs w:val="32"/>
        </w:rPr>
        <w:t>支持行业协会研究制定自律规约，充分发挥自律作用</w:t>
      </w:r>
      <w:r>
        <w:rPr>
          <w:rFonts w:hint="eastAsia" w:ascii="仿宋_GB2312"/>
          <w:szCs w:val="32"/>
        </w:rPr>
        <w:t>，</w:t>
      </w:r>
      <w:r>
        <w:rPr>
          <w:rFonts w:ascii="仿宋_GB2312"/>
          <w:szCs w:val="32"/>
        </w:rPr>
        <w:t>积极规范会员企业生产经营行为，引导经营者依法竞争，自觉维护市场竞争秩序。</w:t>
      </w:r>
    </w:p>
    <w:p>
      <w:pPr>
        <w:spacing w:line="579" w:lineRule="exact"/>
        <w:rPr>
          <w:rFonts w:hint="eastAsia" w:ascii="仿宋_GB2312"/>
          <w:szCs w:val="32"/>
        </w:rPr>
      </w:pPr>
      <w:bookmarkStart w:id="0" w:name="_GoBack"/>
      <w:bookmarkEnd w:id="0"/>
      <w:r>
        <w:rPr>
          <w:rFonts w:hint="eastAsia" w:ascii="仿宋_GB2312"/>
          <w:szCs w:val="32"/>
        </w:rPr>
        <w:t xml:space="preserve">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58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90376"/>
      <w:docPartObj>
        <w:docPartGallery w:val="autotext"/>
      </w:docPartObj>
    </w:sdtPr>
    <w:sdtEndPr>
      <w:rPr>
        <w:rFonts w:hint="eastAsia" w:ascii="仿宋_GB2312"/>
        <w:sz w:val="28"/>
        <w:szCs w:val="28"/>
      </w:rPr>
    </w:sdtEndPr>
    <w:sdtContent>
      <w:p>
        <w:pPr>
          <w:pStyle w:val="8"/>
          <w:ind w:firstLine="360" w:firstLineChars="200"/>
          <w:jc w:val="right"/>
          <w:rPr>
            <w:rFonts w:ascii="仿宋_GB2312"/>
            <w:sz w:val="28"/>
            <w:szCs w:val="28"/>
          </w:rPr>
        </w:pPr>
        <w:r>
          <w:rPr>
            <w:rFonts w:hint="eastAsia" w:ascii="仿宋_GB2312"/>
            <w:sz w:val="28"/>
            <w:szCs w:val="28"/>
          </w:rPr>
          <w:t xml:space="preserve">— </w:t>
        </w:r>
        <w:r>
          <w:rPr>
            <w:rFonts w:hint="eastAsia" w:ascii="仿宋_GB2312"/>
            <w:sz w:val="28"/>
            <w:szCs w:val="28"/>
          </w:rPr>
          <w:fldChar w:fldCharType="begin"/>
        </w:r>
        <w:r>
          <w:rPr>
            <w:rFonts w:hint="eastAsia" w:ascii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  <w:lang w:val="zh-CN"/>
          </w:rPr>
          <w:t>72</w:t>
        </w:r>
        <w:r>
          <w:rPr>
            <w:rFonts w:hint="eastAsia"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90431"/>
      <w:docPartObj>
        <w:docPartGallery w:val="autotext"/>
      </w:docPartObj>
    </w:sdtPr>
    <w:sdtContent>
      <w:p>
        <w:pPr>
          <w:pStyle w:val="8"/>
          <w:widowControl/>
          <w:numPr>
            <w:ilvl w:val="0"/>
            <w:numId w:val="1"/>
          </w:numPr>
          <w:adjustRightInd w:val="0"/>
        </w:pPr>
        <w:r>
          <w:rPr>
            <w:rFonts w:hint="eastAsia" w:ascii="仿宋_GB2312"/>
            <w:sz w:val="28"/>
            <w:szCs w:val="28"/>
          </w:rPr>
          <w:fldChar w:fldCharType="begin"/>
        </w:r>
        <w:r>
          <w:rPr>
            <w:rFonts w:hint="eastAsia" w:ascii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  <w:lang w:val="zh-CN"/>
          </w:rPr>
          <w:t>2</w:t>
        </w:r>
        <w:r>
          <w:rPr>
            <w:rFonts w:hint="eastAsia"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4CC"/>
    <w:multiLevelType w:val="multilevel"/>
    <w:tmpl w:val="046374CC"/>
    <w:lvl w:ilvl="0" w:tentative="0">
      <w:start w:val="2"/>
      <w:numFmt w:val="bullet"/>
      <w:pStyle w:val="10"/>
      <w:lvlText w:val="—"/>
      <w:lvlJc w:val="left"/>
      <w:pPr>
        <w:ind w:left="360" w:hanging="360"/>
      </w:pPr>
      <w:rPr>
        <w:rFonts w:hint="eastAsia" w:ascii="仿宋_GB2312" w:hAnsi="Tahoma" w:eastAsia="仿宋_GB2312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01A"/>
    <w:rsid w:val="0002748A"/>
    <w:rsid w:val="000F26AB"/>
    <w:rsid w:val="0018601A"/>
    <w:rsid w:val="001B1D87"/>
    <w:rsid w:val="002B1AB8"/>
    <w:rsid w:val="00343B87"/>
    <w:rsid w:val="00352F7F"/>
    <w:rsid w:val="00382272"/>
    <w:rsid w:val="00385EF4"/>
    <w:rsid w:val="0051481C"/>
    <w:rsid w:val="005F311F"/>
    <w:rsid w:val="007B414F"/>
    <w:rsid w:val="007F6B6D"/>
    <w:rsid w:val="00832987"/>
    <w:rsid w:val="008E6BBB"/>
    <w:rsid w:val="009F146D"/>
    <w:rsid w:val="00B33BE8"/>
    <w:rsid w:val="00B37AA9"/>
    <w:rsid w:val="00BB6A6C"/>
    <w:rsid w:val="00BC4DEB"/>
    <w:rsid w:val="00D12076"/>
    <w:rsid w:val="00E0751F"/>
    <w:rsid w:val="00EA338C"/>
    <w:rsid w:val="00EC75DD"/>
    <w:rsid w:val="00F27324"/>
    <w:rsid w:val="00F973EE"/>
    <w:rsid w:val="15573FA0"/>
    <w:rsid w:val="1E0C02A8"/>
    <w:rsid w:val="1F266157"/>
    <w:rsid w:val="3E7F2560"/>
    <w:rsid w:val="529D677F"/>
    <w:rsid w:val="782C5DA0"/>
    <w:rsid w:val="792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nhideWhenUsed="0" w:uiPriority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方正小标宋简体" w:cs="Times New Roman"/>
      <w:b/>
      <w:bCs/>
      <w:sz w:val="4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2"/>
    <w:semiHidden/>
    <w:qFormat/>
    <w:uiPriority w:val="0"/>
    <w:rPr>
      <w:b/>
      <w:bCs/>
    </w:rPr>
  </w:style>
  <w:style w:type="paragraph" w:styleId="6">
    <w:name w:val="annotation text"/>
    <w:basedOn w:val="1"/>
    <w:link w:val="21"/>
    <w:semiHidden/>
    <w:qFormat/>
    <w:uiPriority w:val="0"/>
    <w:pPr>
      <w:jc w:val="left"/>
    </w:pPr>
    <w:rPr>
      <w:rFonts w:ascii="Times New Roman" w:hAnsi="Times New Roman" w:cs="Times New Roman"/>
      <w:szCs w:val="24"/>
    </w:rPr>
  </w:style>
  <w:style w:type="paragraph" w:styleId="7">
    <w:name w:val="Balloon Text"/>
    <w:basedOn w:val="1"/>
    <w:link w:val="23"/>
    <w:semiHidden/>
    <w:qFormat/>
    <w:uiPriority w:val="0"/>
    <w:rPr>
      <w:rFonts w:ascii="Times New Roman" w:hAnsi="Times New Roman" w:cs="Times New Roman"/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4"/>
    <w:unhideWhenUsed/>
    <w:qFormat/>
    <w:uiPriority w:val="99"/>
    <w:pPr>
      <w:numPr>
        <w:ilvl w:val="0"/>
        <w:numId w:val="1"/>
      </w:numPr>
      <w:tabs>
        <w:tab w:val="left" w:pos="0"/>
      </w:tabs>
      <w:snapToGrid w:val="0"/>
      <w:jc w:val="left"/>
    </w:pPr>
    <w:rPr>
      <w:rFonts w:ascii="宋体" w:hAnsi="Calibri" w:eastAsia="宋体" w:cs="Times New Roman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2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标题 3 Char"/>
    <w:basedOn w:val="12"/>
    <w:link w:val="4"/>
    <w:qFormat/>
    <w:uiPriority w:val="0"/>
    <w:rPr>
      <w:rFonts w:ascii="Times New Roman" w:hAnsi="Times New Roman" w:eastAsia="方正小标宋简体" w:cs="Times New Roman"/>
      <w:b/>
      <w:bCs/>
      <w:sz w:val="42"/>
      <w:szCs w:val="32"/>
    </w:rPr>
  </w:style>
  <w:style w:type="character" w:customStyle="1" w:styleId="21">
    <w:name w:val="批注文字 Char"/>
    <w:basedOn w:val="12"/>
    <w:link w:val="6"/>
    <w:semiHidden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22">
    <w:name w:val="批注主题 Char"/>
    <w:basedOn w:val="21"/>
    <w:link w:val="5"/>
    <w:semiHidden/>
    <w:qFormat/>
    <w:uiPriority w:val="0"/>
    <w:rPr>
      <w:b/>
      <w:bCs/>
    </w:rPr>
  </w:style>
  <w:style w:type="character" w:customStyle="1" w:styleId="23">
    <w:name w:val="批注框文本 Char"/>
    <w:basedOn w:val="12"/>
    <w:link w:val="7"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24">
    <w:name w:val="脚注文本 Char"/>
    <w:basedOn w:val="12"/>
    <w:link w:val="10"/>
    <w:qFormat/>
    <w:uiPriority w:val="99"/>
    <w:rPr>
      <w:rFonts w:ascii="宋体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72</Pages>
  <Words>14031</Words>
  <Characters>14313</Characters>
  <Lines>1022</Lines>
  <Paragraphs>726</Paragraphs>
  <TotalTime>1</TotalTime>
  <ScaleCrop>false</ScaleCrop>
  <LinksUpToDate>false</LinksUpToDate>
  <CharactersWithSpaces>27618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2018-09-30T01:40:00Z</dcterms:created>
  <dc:creator>陈宏</dc:creator>
  <cp:lastModifiedBy>郭波</cp:lastModifiedBy>
  <dcterms:modified xsi:type="dcterms:W3CDTF">2018-12-29T01:43:34Z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