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国产药品再注册审批“证照分离”改革措施</w:t>
      </w:r>
    </w:p>
    <w:p>
      <w:pPr>
        <w:widowControl/>
        <w:spacing w:line="579" w:lineRule="exact"/>
        <w:ind w:firstLine="640" w:firstLineChars="200"/>
        <w:rPr>
          <w:rFonts w:hint="eastAsia" w:ascii="仿宋_GB2312" w:hAnsi="仿宋_GB2312" w:cs="仿宋_GB2312"/>
          <w:szCs w:val="32"/>
        </w:rPr>
      </w:pPr>
    </w:p>
    <w:p>
      <w:pPr>
        <w:widowControl/>
        <w:spacing w:line="579" w:lineRule="exact"/>
        <w:ind w:firstLine="640" w:firstLineChars="200"/>
        <w:rPr>
          <w:rFonts w:hint="eastAsia" w:ascii="方正小标宋简体" w:hAnsi="方正小标宋简体" w:eastAsia="方正小标宋简体" w:cs="方正小标宋简体"/>
          <w:sz w:val="36"/>
          <w:szCs w:val="36"/>
        </w:rPr>
      </w:pPr>
      <w:r>
        <w:rPr>
          <w:rFonts w:hint="eastAsia" w:ascii="仿宋_GB2312" w:hAnsi="仿宋_GB2312" w:cs="仿宋_GB2312"/>
          <w:szCs w:val="32"/>
        </w:rPr>
        <w:t>根据《江西省人民政府关于在全省推开“证照分离”改革的通知》（赣府发</w:t>
      </w:r>
      <w:r>
        <w:rPr>
          <w:rFonts w:hint="eastAsia" w:ascii="宋体" w:hAnsi="宋体" w:cs="宋体"/>
          <w:szCs w:val="32"/>
        </w:rPr>
        <w:t>〔</w:t>
      </w:r>
      <w:r>
        <w:rPr>
          <w:rFonts w:hint="eastAsia" w:ascii="仿宋_GB2312" w:hAnsi="仿宋_GB2312" w:cs="仿宋_GB2312"/>
          <w:szCs w:val="32"/>
        </w:rPr>
        <w:t>2018</w:t>
      </w:r>
      <w:r>
        <w:rPr>
          <w:rFonts w:hint="eastAsia" w:ascii="宋体" w:hAnsi="宋体" w:cs="宋体"/>
          <w:szCs w:val="32"/>
        </w:rPr>
        <w:t>〕</w:t>
      </w:r>
      <w:r>
        <w:rPr>
          <w:rFonts w:hint="eastAsia" w:ascii="仿宋_GB2312" w:hAnsi="仿宋_GB2312" w:cs="仿宋_GB2312"/>
          <w:szCs w:val="32"/>
        </w:rPr>
        <w:t>40号）精神，从五个方面对药品再注册审批进行优化服务，具体如下：</w:t>
      </w:r>
    </w:p>
    <w:p>
      <w:pPr>
        <w:spacing w:line="579" w:lineRule="exact"/>
        <w:ind w:firstLine="640" w:firstLineChars="200"/>
        <w:jc w:val="left"/>
        <w:rPr>
          <w:rFonts w:ascii="黑体" w:hAnsi="黑体" w:eastAsia="黑体" w:cs="黑体"/>
          <w:szCs w:val="32"/>
        </w:rPr>
      </w:pPr>
      <w:r>
        <w:rPr>
          <w:rFonts w:hint="eastAsia" w:ascii="黑体" w:hAnsi="黑体" w:eastAsia="黑体" w:cs="黑体"/>
          <w:szCs w:val="32"/>
        </w:rPr>
        <w:t>一、推广网上业务办理</w:t>
      </w:r>
    </w:p>
    <w:p>
      <w:pPr>
        <w:spacing w:line="579" w:lineRule="exact"/>
        <w:ind w:firstLine="640" w:firstLineChars="200"/>
        <w:jc w:val="left"/>
        <w:rPr>
          <w:rFonts w:ascii="黑体" w:hAnsi="黑体" w:eastAsia="黑体" w:cs="黑体"/>
          <w:szCs w:val="32"/>
        </w:rPr>
      </w:pPr>
      <w:r>
        <w:rPr>
          <w:rFonts w:hint="eastAsia" w:ascii="仿宋_GB2312"/>
          <w:szCs w:val="32"/>
        </w:rPr>
        <w:t>根据“证照分离”的要求，组织人员理顺权力清单、责任清单，编制行政服务事项及相应案例，建立行政许可标准化文本，修订办事指南。为方便企业办事，建立网上申报系统、电子审批系统，企业可通过网络提交材料。</w:t>
      </w:r>
      <w:r>
        <w:rPr>
          <w:rFonts w:hint="eastAsia" w:ascii="方正小标宋简体" w:eastAsia="方正小标宋简体"/>
          <w:szCs w:val="32"/>
        </w:rPr>
        <w:br w:type="textWrapping"/>
      </w:r>
      <w:r>
        <w:rPr>
          <w:rFonts w:hint="eastAsia" w:ascii="方正小标宋简体" w:eastAsia="方正小标宋简体"/>
          <w:szCs w:val="32"/>
        </w:rPr>
        <w:t xml:space="preserve">   </w:t>
      </w:r>
      <w:r>
        <w:rPr>
          <w:rFonts w:hint="eastAsia" w:ascii="黑体" w:hAnsi="黑体" w:eastAsia="黑体" w:cs="黑体"/>
          <w:szCs w:val="32"/>
        </w:rPr>
        <w:t xml:space="preserve"> 二、进一步优化服务，提高工作效率</w:t>
      </w:r>
    </w:p>
    <w:p>
      <w:pPr>
        <w:spacing w:line="579" w:lineRule="exact"/>
        <w:ind w:firstLine="640" w:firstLineChars="200"/>
        <w:jc w:val="left"/>
        <w:rPr>
          <w:rFonts w:hint="eastAsia" w:ascii="仿宋_GB2312"/>
          <w:szCs w:val="32"/>
        </w:rPr>
      </w:pPr>
      <w:r>
        <w:rPr>
          <w:rFonts w:hint="eastAsia" w:ascii="仿宋_GB2312"/>
          <w:szCs w:val="32"/>
        </w:rPr>
        <w:t>为进一步优化服务，提高工作效率，降低企业时间成本。开通QQ、微信群咨询通道、预约办理。对于重点企业、重点项目、重点品种开通绿色通道，“即到即审、即过即发”。</w:t>
      </w:r>
    </w:p>
    <w:p>
      <w:pPr>
        <w:spacing w:line="579" w:lineRule="exact"/>
        <w:jc w:val="left"/>
        <w:rPr>
          <w:rFonts w:ascii="方正小标宋简体" w:eastAsia="方正小标宋简体"/>
          <w:szCs w:val="32"/>
        </w:rPr>
      </w:pPr>
      <w:r>
        <w:rPr>
          <w:rFonts w:hint="eastAsia" w:ascii="方正小标宋简体" w:eastAsia="方正小标宋简体"/>
          <w:szCs w:val="32"/>
        </w:rPr>
        <w:t xml:space="preserve">  </w:t>
      </w:r>
      <w:r>
        <w:rPr>
          <w:rFonts w:hint="eastAsia" w:ascii="黑体" w:hAnsi="黑体" w:eastAsia="黑体" w:cs="黑体"/>
          <w:szCs w:val="32"/>
        </w:rPr>
        <w:t xml:space="preserve">  三、精简审批材料，在线获取核验营业执照等材料</w:t>
      </w:r>
    </w:p>
    <w:p>
      <w:pPr>
        <w:widowControl/>
        <w:spacing w:line="579" w:lineRule="exact"/>
        <w:ind w:firstLine="640" w:firstLineChars="200"/>
        <w:jc w:val="left"/>
        <w:rPr>
          <w:rFonts w:ascii="仿宋_GB2312"/>
          <w:szCs w:val="32"/>
        </w:rPr>
      </w:pPr>
      <w:r>
        <w:rPr>
          <w:rFonts w:hint="eastAsia" w:ascii="仿宋_GB2312" w:hAnsi="仿宋_GB2312" w:cs="仿宋_GB2312"/>
          <w:szCs w:val="32"/>
        </w:rPr>
        <w:t>利用政府统一数据共享交换平台，优化准入服务，精简审批材料，在许可申请受理材料中，不再要求申请人提供</w:t>
      </w:r>
      <w:r>
        <w:rPr>
          <w:rFonts w:hint="eastAsia" w:ascii="仿宋_GB2312"/>
          <w:szCs w:val="32"/>
        </w:rPr>
        <w:t>营业执照复印件</w:t>
      </w:r>
      <w:r>
        <w:rPr>
          <w:rFonts w:hint="eastAsia" w:ascii="仿宋_GB2312" w:hAnsi="仿宋_GB2312" w:cs="仿宋_GB2312"/>
          <w:szCs w:val="32"/>
        </w:rPr>
        <w:t>，由受理工作人员通过江西省食品药品数据资源平台“数据核查”板块功能在线获取核验。确实无法查询到的，主动服务并做好解释工作。</w:t>
      </w:r>
      <w:r>
        <w:rPr>
          <w:rFonts w:hint="eastAsia" w:ascii="仿宋_GB2312"/>
          <w:szCs w:val="32"/>
        </w:rPr>
        <w:t>修订后办事指南申请材料目录如下：</w:t>
      </w:r>
    </w:p>
    <w:p>
      <w:pPr>
        <w:spacing w:line="579" w:lineRule="exact"/>
        <w:ind w:firstLine="640" w:firstLineChars="200"/>
        <w:rPr>
          <w:rFonts w:hint="eastAsia" w:ascii="仿宋_GB2312"/>
          <w:szCs w:val="32"/>
        </w:rPr>
      </w:pPr>
      <w:r>
        <w:rPr>
          <w:rFonts w:hint="eastAsia" w:ascii="仿宋_GB2312"/>
          <w:szCs w:val="32"/>
        </w:rPr>
        <w:t>1.药品再注册申请表。</w:t>
      </w:r>
    </w:p>
    <w:p>
      <w:pPr>
        <w:spacing w:line="579" w:lineRule="exact"/>
        <w:ind w:firstLine="640" w:firstLineChars="200"/>
        <w:rPr>
          <w:rFonts w:hint="eastAsia" w:ascii="仿宋_GB2312"/>
          <w:szCs w:val="32"/>
        </w:rPr>
      </w:pPr>
      <w:r>
        <w:rPr>
          <w:rFonts w:hint="eastAsia" w:ascii="仿宋_GB2312"/>
          <w:szCs w:val="32"/>
        </w:rPr>
        <w:t>2.证明性文件（包括药品批准证明文件及药品监督管理部门批准变更的文件、《药品生产许可证》复印件、《药品生产质量管理规范》认证证书复印件、营业执照复印件。其中，营业执照复印件不需企业提供，相关信息在线获取核验。）</w:t>
      </w:r>
    </w:p>
    <w:p>
      <w:pPr>
        <w:spacing w:line="579" w:lineRule="exact"/>
        <w:ind w:firstLine="640" w:firstLineChars="200"/>
        <w:rPr>
          <w:rFonts w:hint="eastAsia" w:ascii="仿宋_GB2312"/>
          <w:szCs w:val="32"/>
        </w:rPr>
      </w:pPr>
      <w:r>
        <w:rPr>
          <w:rFonts w:hint="eastAsia" w:ascii="仿宋_GB2312"/>
          <w:szCs w:val="32"/>
        </w:rPr>
        <w:t>3.五年内生产、销售、抽验情况总结，对产品不合格情况应作出说明。</w:t>
      </w:r>
    </w:p>
    <w:p>
      <w:pPr>
        <w:spacing w:line="579" w:lineRule="exact"/>
        <w:ind w:firstLine="640" w:firstLineChars="200"/>
        <w:rPr>
          <w:rFonts w:hint="eastAsia" w:ascii="仿宋_GB2312"/>
          <w:szCs w:val="32"/>
        </w:rPr>
      </w:pPr>
      <w:r>
        <w:rPr>
          <w:rFonts w:hint="eastAsia" w:ascii="仿宋_GB2312"/>
          <w:szCs w:val="32"/>
        </w:rPr>
        <w:t>4.五年内药品临床使用情况及不良反应情况总结。</w:t>
      </w:r>
    </w:p>
    <w:p>
      <w:pPr>
        <w:spacing w:line="579" w:lineRule="exact"/>
        <w:ind w:firstLine="640" w:firstLineChars="200"/>
        <w:rPr>
          <w:rFonts w:hint="eastAsia" w:ascii="仿宋_GB2312"/>
          <w:szCs w:val="32"/>
        </w:rPr>
      </w:pPr>
      <w:r>
        <w:rPr>
          <w:rFonts w:hint="eastAsia" w:ascii="仿宋_GB2312"/>
          <w:szCs w:val="32"/>
        </w:rPr>
        <w:t>5.有关工作完成情况（包括药品批准证明文件或者再注册批准文件中要求继续完成的工作、首次申请再注册药品需要进行IV期临床试验的总结报告、首次申请再注册药品有新药监测期的监测情况报告）。</w:t>
      </w:r>
    </w:p>
    <w:p>
      <w:pPr>
        <w:spacing w:line="579" w:lineRule="exact"/>
        <w:ind w:firstLine="640" w:firstLineChars="200"/>
        <w:rPr>
          <w:rFonts w:hint="eastAsia" w:ascii="仿宋_GB2312"/>
          <w:szCs w:val="32"/>
        </w:rPr>
      </w:pPr>
      <w:r>
        <w:rPr>
          <w:rFonts w:hint="eastAsia" w:ascii="仿宋_GB2312"/>
          <w:szCs w:val="32"/>
        </w:rPr>
        <w:t>6.提供药品处方、生产工艺、药品标准。凡药品处方、生产工艺、药品标准与上次注册内容有改变的，应当注明具体改变内容，并提供批准证明文件。</w:t>
      </w:r>
    </w:p>
    <w:p>
      <w:pPr>
        <w:spacing w:line="579" w:lineRule="exact"/>
        <w:ind w:firstLine="640" w:firstLineChars="200"/>
        <w:rPr>
          <w:rFonts w:hint="eastAsia" w:ascii="仿宋_GB2312"/>
          <w:szCs w:val="32"/>
        </w:rPr>
      </w:pPr>
      <w:r>
        <w:rPr>
          <w:rFonts w:hint="eastAsia" w:ascii="仿宋_GB2312"/>
          <w:szCs w:val="32"/>
        </w:rPr>
        <w:t>7.生产药品制剂所用原料药的来源。改变原料药来源的，应当提供批准证明文件。</w:t>
      </w:r>
    </w:p>
    <w:p>
      <w:pPr>
        <w:spacing w:line="579" w:lineRule="exact"/>
        <w:ind w:firstLine="640" w:firstLineChars="200"/>
        <w:rPr>
          <w:rFonts w:hint="eastAsia" w:ascii="仿宋_GB2312"/>
          <w:szCs w:val="32"/>
        </w:rPr>
      </w:pPr>
      <w:r>
        <w:rPr>
          <w:rFonts w:hint="eastAsia" w:ascii="仿宋_GB2312"/>
          <w:szCs w:val="32"/>
        </w:rPr>
        <w:t>8.药品最小销售单元的现行包装、标签和说明书实样。</w:t>
      </w:r>
    </w:p>
    <w:p>
      <w:pPr>
        <w:spacing w:line="579" w:lineRule="exact"/>
        <w:ind w:firstLine="640" w:firstLineChars="200"/>
        <w:rPr>
          <w:rFonts w:hint="eastAsia" w:ascii="仿宋_GB2312"/>
          <w:szCs w:val="32"/>
        </w:rPr>
      </w:pPr>
      <w:r>
        <w:rPr>
          <w:rFonts w:hint="eastAsia" w:ascii="仿宋_GB2312"/>
          <w:szCs w:val="32"/>
        </w:rPr>
        <w:t>9.真实性承诺书。</w:t>
      </w:r>
    </w:p>
    <w:p>
      <w:pPr>
        <w:spacing w:line="579" w:lineRule="exact"/>
        <w:ind w:firstLine="640" w:firstLineChars="200"/>
        <w:jc w:val="left"/>
        <w:rPr>
          <w:rFonts w:ascii="黑体" w:hAnsi="黑体" w:eastAsia="黑体" w:cs="黑体"/>
          <w:szCs w:val="32"/>
        </w:rPr>
      </w:pPr>
      <w:r>
        <w:rPr>
          <w:rFonts w:hint="eastAsia" w:ascii="黑体" w:hAnsi="黑体" w:eastAsia="黑体" w:cs="黑体"/>
          <w:szCs w:val="32"/>
        </w:rPr>
        <w:t>四、公示审批程序、受理条件和办理标准，公开办理进度</w:t>
      </w:r>
    </w:p>
    <w:p>
      <w:pPr>
        <w:spacing w:line="579" w:lineRule="exact"/>
        <w:ind w:firstLine="640" w:firstLineChars="200"/>
        <w:jc w:val="left"/>
        <w:rPr>
          <w:rFonts w:ascii="仿宋_GB2312"/>
          <w:szCs w:val="32"/>
        </w:rPr>
      </w:pPr>
      <w:r>
        <w:rPr>
          <w:rFonts w:hint="eastAsia" w:ascii="仿宋_GB2312"/>
          <w:szCs w:val="32"/>
        </w:rPr>
        <w:t>在省药品监督管理局门户网站设立办事指南专栏，对办理程序、提交的资料、时限等要求均予以公布，适用的法律法规、相关标准进行发布。各事项的工作进展可以在电子审批系统中查阅，办结事项会在系统中进行提醒。</w:t>
      </w:r>
    </w:p>
    <w:p>
      <w:pPr>
        <w:spacing w:line="579" w:lineRule="exact"/>
        <w:ind w:firstLine="640" w:firstLineChars="200"/>
        <w:jc w:val="left"/>
        <w:rPr>
          <w:rFonts w:ascii="仿宋_GB2312"/>
          <w:szCs w:val="32"/>
        </w:rPr>
      </w:pPr>
      <w:r>
        <w:rPr>
          <w:rFonts w:hint="eastAsia" w:ascii="黑体" w:hAnsi="黑体" w:eastAsia="黑体" w:cs="黑体"/>
          <w:szCs w:val="32"/>
        </w:rPr>
        <w:t>五、对药品研发生产等审批事项中相关联的现场检查进行合并，提高审批效率</w:t>
      </w:r>
      <w:r>
        <w:rPr>
          <w:rFonts w:hint="eastAsia" w:ascii="黑体" w:hAnsi="黑体" w:eastAsia="黑体" w:cs="黑体"/>
          <w:szCs w:val="32"/>
        </w:rPr>
        <w:br w:type="textWrapping"/>
      </w:r>
      <w:r>
        <w:rPr>
          <w:rFonts w:hint="eastAsia" w:ascii="黑体" w:hAnsi="黑体" w:eastAsia="黑体" w:cs="黑体"/>
          <w:szCs w:val="32"/>
        </w:rPr>
        <w:t xml:space="preserve">    </w:t>
      </w:r>
      <w:r>
        <w:rPr>
          <w:rFonts w:hint="eastAsia" w:ascii="仿宋_GB2312"/>
          <w:szCs w:val="32"/>
        </w:rPr>
        <w:t>为提高效率，对同一个事项的多个检查以及一个企业在同一个时间段内的多个事项、多个检查，进行合并，只派一个检查组承担，尽最大可能帮助压缩审批时限，减少企业迎检时间。</w:t>
      </w: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方正小标宋简体" w:hAnsi="方正小标宋简体" w:eastAsia="方正小标宋简体" w:cs="方正小标宋简体"/>
          <w:sz w:val="36"/>
          <w:szCs w:val="36"/>
        </w:rPr>
      </w:pPr>
    </w:p>
    <w:p>
      <w:pPr>
        <w:spacing w:line="579" w:lineRule="exact"/>
        <w:jc w:val="center"/>
        <w:rPr>
          <w:rFonts w:hint="eastAsia" w:ascii="方正小标宋简体" w:hAnsi="方正小标宋简体" w:eastAsia="方正小标宋简体" w:cs="方正小标宋简体"/>
          <w:sz w:val="36"/>
          <w:szCs w:val="36"/>
        </w:rPr>
      </w:pPr>
    </w:p>
    <w:p>
      <w:pPr>
        <w:spacing w:line="579" w:lineRule="exact"/>
        <w:rPr>
          <w:rFonts w:hint="eastAsia" w:ascii="仿宋_GB2312"/>
          <w:szCs w:val="32"/>
        </w:rPr>
      </w:pPr>
      <w:bookmarkStart w:id="0" w:name="_GoBack"/>
      <w:bookmarkEnd w:id="0"/>
      <w:r>
        <w:rPr>
          <w:rFonts w:hint="eastAsia" w:ascii="仿宋_GB231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8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90376"/>
      <w:docPartObj>
        <w:docPartGallery w:val="autotext"/>
      </w:docPartObj>
    </w:sdtPr>
    <w:sdtEndPr>
      <w:rPr>
        <w:rFonts w:hint="eastAsia" w:ascii="仿宋_GB2312"/>
        <w:sz w:val="28"/>
        <w:szCs w:val="28"/>
      </w:rPr>
    </w:sdtEndPr>
    <w:sdtContent>
      <w:p>
        <w:pPr>
          <w:pStyle w:val="8"/>
          <w:ind w:firstLine="360" w:firstLineChars="200"/>
          <w:jc w:val="right"/>
          <w:rPr>
            <w:rFonts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72</w:t>
        </w:r>
        <w:r>
          <w:rPr>
            <w:rFonts w:hint="eastAsia" w:ascii="仿宋_GB2312"/>
            <w:sz w:val="28"/>
            <w:szCs w:val="28"/>
          </w:rPr>
          <w:fldChar w:fldCharType="end"/>
        </w:r>
        <w:r>
          <w:rPr>
            <w:rFonts w:hint="eastAsia" w:ascii="仿宋_GB2312"/>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90431"/>
      <w:docPartObj>
        <w:docPartGallery w:val="autotext"/>
      </w:docPartObj>
    </w:sdtPr>
    <w:sdtContent>
      <w:p>
        <w:pPr>
          <w:pStyle w:val="8"/>
          <w:widowControl/>
          <w:numPr>
            <w:ilvl w:val="0"/>
            <w:numId w:val="1"/>
          </w:numPr>
          <w:adjustRightInd w:val="0"/>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2</w:t>
        </w:r>
        <w:r>
          <w:rPr>
            <w:rFonts w:hint="eastAsia" w:ascii="仿宋_GB2312"/>
            <w:sz w:val="28"/>
            <w:szCs w:val="28"/>
          </w:rPr>
          <w:fldChar w:fldCharType="end"/>
        </w:r>
        <w:r>
          <w:rPr>
            <w:rFonts w:hint="eastAsia" w:ascii="仿宋_GB2312"/>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4CC"/>
    <w:multiLevelType w:val="multilevel"/>
    <w:tmpl w:val="046374CC"/>
    <w:lvl w:ilvl="0" w:tentative="0">
      <w:start w:val="2"/>
      <w:numFmt w:val="bullet"/>
      <w:pStyle w:val="10"/>
      <w:lvlText w:val="—"/>
      <w:lvlJc w:val="left"/>
      <w:pPr>
        <w:ind w:left="360" w:hanging="360"/>
      </w:pPr>
      <w:rPr>
        <w:rFonts w:hint="eastAsia" w:ascii="仿宋_GB2312" w:hAnsi="Tahoma" w:eastAsia="仿宋_GB2312"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601A"/>
    <w:rsid w:val="0002748A"/>
    <w:rsid w:val="00051C62"/>
    <w:rsid w:val="000F26AB"/>
    <w:rsid w:val="0018601A"/>
    <w:rsid w:val="001B1D87"/>
    <w:rsid w:val="002B1AB8"/>
    <w:rsid w:val="00343B87"/>
    <w:rsid w:val="00352F7F"/>
    <w:rsid w:val="00382272"/>
    <w:rsid w:val="00385EF4"/>
    <w:rsid w:val="0051481C"/>
    <w:rsid w:val="005F311F"/>
    <w:rsid w:val="007B414F"/>
    <w:rsid w:val="007F6B6D"/>
    <w:rsid w:val="00832987"/>
    <w:rsid w:val="008E6BBB"/>
    <w:rsid w:val="009F146D"/>
    <w:rsid w:val="00B33BE8"/>
    <w:rsid w:val="00B37AA9"/>
    <w:rsid w:val="00BB6A6C"/>
    <w:rsid w:val="00BC4DEB"/>
    <w:rsid w:val="00D12076"/>
    <w:rsid w:val="00E0751F"/>
    <w:rsid w:val="00EA338C"/>
    <w:rsid w:val="00EC75DD"/>
    <w:rsid w:val="00F27324"/>
    <w:rsid w:val="00F973EE"/>
    <w:rsid w:val="15573FA0"/>
    <w:rsid w:val="1F266157"/>
    <w:rsid w:val="3E7F2560"/>
    <w:rsid w:val="529D677F"/>
    <w:rsid w:val="782C5DA0"/>
    <w:rsid w:val="79292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eastAsia="宋体" w:cs="Times New Roman"/>
      <w:b/>
      <w:bCs/>
      <w:szCs w:val="32"/>
    </w:rPr>
  </w:style>
  <w:style w:type="paragraph" w:styleId="4">
    <w:name w:val="heading 3"/>
    <w:basedOn w:val="1"/>
    <w:next w:val="1"/>
    <w:link w:val="20"/>
    <w:qFormat/>
    <w:uiPriority w:val="0"/>
    <w:pPr>
      <w:keepNext/>
      <w:keepLines/>
      <w:spacing w:before="260" w:after="260" w:line="416" w:lineRule="auto"/>
      <w:outlineLvl w:val="2"/>
    </w:pPr>
    <w:rPr>
      <w:rFonts w:ascii="Times New Roman" w:hAnsi="Times New Roman" w:eastAsia="方正小标宋简体" w:cs="Times New Roman"/>
      <w:b/>
      <w:bCs/>
      <w:sz w:val="42"/>
      <w:szCs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2"/>
    <w:semiHidden/>
    <w:qFormat/>
    <w:uiPriority w:val="0"/>
    <w:rPr>
      <w:b/>
      <w:bCs/>
    </w:rPr>
  </w:style>
  <w:style w:type="paragraph" w:styleId="6">
    <w:name w:val="annotation text"/>
    <w:basedOn w:val="1"/>
    <w:link w:val="21"/>
    <w:semiHidden/>
    <w:qFormat/>
    <w:uiPriority w:val="0"/>
    <w:pPr>
      <w:jc w:val="left"/>
    </w:pPr>
    <w:rPr>
      <w:rFonts w:ascii="Times New Roman" w:hAnsi="Times New Roman" w:cs="Times New Roman"/>
      <w:szCs w:val="24"/>
    </w:rPr>
  </w:style>
  <w:style w:type="paragraph" w:styleId="7">
    <w:name w:val="Balloon Text"/>
    <w:basedOn w:val="1"/>
    <w:link w:val="23"/>
    <w:semiHidden/>
    <w:qFormat/>
    <w:uiPriority w:val="0"/>
    <w:rPr>
      <w:rFonts w:ascii="Times New Roman" w:hAnsi="Times New Roman" w:cs="Times New Roman"/>
      <w:sz w:val="18"/>
      <w:szCs w:val="18"/>
    </w:rPr>
  </w:style>
  <w:style w:type="paragraph" w:styleId="8">
    <w:name w:val="footer"/>
    <w:basedOn w:val="1"/>
    <w:link w:val="17"/>
    <w:unhideWhenUsed/>
    <w:qFormat/>
    <w:uiPriority w:val="0"/>
    <w:pPr>
      <w:tabs>
        <w:tab w:val="center" w:pos="4153"/>
        <w:tab w:val="right" w:pos="8306"/>
      </w:tabs>
      <w:snapToGrid w:val="0"/>
      <w:jc w:val="left"/>
    </w:pPr>
    <w:rPr>
      <w:sz w:val="18"/>
      <w:szCs w:val="18"/>
    </w:rPr>
  </w:style>
  <w:style w:type="paragraph" w:styleId="9">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4"/>
    <w:unhideWhenUsed/>
    <w:qFormat/>
    <w:uiPriority w:val="99"/>
    <w:pPr>
      <w:numPr>
        <w:ilvl w:val="0"/>
        <w:numId w:val="1"/>
      </w:numPr>
      <w:tabs>
        <w:tab w:val="left" w:pos="0"/>
      </w:tabs>
      <w:snapToGrid w:val="0"/>
      <w:jc w:val="left"/>
    </w:pPr>
    <w:rPr>
      <w:rFonts w:ascii="宋体" w:hAnsi="Calibri" w:eastAsia="宋体" w:cs="Times New Roman"/>
      <w:sz w:val="18"/>
      <w:szCs w:val="18"/>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0"/>
  </w:style>
  <w:style w:type="character" w:styleId="14">
    <w:name w:val="annotation reference"/>
    <w:semiHidden/>
    <w:qFormat/>
    <w:uiPriority w:val="0"/>
    <w:rPr>
      <w:sz w:val="21"/>
      <w:szCs w:val="21"/>
    </w:rPr>
  </w:style>
  <w:style w:type="character" w:customStyle="1" w:styleId="16">
    <w:name w:val="页眉 Char"/>
    <w:basedOn w:val="12"/>
    <w:link w:val="9"/>
    <w:semiHidden/>
    <w:qFormat/>
    <w:uiPriority w:val="99"/>
    <w:rPr>
      <w:sz w:val="18"/>
      <w:szCs w:val="18"/>
    </w:rPr>
  </w:style>
  <w:style w:type="character" w:customStyle="1" w:styleId="17">
    <w:name w:val="页脚 Char"/>
    <w:basedOn w:val="12"/>
    <w:link w:val="8"/>
    <w:qFormat/>
    <w:uiPriority w:val="99"/>
    <w:rPr>
      <w:sz w:val="18"/>
      <w:szCs w:val="18"/>
    </w:rPr>
  </w:style>
  <w:style w:type="character" w:customStyle="1" w:styleId="18">
    <w:name w:val="标题 1 Char"/>
    <w:basedOn w:val="12"/>
    <w:link w:val="2"/>
    <w:qFormat/>
    <w:uiPriority w:val="0"/>
    <w:rPr>
      <w:rFonts w:ascii="Times New Roman" w:hAnsi="Times New Roman" w:eastAsia="仿宋_GB2312" w:cs="Times New Roman"/>
      <w:b/>
      <w:bCs/>
      <w:kern w:val="44"/>
      <w:sz w:val="44"/>
      <w:szCs w:val="44"/>
    </w:rPr>
  </w:style>
  <w:style w:type="character" w:customStyle="1" w:styleId="19">
    <w:name w:val="标题 2 Char"/>
    <w:basedOn w:val="12"/>
    <w:link w:val="3"/>
    <w:qFormat/>
    <w:uiPriority w:val="9"/>
    <w:rPr>
      <w:rFonts w:ascii="Cambria" w:hAnsi="Cambria" w:eastAsia="宋体" w:cs="Times New Roman"/>
      <w:b/>
      <w:bCs/>
      <w:sz w:val="32"/>
      <w:szCs w:val="32"/>
    </w:rPr>
  </w:style>
  <w:style w:type="character" w:customStyle="1" w:styleId="20">
    <w:name w:val="标题 3 Char"/>
    <w:basedOn w:val="12"/>
    <w:link w:val="4"/>
    <w:qFormat/>
    <w:uiPriority w:val="0"/>
    <w:rPr>
      <w:rFonts w:ascii="Times New Roman" w:hAnsi="Times New Roman" w:eastAsia="方正小标宋简体" w:cs="Times New Roman"/>
      <w:b/>
      <w:bCs/>
      <w:sz w:val="42"/>
      <w:szCs w:val="32"/>
    </w:rPr>
  </w:style>
  <w:style w:type="character" w:customStyle="1" w:styleId="21">
    <w:name w:val="批注文字 Char"/>
    <w:basedOn w:val="12"/>
    <w:link w:val="6"/>
    <w:semiHidden/>
    <w:qFormat/>
    <w:uiPriority w:val="0"/>
    <w:rPr>
      <w:rFonts w:ascii="Times New Roman" w:hAnsi="Times New Roman" w:eastAsia="仿宋_GB2312" w:cs="Times New Roman"/>
      <w:sz w:val="32"/>
      <w:szCs w:val="24"/>
    </w:rPr>
  </w:style>
  <w:style w:type="character" w:customStyle="1" w:styleId="22">
    <w:name w:val="批注主题 Char"/>
    <w:basedOn w:val="21"/>
    <w:link w:val="5"/>
    <w:semiHidden/>
    <w:qFormat/>
    <w:uiPriority w:val="0"/>
    <w:rPr>
      <w:b/>
      <w:bCs/>
    </w:rPr>
  </w:style>
  <w:style w:type="character" w:customStyle="1" w:styleId="23">
    <w:name w:val="批注框文本 Char"/>
    <w:basedOn w:val="12"/>
    <w:link w:val="7"/>
    <w:semiHidden/>
    <w:qFormat/>
    <w:uiPriority w:val="0"/>
    <w:rPr>
      <w:rFonts w:ascii="Times New Roman" w:hAnsi="Times New Roman" w:eastAsia="仿宋_GB2312" w:cs="Times New Roman"/>
      <w:sz w:val="18"/>
      <w:szCs w:val="18"/>
    </w:rPr>
  </w:style>
  <w:style w:type="character" w:customStyle="1" w:styleId="24">
    <w:name w:val="脚注文本 Char"/>
    <w:basedOn w:val="12"/>
    <w:link w:val="10"/>
    <w:qFormat/>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72</Pages>
  <Words>14031</Words>
  <Characters>14313</Characters>
  <Lines>1022</Lines>
  <Paragraphs>726</Paragraphs>
  <TotalTime>2</TotalTime>
  <ScaleCrop>false</ScaleCrop>
  <LinksUpToDate>false</LinksUpToDate>
  <CharactersWithSpaces>27618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2018-09-30T01:40:00Z</dcterms:created>
  <dc:creator>陈宏</dc:creator>
  <cp:lastModifiedBy>郭波</cp:lastModifiedBy>
  <dcterms:modified xsi:type="dcterms:W3CDTF">2018-12-29T02:40:57Z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