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jc w:val="center"/>
        <w:rPr>
          <w:rFonts w:hint="eastAsia" w:ascii="方正小标宋简体" w:hAnsi="方正小标宋简体" w:eastAsia="方正小标宋简体" w:cs="方正小标宋简体"/>
          <w:w w:val="96"/>
          <w:sz w:val="36"/>
          <w:szCs w:val="36"/>
        </w:rPr>
      </w:pPr>
      <w:r>
        <w:rPr>
          <w:rFonts w:hint="eastAsia" w:ascii="方正小标宋简体" w:hAnsi="方正小标宋简体" w:eastAsia="方正小标宋简体" w:cs="方正小标宋简体"/>
          <w:w w:val="96"/>
          <w:sz w:val="36"/>
          <w:szCs w:val="36"/>
        </w:rPr>
        <w:t>第三类医疗器械经营许可“证照分离”改革措施</w:t>
      </w:r>
    </w:p>
    <w:p>
      <w:pPr>
        <w:spacing w:line="579" w:lineRule="exact"/>
        <w:jc w:val="center"/>
        <w:rPr>
          <w:rFonts w:hint="eastAsia" w:ascii="方正小标宋简体" w:hAnsi="方正小标宋简体" w:eastAsia="方正小标宋简体" w:cs="方正小标宋简体"/>
          <w:w w:val="96"/>
          <w:sz w:val="36"/>
          <w:szCs w:val="36"/>
        </w:rPr>
      </w:pPr>
    </w:p>
    <w:p>
      <w:pPr>
        <w:widowControl/>
        <w:spacing w:line="579" w:lineRule="exact"/>
        <w:ind w:firstLine="640" w:firstLineChars="200"/>
        <w:rPr>
          <w:rFonts w:hint="eastAsia" w:ascii="仿宋_GB2312" w:hAnsi="仿宋_GB2312" w:cs="仿宋_GB2312"/>
          <w:szCs w:val="32"/>
        </w:rPr>
      </w:pPr>
      <w:r>
        <w:rPr>
          <w:rFonts w:hint="eastAsia" w:ascii="仿宋_GB2312" w:hAnsi="仿宋_GB2312" w:cs="仿宋_GB2312"/>
          <w:szCs w:val="32"/>
        </w:rPr>
        <w:t>根据《江西省人民政府关于在全省推开“证照分离”改革的通知》（赣府发</w:t>
      </w:r>
      <w:r>
        <w:rPr>
          <w:rFonts w:hint="eastAsia" w:ascii="宋体" w:hAnsi="宋体" w:cs="宋体"/>
          <w:szCs w:val="32"/>
        </w:rPr>
        <w:t>〔</w:t>
      </w:r>
      <w:r>
        <w:rPr>
          <w:rFonts w:hint="eastAsia" w:ascii="仿宋_GB2312" w:hAnsi="仿宋_GB2312" w:cs="仿宋_GB2312"/>
          <w:szCs w:val="32"/>
        </w:rPr>
        <w:t>2018</w:t>
      </w:r>
      <w:r>
        <w:rPr>
          <w:rFonts w:hint="eastAsia" w:ascii="宋体" w:hAnsi="宋体" w:cs="宋体"/>
          <w:szCs w:val="32"/>
        </w:rPr>
        <w:t>〕</w:t>
      </w:r>
      <w:r>
        <w:rPr>
          <w:rFonts w:hint="eastAsia" w:ascii="仿宋_GB2312" w:hAnsi="仿宋_GB2312" w:cs="仿宋_GB2312"/>
          <w:szCs w:val="32"/>
        </w:rPr>
        <w:t>40号）精神，各履行审批职能的药品监管部门可从五个方面对第三类医疗器械经营许可进行优化服务，具体如下：</w:t>
      </w:r>
    </w:p>
    <w:p>
      <w:pPr>
        <w:widowControl/>
        <w:spacing w:line="579" w:lineRule="exact"/>
        <w:ind w:firstLine="640" w:firstLineChars="200"/>
        <w:rPr>
          <w:rFonts w:hint="eastAsia" w:ascii="仿宋_GB2312" w:hAnsi="仿宋_GB2312" w:cs="仿宋_GB2312"/>
          <w:szCs w:val="32"/>
        </w:rPr>
      </w:pPr>
      <w:r>
        <w:rPr>
          <w:rFonts w:hint="eastAsia" w:ascii="黑体" w:hAnsi="黑体" w:eastAsia="黑体" w:cs="黑体"/>
          <w:szCs w:val="32"/>
        </w:rPr>
        <w:t>一、全面推行网上业务办理</w:t>
      </w:r>
    </w:p>
    <w:p>
      <w:pPr>
        <w:spacing w:line="579" w:lineRule="exact"/>
        <w:ind w:firstLine="640" w:firstLineChars="200"/>
        <w:rPr>
          <w:rFonts w:hint="eastAsia" w:ascii="仿宋_GB2312" w:hAnsi="仿宋_GB2312" w:cs="仿宋_GB2312"/>
          <w:szCs w:val="32"/>
        </w:rPr>
      </w:pPr>
      <w:r>
        <w:rPr>
          <w:rFonts w:hint="eastAsia" w:ascii="仿宋_GB2312"/>
          <w:szCs w:val="32"/>
        </w:rPr>
        <w:t>各设区市、省直管试点县（市）药品监管部门（以下简称各市局）要</w:t>
      </w:r>
      <w:r>
        <w:rPr>
          <w:rFonts w:hint="eastAsia" w:ascii="仿宋_GB2312" w:hAnsi="仿宋_GB2312" w:cs="仿宋_GB2312"/>
          <w:szCs w:val="32"/>
        </w:rPr>
        <w:t>全面推行网上许可业务办理</w:t>
      </w:r>
      <w:r>
        <w:rPr>
          <w:rFonts w:hint="eastAsia" w:ascii="仿宋_GB2312"/>
          <w:szCs w:val="32"/>
        </w:rPr>
        <w:t>，</w:t>
      </w:r>
      <w:r>
        <w:rPr>
          <w:rFonts w:hint="eastAsia" w:ascii="仿宋_GB2312" w:hAnsi="仿宋_GB2312" w:cs="仿宋_GB2312"/>
          <w:szCs w:val="32"/>
        </w:rPr>
        <w:t>接受群众网上申请。在现场受理群众书面许可申请时，不得拒绝受理纸质申请材料，通过各种媒体宣传、网站、办证大厅公示等方式告知群众网络申办第三类医疗器械经营许可的具体方法、步骤、许可审批程序、受理条件、时限等。</w:t>
      </w:r>
    </w:p>
    <w:p>
      <w:pPr>
        <w:widowControl/>
        <w:spacing w:line="579" w:lineRule="exact"/>
        <w:ind w:firstLine="640" w:firstLineChars="200"/>
        <w:jc w:val="left"/>
        <w:rPr>
          <w:rFonts w:hint="eastAsia" w:ascii="黑体" w:hAnsi="黑体" w:eastAsia="黑体" w:cs="黑体"/>
          <w:szCs w:val="32"/>
        </w:rPr>
      </w:pPr>
      <w:r>
        <w:rPr>
          <w:rFonts w:hint="eastAsia" w:ascii="黑体" w:hAnsi="黑体" w:eastAsia="黑体" w:cs="黑体"/>
          <w:szCs w:val="32"/>
        </w:rPr>
        <w:t>二、压缩审批时限</w:t>
      </w:r>
    </w:p>
    <w:p>
      <w:pPr>
        <w:spacing w:line="579" w:lineRule="exact"/>
        <w:ind w:firstLine="640" w:firstLineChars="200"/>
        <w:rPr>
          <w:rFonts w:hint="eastAsia" w:ascii="仿宋_GB2312" w:hAnsi="仿宋_GB2312" w:cs="仿宋_GB2312"/>
          <w:szCs w:val="32"/>
        </w:rPr>
      </w:pPr>
      <w:r>
        <w:rPr>
          <w:rFonts w:hint="eastAsia" w:ascii="仿宋_GB2312" w:hAnsi="仿宋_GB2312" w:cs="仿宋_GB2312"/>
          <w:color w:val="000000"/>
          <w:szCs w:val="32"/>
        </w:rPr>
        <w:t>各市局要完善工作流程，缩短审批时限，将法定审批时限30个工作日压缩至20个工作日内</w:t>
      </w:r>
      <w:r>
        <w:rPr>
          <w:rFonts w:hint="eastAsia" w:ascii="仿宋_GB2312" w:hAnsi="仿宋_GB2312" w:cs="仿宋_GB2312"/>
          <w:szCs w:val="32"/>
        </w:rPr>
        <w:t>。</w:t>
      </w:r>
    </w:p>
    <w:p>
      <w:pPr>
        <w:widowControl/>
        <w:numPr>
          <w:ilvl w:val="0"/>
          <w:numId w:val="2"/>
        </w:numPr>
        <w:spacing w:line="579" w:lineRule="exact"/>
        <w:ind w:firstLine="640" w:firstLineChars="200"/>
        <w:jc w:val="left"/>
        <w:rPr>
          <w:rFonts w:hint="eastAsia" w:ascii="黑体" w:hAnsi="黑体" w:eastAsia="黑体" w:cs="黑体"/>
          <w:szCs w:val="32"/>
        </w:rPr>
      </w:pPr>
      <w:r>
        <w:rPr>
          <w:rFonts w:hint="eastAsia" w:ascii="黑体" w:hAnsi="黑体" w:eastAsia="黑体" w:cs="黑体"/>
          <w:szCs w:val="32"/>
        </w:rPr>
        <w:t>精简审批材料</w:t>
      </w:r>
    </w:p>
    <w:p>
      <w:pPr>
        <w:widowControl/>
        <w:spacing w:line="579" w:lineRule="exact"/>
        <w:ind w:firstLine="640" w:firstLineChars="200"/>
        <w:jc w:val="left"/>
        <w:rPr>
          <w:rFonts w:hint="eastAsia" w:ascii="仿宋_GB2312" w:hAnsi="仿宋_GB2312" w:cs="仿宋_GB2312"/>
          <w:szCs w:val="32"/>
        </w:rPr>
      </w:pPr>
      <w:r>
        <w:rPr>
          <w:rFonts w:hint="eastAsia" w:ascii="仿宋_GB2312" w:hAnsi="仿宋_GB2312" w:cs="仿宋_GB2312"/>
          <w:szCs w:val="32"/>
        </w:rPr>
        <w:t>各市局利用政府统一数据共享交换平台，优化准入服务，精简审批材料，在许可申请受理材料中，不再要求申请人提供营业执照复印件、法定代表人或负责人身份证明复印件等材料，所需材料由受理工作人员通过江西省食品药品数据资源平台“数据核查”板块功能在线获取核验，确实无法查询到的，主动服务并做好解释工作。</w:t>
      </w:r>
    </w:p>
    <w:p>
      <w:pPr>
        <w:widowControl/>
        <w:spacing w:line="579" w:lineRule="exact"/>
        <w:ind w:firstLine="640" w:firstLineChars="200"/>
        <w:jc w:val="left"/>
        <w:rPr>
          <w:rFonts w:hint="eastAsia" w:ascii="仿宋_GB2312" w:hAnsi="仿宋_GB2312" w:cs="仿宋_GB2312"/>
          <w:szCs w:val="32"/>
        </w:rPr>
      </w:pPr>
      <w:r>
        <w:rPr>
          <w:rFonts w:hint="eastAsia" w:ascii="黑体" w:hAnsi="黑体" w:eastAsia="黑体" w:cs="黑体"/>
          <w:szCs w:val="32"/>
        </w:rPr>
        <w:t>四、公开办事指南</w:t>
      </w:r>
    </w:p>
    <w:p>
      <w:pPr>
        <w:spacing w:line="579" w:lineRule="exact"/>
        <w:ind w:firstLine="640" w:firstLineChars="200"/>
      </w:pPr>
      <w:r>
        <w:rPr>
          <w:rFonts w:hint="eastAsia" w:ascii="仿宋_GB2312" w:hAnsi="仿宋_GB2312" w:cs="仿宋_GB2312"/>
          <w:szCs w:val="32"/>
        </w:rPr>
        <w:t>各市局要公开行政审批事项办事指南，公开办理流程、受理条件、办理材料及标准、办理进度，审批结果及时公开，方便公众查询。</w:t>
      </w:r>
    </w:p>
    <w:p>
      <w:pPr>
        <w:widowControl/>
        <w:spacing w:line="579" w:lineRule="exact"/>
        <w:ind w:firstLine="640" w:firstLineChars="200"/>
        <w:jc w:val="left"/>
        <w:rPr>
          <w:rFonts w:hint="eastAsia" w:ascii="仿宋_GB2312" w:hAnsi="仿宋_GB2312" w:cs="仿宋_GB2312"/>
          <w:szCs w:val="32"/>
        </w:rPr>
      </w:pPr>
      <w:r>
        <w:rPr>
          <w:rFonts w:hint="eastAsia" w:ascii="黑体" w:hAnsi="黑体" w:eastAsia="黑体" w:cs="黑体"/>
          <w:szCs w:val="32"/>
        </w:rPr>
        <w:t>五、加强事中事后监管</w:t>
      </w:r>
    </w:p>
    <w:p>
      <w:pPr>
        <w:spacing w:line="579" w:lineRule="exact"/>
        <w:ind w:firstLine="640" w:firstLineChars="200"/>
        <w:rPr>
          <w:rFonts w:hint="eastAsia" w:ascii="仿宋_GB2312"/>
          <w:szCs w:val="32"/>
        </w:rPr>
      </w:pPr>
      <w:r>
        <w:rPr>
          <w:rFonts w:hint="eastAsia" w:ascii="仿宋_GB2312"/>
          <w:szCs w:val="32"/>
        </w:rPr>
        <w:t>各市局要加强第三类医疗器械经营许可的事中事后日常监管和双随机检查，督促经营企业履行医疗器械安全主体责任，建立经营企业诚信档案，建立“黑名单”制度，对严重失信企业依法实施惩戒，对违法违规行为依法严厉查处，维护公平、公正的法治环境。</w:t>
      </w:r>
    </w:p>
    <w:p>
      <w:pPr>
        <w:spacing w:line="579" w:lineRule="exact"/>
        <w:jc w:val="center"/>
        <w:rPr>
          <w:rFonts w:hint="eastAsia" w:ascii="方正小标宋简体" w:hAnsi="方正小标宋简体" w:eastAsia="方正小标宋简体" w:cs="方正小标宋简体"/>
          <w:w w:val="96"/>
          <w:sz w:val="36"/>
          <w:szCs w:val="36"/>
        </w:rPr>
      </w:pPr>
    </w:p>
    <w:p>
      <w:pPr>
        <w:spacing w:line="579" w:lineRule="exact"/>
        <w:jc w:val="center"/>
        <w:rPr>
          <w:rFonts w:hint="eastAsia" w:ascii="方正小标宋简体" w:hAnsi="方正小标宋简体" w:eastAsia="方正小标宋简体" w:cs="方正小标宋简体"/>
          <w:w w:val="96"/>
          <w:sz w:val="36"/>
          <w:szCs w:val="36"/>
        </w:rPr>
      </w:pPr>
    </w:p>
    <w:p>
      <w:pPr>
        <w:spacing w:line="579" w:lineRule="exact"/>
        <w:jc w:val="center"/>
        <w:rPr>
          <w:rFonts w:hint="eastAsia" w:ascii="方正小标宋简体" w:hAnsi="方正小标宋简体" w:eastAsia="方正小标宋简体" w:cs="方正小标宋简体"/>
          <w:w w:val="96"/>
          <w:sz w:val="36"/>
          <w:szCs w:val="36"/>
        </w:rPr>
      </w:pPr>
    </w:p>
    <w:p>
      <w:pPr>
        <w:spacing w:line="579" w:lineRule="exact"/>
        <w:jc w:val="center"/>
        <w:rPr>
          <w:rFonts w:hint="eastAsia" w:ascii="方正小标宋简体" w:hAnsi="方正小标宋简体" w:eastAsia="方正小标宋简体" w:cs="方正小标宋简体"/>
          <w:w w:val="96"/>
          <w:sz w:val="36"/>
          <w:szCs w:val="36"/>
        </w:rPr>
      </w:pPr>
    </w:p>
    <w:p>
      <w:pPr>
        <w:spacing w:line="579" w:lineRule="exact"/>
        <w:jc w:val="center"/>
        <w:rPr>
          <w:rFonts w:hint="eastAsia" w:ascii="方正小标宋简体" w:hAnsi="方正小标宋简体" w:eastAsia="方正小标宋简体" w:cs="方正小标宋简体"/>
          <w:w w:val="96"/>
          <w:sz w:val="36"/>
          <w:szCs w:val="36"/>
        </w:rPr>
      </w:pPr>
    </w:p>
    <w:p>
      <w:pPr>
        <w:spacing w:line="579" w:lineRule="exact"/>
        <w:jc w:val="center"/>
        <w:rPr>
          <w:rFonts w:hint="eastAsia" w:ascii="方正小标宋简体" w:hAnsi="方正小标宋简体" w:eastAsia="方正小标宋简体" w:cs="方正小标宋简体"/>
          <w:w w:val="96"/>
          <w:sz w:val="36"/>
          <w:szCs w:val="36"/>
        </w:rPr>
      </w:pPr>
    </w:p>
    <w:p>
      <w:pPr>
        <w:spacing w:line="579" w:lineRule="exact"/>
        <w:rPr>
          <w:rFonts w:hint="eastAsia" w:ascii="仿宋_GB2312"/>
          <w:szCs w:val="32"/>
        </w:rPr>
      </w:pPr>
      <w:bookmarkStart w:id="0" w:name="_GoBack"/>
      <w:bookmarkEnd w:id="0"/>
      <w:r>
        <w:rPr>
          <w:rFonts w:hint="eastAsia" w:ascii="仿宋_GB2312"/>
          <w:szCs w:val="32"/>
        </w:rPr>
        <w:t xml:space="preserve">             </w:t>
      </w: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5" w:left="1588" w:header="851" w:footer="158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ˎ̥">
    <w:altName w:val="Times New Roman"/>
    <w:panose1 w:val="00000000000000000000"/>
    <w:charset w:val="00"/>
    <w:family w:val="roman"/>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290376"/>
      <w:docPartObj>
        <w:docPartGallery w:val="autotext"/>
      </w:docPartObj>
    </w:sdtPr>
    <w:sdtEndPr>
      <w:rPr>
        <w:rFonts w:hint="eastAsia" w:ascii="仿宋_GB2312"/>
        <w:sz w:val="28"/>
        <w:szCs w:val="28"/>
      </w:rPr>
    </w:sdtEndPr>
    <w:sdtContent>
      <w:p>
        <w:pPr>
          <w:pStyle w:val="8"/>
          <w:ind w:firstLine="360" w:firstLineChars="200"/>
          <w:jc w:val="right"/>
          <w:rPr>
            <w:rFonts w:ascii="仿宋_GB2312"/>
            <w:sz w:val="28"/>
            <w:szCs w:val="28"/>
          </w:rPr>
        </w:pPr>
        <w:r>
          <w:rPr>
            <w:rFonts w:hint="eastAsia" w:ascii="仿宋_GB2312"/>
            <w:sz w:val="28"/>
            <w:szCs w:val="28"/>
          </w:rPr>
          <w:t xml:space="preserve">— </w:t>
        </w:r>
        <w:r>
          <w:rPr>
            <w:rFonts w:hint="eastAsia" w:ascii="仿宋_GB2312"/>
            <w:sz w:val="28"/>
            <w:szCs w:val="28"/>
          </w:rPr>
          <w:fldChar w:fldCharType="begin"/>
        </w:r>
        <w:r>
          <w:rPr>
            <w:rFonts w:hint="eastAsia" w:ascii="仿宋_GB2312"/>
            <w:sz w:val="28"/>
            <w:szCs w:val="28"/>
          </w:rPr>
          <w:instrText xml:space="preserve"> PAGE   \* MERGEFORMAT </w:instrText>
        </w:r>
        <w:r>
          <w:rPr>
            <w:rFonts w:hint="eastAsia" w:ascii="仿宋_GB2312"/>
            <w:sz w:val="28"/>
            <w:szCs w:val="28"/>
          </w:rPr>
          <w:fldChar w:fldCharType="separate"/>
        </w:r>
        <w:r>
          <w:rPr>
            <w:rFonts w:ascii="仿宋_GB2312"/>
            <w:sz w:val="28"/>
            <w:szCs w:val="28"/>
            <w:lang w:val="zh-CN"/>
          </w:rPr>
          <w:t>72</w:t>
        </w:r>
        <w:r>
          <w:rPr>
            <w:rFonts w:hint="eastAsia" w:ascii="仿宋_GB2312"/>
            <w:sz w:val="28"/>
            <w:szCs w:val="28"/>
          </w:rPr>
          <w:fldChar w:fldCharType="end"/>
        </w:r>
        <w:r>
          <w:rPr>
            <w:rFonts w:hint="eastAsia" w:ascii="仿宋_GB2312"/>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290431"/>
      <w:docPartObj>
        <w:docPartGallery w:val="autotext"/>
      </w:docPartObj>
    </w:sdtPr>
    <w:sdtContent>
      <w:p>
        <w:pPr>
          <w:pStyle w:val="8"/>
          <w:widowControl/>
          <w:numPr>
            <w:ilvl w:val="0"/>
            <w:numId w:val="1"/>
          </w:numPr>
          <w:adjustRightInd w:val="0"/>
        </w:pPr>
        <w:r>
          <w:rPr>
            <w:rFonts w:hint="eastAsia" w:ascii="仿宋_GB2312"/>
            <w:sz w:val="28"/>
            <w:szCs w:val="28"/>
          </w:rPr>
          <w:fldChar w:fldCharType="begin"/>
        </w:r>
        <w:r>
          <w:rPr>
            <w:rFonts w:hint="eastAsia" w:ascii="仿宋_GB2312"/>
            <w:sz w:val="28"/>
            <w:szCs w:val="28"/>
          </w:rPr>
          <w:instrText xml:space="preserve"> PAGE   \* MERGEFORMAT </w:instrText>
        </w:r>
        <w:r>
          <w:rPr>
            <w:rFonts w:hint="eastAsia" w:ascii="仿宋_GB2312"/>
            <w:sz w:val="28"/>
            <w:szCs w:val="28"/>
          </w:rPr>
          <w:fldChar w:fldCharType="separate"/>
        </w:r>
        <w:r>
          <w:rPr>
            <w:rFonts w:ascii="仿宋_GB2312"/>
            <w:sz w:val="28"/>
            <w:szCs w:val="28"/>
            <w:lang w:val="zh-CN"/>
          </w:rPr>
          <w:t>2</w:t>
        </w:r>
        <w:r>
          <w:rPr>
            <w:rFonts w:hint="eastAsia" w:ascii="仿宋_GB2312"/>
            <w:sz w:val="28"/>
            <w:szCs w:val="28"/>
          </w:rPr>
          <w:fldChar w:fldCharType="end"/>
        </w:r>
        <w:r>
          <w:rPr>
            <w:rFonts w:hint="eastAsia" w:ascii="仿宋_GB2312"/>
            <w:sz w:val="28"/>
            <w:szCs w:val="28"/>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74CC"/>
    <w:multiLevelType w:val="multilevel"/>
    <w:tmpl w:val="046374CC"/>
    <w:lvl w:ilvl="0" w:tentative="0">
      <w:start w:val="2"/>
      <w:numFmt w:val="bullet"/>
      <w:pStyle w:val="10"/>
      <w:lvlText w:val="—"/>
      <w:lvlJc w:val="left"/>
      <w:pPr>
        <w:ind w:left="360" w:hanging="360"/>
      </w:pPr>
      <w:rPr>
        <w:rFonts w:hint="eastAsia" w:ascii="仿宋_GB2312" w:hAnsi="Tahoma" w:eastAsia="仿宋_GB2312" w:cstheme="minorBidi"/>
        <w:sz w:val="28"/>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5BDFB9F5"/>
    <w:multiLevelType w:val="singleLevel"/>
    <w:tmpl w:val="5BDFB9F5"/>
    <w:lvl w:ilvl="0" w:tentative="0">
      <w:start w:val="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8601A"/>
    <w:rsid w:val="0002748A"/>
    <w:rsid w:val="000F26AB"/>
    <w:rsid w:val="0018601A"/>
    <w:rsid w:val="001B1D87"/>
    <w:rsid w:val="002B1AB8"/>
    <w:rsid w:val="00343B87"/>
    <w:rsid w:val="00352F7F"/>
    <w:rsid w:val="00382272"/>
    <w:rsid w:val="00385EF4"/>
    <w:rsid w:val="0051481C"/>
    <w:rsid w:val="005F311F"/>
    <w:rsid w:val="007B414F"/>
    <w:rsid w:val="007F6B6D"/>
    <w:rsid w:val="00832987"/>
    <w:rsid w:val="008E6BBB"/>
    <w:rsid w:val="009F146D"/>
    <w:rsid w:val="00B33BE8"/>
    <w:rsid w:val="00B37AA9"/>
    <w:rsid w:val="00BB6A6C"/>
    <w:rsid w:val="00BC4DEB"/>
    <w:rsid w:val="00D12076"/>
    <w:rsid w:val="00E0751F"/>
    <w:rsid w:val="00EA338C"/>
    <w:rsid w:val="00EC75DD"/>
    <w:rsid w:val="00F27324"/>
    <w:rsid w:val="00F973EE"/>
    <w:rsid w:val="13442228"/>
    <w:rsid w:val="15573FA0"/>
    <w:rsid w:val="1F266157"/>
    <w:rsid w:val="3E7F2560"/>
    <w:rsid w:val="529D677F"/>
    <w:rsid w:val="782C5DA0"/>
    <w:rsid w:val="792928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nhideWhenUsed="0" w:uiPriority="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paragraph" w:styleId="2">
    <w:name w:val="heading 1"/>
    <w:basedOn w:val="1"/>
    <w:next w:val="1"/>
    <w:link w:val="18"/>
    <w:qFormat/>
    <w:uiPriority w:val="0"/>
    <w:pPr>
      <w:keepNext/>
      <w:keepLines/>
      <w:spacing w:before="340" w:after="330" w:line="578" w:lineRule="auto"/>
      <w:outlineLvl w:val="0"/>
    </w:pPr>
    <w:rPr>
      <w:rFonts w:ascii="Times New Roman" w:hAnsi="Times New Roman" w:cs="Times New Roman"/>
      <w:b/>
      <w:bCs/>
      <w:kern w:val="44"/>
      <w:sz w:val="44"/>
      <w:szCs w:val="44"/>
    </w:rPr>
  </w:style>
  <w:style w:type="paragraph" w:styleId="3">
    <w:name w:val="heading 2"/>
    <w:basedOn w:val="1"/>
    <w:next w:val="1"/>
    <w:link w:val="19"/>
    <w:qFormat/>
    <w:uiPriority w:val="9"/>
    <w:pPr>
      <w:keepNext/>
      <w:keepLines/>
      <w:spacing w:before="260" w:after="260" w:line="416" w:lineRule="auto"/>
      <w:outlineLvl w:val="1"/>
    </w:pPr>
    <w:rPr>
      <w:rFonts w:ascii="Cambria" w:hAnsi="Cambria" w:eastAsia="宋体" w:cs="Times New Roman"/>
      <w:b/>
      <w:bCs/>
      <w:szCs w:val="32"/>
    </w:rPr>
  </w:style>
  <w:style w:type="paragraph" w:styleId="4">
    <w:name w:val="heading 3"/>
    <w:basedOn w:val="1"/>
    <w:next w:val="1"/>
    <w:link w:val="20"/>
    <w:qFormat/>
    <w:uiPriority w:val="0"/>
    <w:pPr>
      <w:keepNext/>
      <w:keepLines/>
      <w:spacing w:before="260" w:after="260" w:line="416" w:lineRule="auto"/>
      <w:outlineLvl w:val="2"/>
    </w:pPr>
    <w:rPr>
      <w:rFonts w:ascii="Times New Roman" w:hAnsi="Times New Roman" w:eastAsia="方正小标宋简体" w:cs="Times New Roman"/>
      <w:b/>
      <w:bCs/>
      <w:sz w:val="42"/>
      <w:szCs w:val="32"/>
    </w:rPr>
  </w:style>
  <w:style w:type="character" w:default="1" w:styleId="12">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22"/>
    <w:semiHidden/>
    <w:qFormat/>
    <w:uiPriority w:val="0"/>
    <w:rPr>
      <w:b/>
      <w:bCs/>
    </w:rPr>
  </w:style>
  <w:style w:type="paragraph" w:styleId="6">
    <w:name w:val="annotation text"/>
    <w:basedOn w:val="1"/>
    <w:link w:val="21"/>
    <w:semiHidden/>
    <w:qFormat/>
    <w:uiPriority w:val="0"/>
    <w:pPr>
      <w:jc w:val="left"/>
    </w:pPr>
    <w:rPr>
      <w:rFonts w:ascii="Times New Roman" w:hAnsi="Times New Roman" w:cs="Times New Roman"/>
      <w:szCs w:val="24"/>
    </w:rPr>
  </w:style>
  <w:style w:type="paragraph" w:styleId="7">
    <w:name w:val="Balloon Text"/>
    <w:basedOn w:val="1"/>
    <w:link w:val="23"/>
    <w:semiHidden/>
    <w:qFormat/>
    <w:uiPriority w:val="0"/>
    <w:rPr>
      <w:rFonts w:ascii="Times New Roman" w:hAnsi="Times New Roman" w:cs="Times New Roman"/>
      <w:sz w:val="18"/>
      <w:szCs w:val="18"/>
    </w:rPr>
  </w:style>
  <w:style w:type="paragraph" w:styleId="8">
    <w:name w:val="footer"/>
    <w:basedOn w:val="1"/>
    <w:link w:val="17"/>
    <w:unhideWhenUsed/>
    <w:qFormat/>
    <w:uiPriority w:val="0"/>
    <w:pPr>
      <w:tabs>
        <w:tab w:val="center" w:pos="4153"/>
        <w:tab w:val="right" w:pos="8306"/>
      </w:tabs>
      <w:snapToGrid w:val="0"/>
      <w:jc w:val="left"/>
    </w:pPr>
    <w:rPr>
      <w:sz w:val="18"/>
      <w:szCs w:val="18"/>
    </w:rPr>
  </w:style>
  <w:style w:type="paragraph" w:styleId="9">
    <w:name w:val="header"/>
    <w:basedOn w:val="1"/>
    <w:link w:val="16"/>
    <w:unhideWhenUsed/>
    <w:qFormat/>
    <w:uiPriority w:val="0"/>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24"/>
    <w:unhideWhenUsed/>
    <w:qFormat/>
    <w:uiPriority w:val="99"/>
    <w:pPr>
      <w:numPr>
        <w:ilvl w:val="0"/>
        <w:numId w:val="1"/>
      </w:numPr>
      <w:tabs>
        <w:tab w:val="left" w:pos="0"/>
      </w:tabs>
      <w:snapToGrid w:val="0"/>
      <w:jc w:val="left"/>
    </w:pPr>
    <w:rPr>
      <w:rFonts w:ascii="宋体" w:hAnsi="Calibri" w:eastAsia="宋体" w:cs="Times New Roman"/>
      <w:sz w:val="18"/>
      <w:szCs w:val="18"/>
    </w:rPr>
  </w:style>
  <w:style w:type="paragraph" w:styleId="11">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13">
    <w:name w:val="page number"/>
    <w:basedOn w:val="12"/>
    <w:qFormat/>
    <w:uiPriority w:val="0"/>
  </w:style>
  <w:style w:type="character" w:styleId="14">
    <w:name w:val="annotation reference"/>
    <w:semiHidden/>
    <w:qFormat/>
    <w:uiPriority w:val="0"/>
    <w:rPr>
      <w:sz w:val="21"/>
      <w:szCs w:val="21"/>
    </w:rPr>
  </w:style>
  <w:style w:type="character" w:customStyle="1" w:styleId="16">
    <w:name w:val="页眉 Char"/>
    <w:basedOn w:val="12"/>
    <w:link w:val="9"/>
    <w:semiHidden/>
    <w:qFormat/>
    <w:uiPriority w:val="99"/>
    <w:rPr>
      <w:sz w:val="18"/>
      <w:szCs w:val="18"/>
    </w:rPr>
  </w:style>
  <w:style w:type="character" w:customStyle="1" w:styleId="17">
    <w:name w:val="页脚 Char"/>
    <w:basedOn w:val="12"/>
    <w:link w:val="8"/>
    <w:qFormat/>
    <w:uiPriority w:val="99"/>
    <w:rPr>
      <w:sz w:val="18"/>
      <w:szCs w:val="18"/>
    </w:rPr>
  </w:style>
  <w:style w:type="character" w:customStyle="1" w:styleId="18">
    <w:name w:val="标题 1 Char"/>
    <w:basedOn w:val="12"/>
    <w:link w:val="2"/>
    <w:qFormat/>
    <w:uiPriority w:val="0"/>
    <w:rPr>
      <w:rFonts w:ascii="Times New Roman" w:hAnsi="Times New Roman" w:eastAsia="仿宋_GB2312" w:cs="Times New Roman"/>
      <w:b/>
      <w:bCs/>
      <w:kern w:val="44"/>
      <w:sz w:val="44"/>
      <w:szCs w:val="44"/>
    </w:rPr>
  </w:style>
  <w:style w:type="character" w:customStyle="1" w:styleId="19">
    <w:name w:val="标题 2 Char"/>
    <w:basedOn w:val="12"/>
    <w:link w:val="3"/>
    <w:qFormat/>
    <w:uiPriority w:val="9"/>
    <w:rPr>
      <w:rFonts w:ascii="Cambria" w:hAnsi="Cambria" w:eastAsia="宋体" w:cs="Times New Roman"/>
      <w:b/>
      <w:bCs/>
      <w:sz w:val="32"/>
      <w:szCs w:val="32"/>
    </w:rPr>
  </w:style>
  <w:style w:type="character" w:customStyle="1" w:styleId="20">
    <w:name w:val="标题 3 Char"/>
    <w:basedOn w:val="12"/>
    <w:link w:val="4"/>
    <w:qFormat/>
    <w:uiPriority w:val="0"/>
    <w:rPr>
      <w:rFonts w:ascii="Times New Roman" w:hAnsi="Times New Roman" w:eastAsia="方正小标宋简体" w:cs="Times New Roman"/>
      <w:b/>
      <w:bCs/>
      <w:sz w:val="42"/>
      <w:szCs w:val="32"/>
    </w:rPr>
  </w:style>
  <w:style w:type="character" w:customStyle="1" w:styleId="21">
    <w:name w:val="批注文字 Char"/>
    <w:basedOn w:val="12"/>
    <w:link w:val="6"/>
    <w:semiHidden/>
    <w:qFormat/>
    <w:uiPriority w:val="0"/>
    <w:rPr>
      <w:rFonts w:ascii="Times New Roman" w:hAnsi="Times New Roman" w:eastAsia="仿宋_GB2312" w:cs="Times New Roman"/>
      <w:sz w:val="32"/>
      <w:szCs w:val="24"/>
    </w:rPr>
  </w:style>
  <w:style w:type="character" w:customStyle="1" w:styleId="22">
    <w:name w:val="批注主题 Char"/>
    <w:basedOn w:val="21"/>
    <w:link w:val="5"/>
    <w:semiHidden/>
    <w:qFormat/>
    <w:uiPriority w:val="0"/>
    <w:rPr>
      <w:b/>
      <w:bCs/>
    </w:rPr>
  </w:style>
  <w:style w:type="character" w:customStyle="1" w:styleId="23">
    <w:name w:val="批注框文本 Char"/>
    <w:basedOn w:val="12"/>
    <w:link w:val="7"/>
    <w:semiHidden/>
    <w:qFormat/>
    <w:uiPriority w:val="0"/>
    <w:rPr>
      <w:rFonts w:ascii="Times New Roman" w:hAnsi="Times New Roman" w:eastAsia="仿宋_GB2312" w:cs="Times New Roman"/>
      <w:sz w:val="18"/>
      <w:szCs w:val="18"/>
    </w:rPr>
  </w:style>
  <w:style w:type="character" w:customStyle="1" w:styleId="24">
    <w:name w:val="脚注文本 Char"/>
    <w:basedOn w:val="12"/>
    <w:link w:val="10"/>
    <w:qFormat/>
    <w:uiPriority w:val="99"/>
    <w:rPr>
      <w:rFonts w:ascii="宋体"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72</Pages>
  <Words>14031</Words>
  <Characters>14313</Characters>
  <Lines>1022</Lines>
  <Paragraphs>726</Paragraphs>
  <TotalTime>1</TotalTime>
  <ScaleCrop>false</ScaleCrop>
  <LinksUpToDate>false</LinksUpToDate>
  <CharactersWithSpaces>27618</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2018-09-30T01:40:00Z</dcterms:created>
  <dc:creator>陈宏</dc:creator>
  <cp:lastModifiedBy>郭波</cp:lastModifiedBy>
  <dcterms:modified xsi:type="dcterms:W3CDTF">2018-12-29T02:38:23Z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