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06" w:rsidRPr="00777CEE" w:rsidRDefault="00897206" w:rsidP="00897206">
      <w:pPr>
        <w:widowControl/>
        <w:adjustRightInd w:val="0"/>
        <w:snapToGrid w:val="0"/>
        <w:spacing w:line="360" w:lineRule="auto"/>
        <w:jc w:val="left"/>
        <w:rPr>
          <w:rFonts w:ascii="楷体_GB2312" w:eastAsia="楷体_GB2312" w:cs="Times New Roman"/>
          <w:b/>
          <w:bCs/>
          <w:sz w:val="44"/>
          <w:szCs w:val="44"/>
        </w:rPr>
      </w:pPr>
      <w:r w:rsidRPr="00777CEE"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897206" w:rsidRPr="00777CEE" w:rsidRDefault="00897206" w:rsidP="00897206">
      <w:pPr>
        <w:spacing w:line="640" w:lineRule="exact"/>
        <w:jc w:val="center"/>
        <w:rPr>
          <w:rFonts w:ascii="黑体" w:eastAsia="黑体" w:hAnsi="宋体" w:cs="Times New Roman"/>
          <w:sz w:val="36"/>
          <w:szCs w:val="36"/>
        </w:rPr>
      </w:pPr>
      <w:bookmarkStart w:id="0" w:name="_GoBack"/>
      <w:r w:rsidRPr="00777CEE">
        <w:rPr>
          <w:rFonts w:ascii="黑体" w:eastAsia="黑体" w:cs="黑体" w:hint="eastAsia"/>
          <w:sz w:val="36"/>
          <w:szCs w:val="36"/>
        </w:rPr>
        <w:t>调味面制品等休闲食品监管</w:t>
      </w:r>
      <w:r w:rsidRPr="00777CEE">
        <w:rPr>
          <w:rFonts w:ascii="黑体" w:eastAsia="黑体" w:hAnsi="宋体" w:cs="黑体" w:hint="eastAsia"/>
          <w:sz w:val="36"/>
          <w:szCs w:val="36"/>
        </w:rPr>
        <w:t>工作统计表</w:t>
      </w:r>
    </w:p>
    <w:bookmarkEnd w:id="0"/>
    <w:p w:rsidR="00897206" w:rsidRDefault="00897206" w:rsidP="00897206">
      <w:pPr>
        <w:spacing w:line="240" w:lineRule="exact"/>
        <w:jc w:val="center"/>
        <w:rPr>
          <w:rFonts w:ascii="方正小标宋简体" w:eastAsia="方正小标宋简体" w:hAnsi="宋体" w:cs="Times New Roman"/>
          <w:b/>
          <w:bCs/>
          <w:sz w:val="44"/>
          <w:szCs w:val="4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6"/>
        <w:gridCol w:w="1047"/>
        <w:gridCol w:w="1832"/>
      </w:tblGrid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535C5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</w:t>
            </w:r>
            <w:r w:rsidRPr="003535C5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</w:t>
            </w:r>
            <w:r w:rsidRPr="003535C5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535C5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3535C5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辖区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获证生产企业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辖区集贸市场、批发市场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辖区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调味面制品经营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辖区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调味面制品经营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商店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出动执法人员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人次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检查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获证生产企业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户次</w:t>
            </w:r>
            <w:proofErr w:type="gramEnd"/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检查集贸市场、批发市场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 w:rsidRPr="003535C5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检查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调味面制品经营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 w:rsidRPr="003535C5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检查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调味面制品经营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商店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  <w:r w:rsidRPr="003535C5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取缔调味面制品无证生产户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取缔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无证经营户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查处取缔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非法流动摊贩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3535C5">
              <w:rPr>
                <w:rFonts w:ascii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吊销食品生产许可证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吊销食品流通许可证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监督抽检生产企业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批次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发现生产企业不合格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批次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监督抽检经营单位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批次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发现经营单位不合格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批次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责令整改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生产企业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责令整改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  <w:r w:rsidRPr="003535C5">
              <w:rPr>
                <w:rFonts w:ascii="宋体" w:hAnsi="宋体" w:cs="宋体" w:hint="eastAsia"/>
                <w:sz w:val="24"/>
                <w:szCs w:val="24"/>
              </w:rPr>
              <w:t>经营企业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户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查处违法案件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查处不符合食品安全标准和要求的</w:t>
            </w:r>
            <w:r w:rsidRPr="003535C5">
              <w:rPr>
                <w:rFonts w:ascii="宋体" w:hAnsi="宋体" w:cs="宋体" w:hint="eastAsia"/>
                <w:color w:val="000000"/>
                <w:sz w:val="24"/>
                <w:szCs w:val="24"/>
              </w:rPr>
              <w:t>调味面制品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公斤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罚没款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97206" w:rsidRPr="003535C5" w:rsidTr="000E08E7">
        <w:trPr>
          <w:trHeight w:val="454"/>
          <w:jc w:val="center"/>
        </w:trPr>
        <w:tc>
          <w:tcPr>
            <w:tcW w:w="5928" w:type="dxa"/>
            <w:vAlign w:val="center"/>
          </w:tcPr>
          <w:p w:rsidR="00897206" w:rsidRPr="003535C5" w:rsidRDefault="00897206" w:rsidP="000E08E7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移送司法机关案件</w:t>
            </w:r>
          </w:p>
        </w:tc>
        <w:tc>
          <w:tcPr>
            <w:tcW w:w="1047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3535C5">
              <w:rPr>
                <w:rFonts w:ascii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833" w:type="dxa"/>
            <w:vAlign w:val="center"/>
          </w:tcPr>
          <w:p w:rsidR="00897206" w:rsidRPr="003535C5" w:rsidRDefault="00897206" w:rsidP="000E08E7">
            <w:pPr>
              <w:spacing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897206" w:rsidRPr="006F2283" w:rsidRDefault="00897206" w:rsidP="00897206">
      <w:pPr>
        <w:rPr>
          <w:rFonts w:cs="Times New Roman"/>
        </w:rPr>
      </w:pPr>
      <w:r>
        <w:rPr>
          <w:rFonts w:cs="宋体" w:hint="eastAsia"/>
        </w:rPr>
        <w:t>填表人：</w:t>
      </w:r>
      <w:r>
        <w:t xml:space="preserve">                     </w:t>
      </w:r>
      <w:r>
        <w:rPr>
          <w:rFonts w:cs="宋体" w:hint="eastAsia"/>
        </w:rPr>
        <w:t>审核：</w:t>
      </w:r>
      <w:r>
        <w:t xml:space="preserve">                </w:t>
      </w:r>
      <w:r>
        <w:rPr>
          <w:rFonts w:cs="宋体" w:hint="eastAsia"/>
        </w:rPr>
        <w:t>填表时间：</w:t>
      </w:r>
    </w:p>
    <w:p w:rsidR="00F577D5" w:rsidRPr="00897206" w:rsidRDefault="00897206"/>
    <w:sectPr w:rsidR="00F577D5" w:rsidRPr="00897206" w:rsidSect="00777CEE">
      <w:footerReference w:type="default" r:id="rId5"/>
      <w:pgSz w:w="11906" w:h="16838"/>
      <w:pgMar w:top="1418" w:right="1531" w:bottom="1418" w:left="153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BB" w:rsidRPr="00777CEE" w:rsidRDefault="00897206" w:rsidP="00777CEE">
    <w:pPr>
      <w:pStyle w:val="a3"/>
      <w:framePr w:w="542" w:h="366" w:hRule="exact" w:wrap="auto" w:vAnchor="text" w:hAnchor="margin" w:xAlign="outside" w:y="-1"/>
      <w:rPr>
        <w:rStyle w:val="a4"/>
        <w:rFonts w:cs="Times New Roman"/>
        <w:sz w:val="24"/>
        <w:szCs w:val="24"/>
      </w:rPr>
    </w:pPr>
    <w:r w:rsidRPr="00777CEE">
      <w:rPr>
        <w:rStyle w:val="a4"/>
        <w:sz w:val="24"/>
        <w:szCs w:val="24"/>
      </w:rPr>
      <w:fldChar w:fldCharType="begin"/>
    </w:r>
    <w:r w:rsidRPr="00777CEE">
      <w:rPr>
        <w:rStyle w:val="a4"/>
        <w:sz w:val="24"/>
        <w:szCs w:val="24"/>
      </w:rPr>
      <w:instrText xml:space="preserve">PAGE  </w:instrText>
    </w:r>
    <w:r w:rsidRPr="00777CEE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777CEE">
      <w:rPr>
        <w:rStyle w:val="a4"/>
        <w:sz w:val="24"/>
        <w:szCs w:val="24"/>
      </w:rPr>
      <w:fldChar w:fldCharType="end"/>
    </w:r>
  </w:p>
  <w:p w:rsidR="00FB48BB" w:rsidRDefault="00897206" w:rsidP="00777CEE">
    <w:pPr>
      <w:pStyle w:val="a3"/>
      <w:ind w:right="360" w:firstLine="360"/>
      <w:jc w:val="center"/>
      <w:rPr>
        <w:rFonts w:cs="Times New Roman"/>
      </w:rPr>
    </w:pPr>
  </w:p>
  <w:p w:rsidR="00FB48BB" w:rsidRDefault="00897206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06"/>
    <w:rsid w:val="00897206"/>
    <w:rsid w:val="00F801CC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7206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897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0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7206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89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2015-06-29T07:01:00Z</dcterms:created>
  <dcterms:modified xsi:type="dcterms:W3CDTF">2015-06-29T07:01:00Z</dcterms:modified>
</cp:coreProperties>
</file>