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337" w:rsidRDefault="002C4337" w:rsidP="002C4337">
      <w:pPr>
        <w:tabs>
          <w:tab w:val="left" w:pos="7740"/>
        </w:tabs>
        <w:rPr>
          <w:rFonts w:ascii="仿宋_GB2312" w:eastAsia="仿宋_GB2312"/>
          <w:sz w:val="32"/>
        </w:rPr>
      </w:pPr>
    </w:p>
    <w:p w:rsidR="002C4337" w:rsidRDefault="002C4337" w:rsidP="002C4337">
      <w:pPr>
        <w:tabs>
          <w:tab w:val="left" w:pos="7740"/>
        </w:tabs>
        <w:spacing w:line="720" w:lineRule="exact"/>
        <w:rPr>
          <w:rFonts w:ascii="仿宋_GB2312" w:eastAsia="仿宋_GB2312"/>
          <w:sz w:val="32"/>
        </w:rPr>
      </w:pPr>
    </w:p>
    <w:p w:rsidR="002C4337" w:rsidRDefault="002C4337" w:rsidP="002C4337">
      <w:pPr>
        <w:tabs>
          <w:tab w:val="left" w:pos="7740"/>
        </w:tabs>
        <w:spacing w:line="720" w:lineRule="exact"/>
        <w:rPr>
          <w:rFonts w:ascii="仿宋_GB2312" w:eastAsia="仿宋_GB2312"/>
          <w:sz w:val="32"/>
        </w:rPr>
      </w:pPr>
    </w:p>
    <w:p w:rsidR="002C4337" w:rsidRDefault="002C4337" w:rsidP="002C4337">
      <w:pPr>
        <w:tabs>
          <w:tab w:val="left" w:pos="7740"/>
        </w:tabs>
        <w:rPr>
          <w:rFonts w:ascii="仿宋_GB2312" w:eastAsia="仿宋_GB2312"/>
          <w:sz w:val="32"/>
        </w:rPr>
      </w:pPr>
    </w:p>
    <w:p w:rsidR="002C4337" w:rsidRDefault="002C4337" w:rsidP="002C4337">
      <w:pPr>
        <w:tabs>
          <w:tab w:val="left" w:pos="7740"/>
        </w:tabs>
        <w:rPr>
          <w:rFonts w:ascii="仿宋_GB2312" w:eastAsia="仿宋_GB2312"/>
          <w:sz w:val="32"/>
        </w:rPr>
      </w:pPr>
    </w:p>
    <w:p w:rsidR="002C4337" w:rsidRDefault="002C4337" w:rsidP="002C4337">
      <w:pPr>
        <w:tabs>
          <w:tab w:val="left" w:pos="7740"/>
        </w:tabs>
        <w:rPr>
          <w:rFonts w:ascii="仿宋_GB2312" w:eastAsia="仿宋_GB2312"/>
          <w:sz w:val="32"/>
        </w:rPr>
      </w:pPr>
    </w:p>
    <w:p w:rsidR="002C4337" w:rsidRDefault="002C4337" w:rsidP="002C4337">
      <w:pPr>
        <w:tabs>
          <w:tab w:val="left" w:pos="7740"/>
        </w:tabs>
        <w:rPr>
          <w:rFonts w:ascii="仿宋_GB2312" w:eastAsia="仿宋_GB2312"/>
          <w:sz w:val="32"/>
        </w:rPr>
      </w:pPr>
    </w:p>
    <w:p w:rsidR="002C4337" w:rsidRDefault="002C4337" w:rsidP="002C4337">
      <w:pPr>
        <w:tabs>
          <w:tab w:val="left" w:pos="7740"/>
        </w:tabs>
        <w:rPr>
          <w:rFonts w:ascii="仿宋_GB2312" w:eastAsia="仿宋_GB2312"/>
          <w:sz w:val="32"/>
        </w:rPr>
      </w:pPr>
    </w:p>
    <w:p w:rsidR="002C4337" w:rsidRDefault="002C4337" w:rsidP="002C4337">
      <w:pPr>
        <w:tabs>
          <w:tab w:val="left" w:pos="7740"/>
        </w:tabs>
        <w:jc w:val="center"/>
        <w:outlineLvl w:val="0"/>
        <w:rPr>
          <w:rFonts w:ascii="仿宋_GB2312" w:eastAsia="仿宋_GB2312"/>
          <w:sz w:val="32"/>
        </w:rPr>
      </w:pPr>
      <w:r>
        <w:rPr>
          <w:rFonts w:ascii="仿宋_GB2312" w:eastAsia="仿宋_GB2312" w:hint="eastAsia"/>
          <w:sz w:val="32"/>
        </w:rPr>
        <w:t>新农科〔2017〕37号</w:t>
      </w:r>
    </w:p>
    <w:p w:rsidR="002C4337" w:rsidRDefault="002C4337" w:rsidP="002C4337">
      <w:pPr>
        <w:tabs>
          <w:tab w:val="left" w:pos="7740"/>
        </w:tabs>
        <w:spacing w:line="500" w:lineRule="exact"/>
        <w:rPr>
          <w:rFonts w:ascii="仿宋_GB2312" w:eastAsia="仿宋_GB2312"/>
          <w:sz w:val="32"/>
        </w:rPr>
      </w:pPr>
    </w:p>
    <w:p w:rsidR="002C4337" w:rsidRDefault="002C4337" w:rsidP="002C4337">
      <w:pPr>
        <w:tabs>
          <w:tab w:val="left" w:pos="7740"/>
        </w:tabs>
        <w:spacing w:line="500" w:lineRule="exact"/>
        <w:rPr>
          <w:rFonts w:ascii="仿宋_GB2312" w:eastAsia="仿宋_GB2312"/>
          <w:sz w:val="32"/>
        </w:rPr>
      </w:pPr>
    </w:p>
    <w:p w:rsidR="002C4337" w:rsidRPr="002C4337" w:rsidRDefault="002C4337" w:rsidP="002C4337">
      <w:pPr>
        <w:widowControl/>
        <w:spacing w:line="600" w:lineRule="exact"/>
        <w:jc w:val="center"/>
        <w:rPr>
          <w:rFonts w:ascii="宋体" w:hAnsi="宋体" w:cs="宋体" w:hint="eastAsia"/>
          <w:b/>
          <w:bCs/>
          <w:spacing w:val="-18"/>
          <w:w w:val="90"/>
          <w:kern w:val="0"/>
          <w:sz w:val="44"/>
          <w:szCs w:val="44"/>
        </w:rPr>
      </w:pPr>
      <w:r w:rsidRPr="002C4337">
        <w:rPr>
          <w:rFonts w:ascii="宋体" w:hAnsi="宋体" w:cs="宋体" w:hint="eastAsia"/>
          <w:b/>
          <w:bCs/>
          <w:spacing w:val="-18"/>
          <w:w w:val="90"/>
          <w:kern w:val="0"/>
          <w:sz w:val="44"/>
          <w:szCs w:val="44"/>
        </w:rPr>
        <w:t>关于做好2017年农业转基因监管工作的通知</w:t>
      </w:r>
    </w:p>
    <w:p w:rsidR="002C4337" w:rsidRDefault="002C4337" w:rsidP="002C4337">
      <w:pPr>
        <w:widowControl/>
        <w:spacing w:line="600" w:lineRule="exact"/>
        <w:rPr>
          <w:rFonts w:ascii="仿宋_GB2312" w:eastAsia="仿宋_GB2312" w:hAnsi="宋体" w:cs="宋体" w:hint="eastAsia"/>
          <w:bCs/>
          <w:kern w:val="0"/>
          <w:sz w:val="32"/>
          <w:szCs w:val="32"/>
        </w:rPr>
      </w:pPr>
    </w:p>
    <w:p w:rsidR="002C4337" w:rsidRDefault="002C4337" w:rsidP="002C4337">
      <w:pPr>
        <w:adjustRightInd w:val="0"/>
        <w:snapToGrid w:val="0"/>
        <w:spacing w:line="540" w:lineRule="exact"/>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伊犁哈萨克自治州农业局，各地、州、市农业局：</w:t>
      </w:r>
    </w:p>
    <w:p w:rsidR="002C4337" w:rsidRDefault="002C4337" w:rsidP="002C4337">
      <w:pPr>
        <w:pStyle w:val="a5"/>
        <w:widowControl w:val="0"/>
        <w:shd w:val="clear" w:color="auto" w:fill="FFFFFF"/>
        <w:adjustRightInd w:val="0"/>
        <w:snapToGrid w:val="0"/>
        <w:spacing w:before="0" w:beforeAutospacing="0" w:after="0" w:afterAutospacing="0" w:line="540" w:lineRule="exact"/>
        <w:ind w:firstLineChars="200" w:firstLine="640"/>
        <w:jc w:val="both"/>
        <w:rPr>
          <w:rFonts w:ascii="仿宋_GB2312" w:eastAsia="仿宋_GB2312" w:hint="eastAsia"/>
          <w:color w:val="000000"/>
          <w:sz w:val="32"/>
          <w:szCs w:val="32"/>
        </w:rPr>
      </w:pPr>
      <w:r>
        <w:rPr>
          <w:rFonts w:ascii="仿宋_GB2312" w:eastAsia="仿宋_GB2312" w:hint="eastAsia"/>
          <w:color w:val="000000"/>
          <w:sz w:val="32"/>
          <w:szCs w:val="32"/>
        </w:rPr>
        <w:t>为全面落实《农业部办公厅关于做好2017年农业转基因监管工作的通知》（</w:t>
      </w:r>
      <w:proofErr w:type="gramStart"/>
      <w:r>
        <w:rPr>
          <w:rFonts w:ascii="仿宋_GB2312" w:eastAsia="仿宋_GB2312" w:hint="eastAsia"/>
          <w:color w:val="000000"/>
          <w:sz w:val="32"/>
          <w:szCs w:val="32"/>
        </w:rPr>
        <w:t>农办科</w:t>
      </w:r>
      <w:proofErr w:type="gramEnd"/>
      <w:r>
        <w:rPr>
          <w:rFonts w:ascii="仿宋_GB2312" w:eastAsia="仿宋_GB2312" w:hint="eastAsia"/>
          <w:color w:val="000000"/>
          <w:sz w:val="32"/>
          <w:szCs w:val="32"/>
        </w:rPr>
        <w:t>〔2017〕4号）的各项要求，切实做好2017年我区农业转基因监管工作，促进农业转基因研究与应用健康发展，现就有关事项通知如下。</w:t>
      </w:r>
    </w:p>
    <w:p w:rsidR="002C4337" w:rsidRDefault="002C4337" w:rsidP="002C4337">
      <w:pPr>
        <w:pStyle w:val="a5"/>
        <w:widowControl w:val="0"/>
        <w:shd w:val="clear" w:color="auto" w:fill="FFFFFF"/>
        <w:adjustRightInd w:val="0"/>
        <w:snapToGrid w:val="0"/>
        <w:spacing w:before="0" w:beforeAutospacing="0" w:after="0" w:afterAutospacing="0" w:line="540" w:lineRule="exact"/>
        <w:ind w:firstLineChars="200" w:firstLine="640"/>
        <w:jc w:val="both"/>
        <w:rPr>
          <w:rFonts w:ascii="黑体" w:eastAsia="黑体" w:hint="eastAsia"/>
          <w:color w:val="000000"/>
          <w:sz w:val="32"/>
          <w:szCs w:val="32"/>
        </w:rPr>
      </w:pPr>
      <w:r>
        <w:rPr>
          <w:rFonts w:ascii="黑体" w:eastAsia="黑体" w:hint="eastAsia"/>
          <w:color w:val="000000"/>
          <w:sz w:val="32"/>
          <w:szCs w:val="32"/>
        </w:rPr>
        <w:t>一、突出监管重点</w:t>
      </w:r>
    </w:p>
    <w:p w:rsidR="002C4337" w:rsidRDefault="002C4337" w:rsidP="002C4337">
      <w:pPr>
        <w:pStyle w:val="a5"/>
        <w:widowControl w:val="0"/>
        <w:shd w:val="clear" w:color="auto" w:fill="FFFFFF"/>
        <w:adjustRightInd w:val="0"/>
        <w:snapToGrid w:val="0"/>
        <w:spacing w:before="0" w:beforeAutospacing="0" w:after="0" w:afterAutospacing="0" w:line="540" w:lineRule="exact"/>
        <w:ind w:firstLine="480"/>
        <w:jc w:val="both"/>
        <w:rPr>
          <w:rFonts w:ascii="仿宋_GB2312" w:eastAsia="仿宋_GB2312" w:hint="eastAsia"/>
          <w:color w:val="000000"/>
          <w:sz w:val="32"/>
          <w:szCs w:val="32"/>
        </w:rPr>
      </w:pPr>
      <w:r>
        <w:rPr>
          <w:rFonts w:ascii="楷体_GB2312" w:eastAsia="楷体_GB2312" w:hint="eastAsia"/>
          <w:b/>
          <w:color w:val="000000"/>
          <w:sz w:val="32"/>
          <w:szCs w:val="32"/>
        </w:rPr>
        <w:t>（一）加强试验环节监管。</w:t>
      </w:r>
      <w:r>
        <w:rPr>
          <w:rFonts w:ascii="仿宋_GB2312" w:eastAsia="仿宋_GB2312" w:hint="eastAsia"/>
          <w:color w:val="000000"/>
          <w:sz w:val="32"/>
          <w:szCs w:val="32"/>
        </w:rPr>
        <w:t>各地农业行政主管部门要按照法律、法规、规章要求，全面加强试验环节属地监管。一是严格执行转基因作物中间试验、环境释放和生产性试验依法报告报批制度，严查有关科研单位和大专院校中间试验是否依法报告、环境释放和生产性试验是否依法报批、安全控制措施是否落实。二是</w:t>
      </w:r>
      <w:r>
        <w:rPr>
          <w:rFonts w:ascii="仿宋_GB2312" w:eastAsia="仿宋_GB2312" w:hint="eastAsia"/>
          <w:color w:val="000000"/>
          <w:sz w:val="32"/>
          <w:szCs w:val="32"/>
        </w:rPr>
        <w:lastRenderedPageBreak/>
        <w:t>对农业部已经批复的转基因</w:t>
      </w:r>
      <w:proofErr w:type="gramStart"/>
      <w:r>
        <w:rPr>
          <w:rFonts w:ascii="仿宋_GB2312" w:eastAsia="仿宋_GB2312" w:hint="eastAsia"/>
          <w:color w:val="000000"/>
          <w:sz w:val="32"/>
          <w:szCs w:val="32"/>
        </w:rPr>
        <w:t>试验全</w:t>
      </w:r>
      <w:proofErr w:type="gramEnd"/>
      <w:r>
        <w:rPr>
          <w:rFonts w:ascii="仿宋_GB2312" w:eastAsia="仿宋_GB2312" w:hint="eastAsia"/>
          <w:color w:val="000000"/>
          <w:sz w:val="32"/>
          <w:szCs w:val="32"/>
        </w:rPr>
        <w:t>覆盖检查，试验前检查控制措施和制度建设情况，试验中检查安全隔离等措施落实情况，试验结束检查残余物和收获物处理、保存情况。三是对辖区内涉农科研育种单位的试验基地全覆盖排查，通过抽样检测查处转基因作物非法试验。四是将近年来被处罚、被通报单位作为监管重点，定期检查，确保试验各个环节全程监管。</w:t>
      </w:r>
    </w:p>
    <w:p w:rsidR="002C4337" w:rsidRDefault="002C4337" w:rsidP="002C4337">
      <w:pPr>
        <w:adjustRightInd w:val="0"/>
        <w:snapToGrid w:val="0"/>
        <w:spacing w:line="540" w:lineRule="exact"/>
        <w:ind w:firstLineChars="200" w:firstLine="643"/>
        <w:rPr>
          <w:rFonts w:ascii="仿宋_GB2312" w:eastAsia="仿宋_GB2312" w:hAnsi="宋体" w:cs="宋体" w:hint="eastAsia"/>
          <w:kern w:val="0"/>
          <w:sz w:val="32"/>
          <w:szCs w:val="32"/>
        </w:rPr>
      </w:pPr>
      <w:r>
        <w:rPr>
          <w:rFonts w:ascii="楷体_GB2312" w:eastAsia="楷体_GB2312" w:hint="eastAsia"/>
          <w:b/>
          <w:color w:val="000000"/>
          <w:sz w:val="32"/>
          <w:szCs w:val="32"/>
        </w:rPr>
        <w:t>（二）加强南</w:t>
      </w:r>
      <w:proofErr w:type="gramStart"/>
      <w:r>
        <w:rPr>
          <w:rFonts w:ascii="楷体_GB2312" w:eastAsia="楷体_GB2312" w:hint="eastAsia"/>
          <w:b/>
          <w:color w:val="000000"/>
          <w:sz w:val="32"/>
          <w:szCs w:val="32"/>
        </w:rPr>
        <w:t>繁基地</w:t>
      </w:r>
      <w:proofErr w:type="gramEnd"/>
      <w:r>
        <w:rPr>
          <w:rFonts w:ascii="楷体_GB2312" w:eastAsia="楷体_GB2312" w:hint="eastAsia"/>
          <w:b/>
          <w:color w:val="000000"/>
          <w:sz w:val="32"/>
          <w:szCs w:val="32"/>
        </w:rPr>
        <w:t>监管。</w:t>
      </w:r>
      <w:r>
        <w:rPr>
          <w:rFonts w:ascii="仿宋_GB2312" w:eastAsia="仿宋_GB2312" w:hAnsi="宋体" w:cs="宋体" w:hint="eastAsia"/>
          <w:kern w:val="0"/>
          <w:sz w:val="32"/>
          <w:szCs w:val="32"/>
        </w:rPr>
        <w:t>对南</w:t>
      </w:r>
      <w:proofErr w:type="gramStart"/>
      <w:r>
        <w:rPr>
          <w:rFonts w:ascii="仿宋_GB2312" w:eastAsia="仿宋_GB2312" w:hAnsi="宋体" w:cs="宋体" w:hint="eastAsia"/>
          <w:kern w:val="0"/>
          <w:sz w:val="32"/>
          <w:szCs w:val="32"/>
        </w:rPr>
        <w:t>繁基地</w:t>
      </w:r>
      <w:proofErr w:type="gramEnd"/>
      <w:r>
        <w:rPr>
          <w:rFonts w:ascii="仿宋_GB2312" w:eastAsia="仿宋_GB2312" w:hAnsi="宋体" w:cs="宋体" w:hint="eastAsia"/>
          <w:kern w:val="0"/>
          <w:sz w:val="32"/>
          <w:szCs w:val="32"/>
        </w:rPr>
        <w:t>进行全覆盖检测监测，严查私自开展转基因试验和</w:t>
      </w:r>
      <w:proofErr w:type="gramStart"/>
      <w:r>
        <w:rPr>
          <w:rFonts w:ascii="仿宋_GB2312" w:eastAsia="仿宋_GB2312" w:hAnsi="宋体" w:cs="宋体" w:hint="eastAsia"/>
          <w:kern w:val="0"/>
          <w:sz w:val="32"/>
          <w:szCs w:val="32"/>
        </w:rPr>
        <w:t>育繁种</w:t>
      </w:r>
      <w:proofErr w:type="gramEnd"/>
      <w:r>
        <w:rPr>
          <w:rFonts w:ascii="仿宋_GB2312" w:eastAsia="仿宋_GB2312" w:hAnsi="宋体" w:cs="宋体" w:hint="eastAsia"/>
          <w:kern w:val="0"/>
          <w:sz w:val="32"/>
          <w:szCs w:val="32"/>
        </w:rPr>
        <w:t>行为，对违规试验和</w:t>
      </w:r>
      <w:proofErr w:type="gramStart"/>
      <w:r>
        <w:rPr>
          <w:rFonts w:ascii="仿宋_GB2312" w:eastAsia="仿宋_GB2312" w:hAnsi="宋体" w:cs="宋体" w:hint="eastAsia"/>
          <w:kern w:val="0"/>
          <w:sz w:val="32"/>
          <w:szCs w:val="32"/>
        </w:rPr>
        <w:t>育繁种</w:t>
      </w:r>
      <w:proofErr w:type="gramEnd"/>
      <w:r>
        <w:rPr>
          <w:rFonts w:ascii="仿宋_GB2312" w:eastAsia="仿宋_GB2312" w:hAnsi="宋体" w:cs="宋体" w:hint="eastAsia"/>
          <w:kern w:val="0"/>
          <w:sz w:val="32"/>
          <w:szCs w:val="32"/>
        </w:rPr>
        <w:t>材料坚决铲除。加强农业转基因生物试验基地的管理，</w:t>
      </w:r>
      <w:r>
        <w:rPr>
          <w:rFonts w:ascii="仿宋_GB2312" w:eastAsia="仿宋_GB2312" w:hint="eastAsia"/>
          <w:color w:val="000000"/>
          <w:sz w:val="32"/>
          <w:szCs w:val="32"/>
        </w:rPr>
        <w:t>要求南</w:t>
      </w:r>
      <w:proofErr w:type="gramStart"/>
      <w:r>
        <w:rPr>
          <w:rFonts w:ascii="仿宋_GB2312" w:eastAsia="仿宋_GB2312" w:hint="eastAsia"/>
          <w:color w:val="000000"/>
          <w:sz w:val="32"/>
          <w:szCs w:val="32"/>
        </w:rPr>
        <w:t>繁单位</w:t>
      </w:r>
      <w:proofErr w:type="gramEnd"/>
      <w:r>
        <w:rPr>
          <w:rFonts w:ascii="仿宋_GB2312" w:eastAsia="仿宋_GB2312" w:hint="eastAsia"/>
          <w:color w:val="000000"/>
          <w:sz w:val="32"/>
          <w:szCs w:val="32"/>
        </w:rPr>
        <w:t>认真开展自查，</w:t>
      </w:r>
      <w:r>
        <w:rPr>
          <w:rFonts w:ascii="仿宋_GB2312" w:eastAsia="仿宋_GB2312" w:hAnsi="宋体" w:cs="宋体" w:hint="eastAsia"/>
          <w:kern w:val="0"/>
          <w:sz w:val="32"/>
          <w:szCs w:val="32"/>
        </w:rPr>
        <w:t>落实基地的设施条件和管理要求，推进生物育种专区建设，逐步将转基因南</w:t>
      </w:r>
      <w:proofErr w:type="gramStart"/>
      <w:r>
        <w:rPr>
          <w:rFonts w:ascii="仿宋_GB2312" w:eastAsia="仿宋_GB2312" w:hAnsi="宋体" w:cs="宋体" w:hint="eastAsia"/>
          <w:kern w:val="0"/>
          <w:sz w:val="32"/>
          <w:szCs w:val="32"/>
        </w:rPr>
        <w:t>繁试验</w:t>
      </w:r>
      <w:proofErr w:type="gramEnd"/>
      <w:r>
        <w:rPr>
          <w:rFonts w:ascii="仿宋_GB2312" w:eastAsia="仿宋_GB2312" w:hAnsi="宋体" w:cs="宋体" w:hint="eastAsia"/>
          <w:kern w:val="0"/>
          <w:sz w:val="32"/>
          <w:szCs w:val="32"/>
        </w:rPr>
        <w:t>纳入专区管理。</w:t>
      </w:r>
    </w:p>
    <w:p w:rsidR="002C4337" w:rsidRDefault="002C4337" w:rsidP="002C4337">
      <w:pPr>
        <w:pStyle w:val="a5"/>
        <w:widowControl w:val="0"/>
        <w:shd w:val="clear" w:color="auto" w:fill="FFFFFF"/>
        <w:adjustRightInd w:val="0"/>
        <w:snapToGrid w:val="0"/>
        <w:spacing w:before="0" w:beforeAutospacing="0" w:after="0" w:afterAutospacing="0" w:line="540" w:lineRule="exact"/>
        <w:ind w:firstLineChars="200" w:firstLine="643"/>
        <w:jc w:val="both"/>
        <w:rPr>
          <w:rFonts w:ascii="仿宋_GB2312" w:eastAsia="仿宋_GB2312" w:hint="eastAsia"/>
          <w:color w:val="000000"/>
          <w:sz w:val="32"/>
          <w:szCs w:val="32"/>
        </w:rPr>
      </w:pPr>
      <w:r>
        <w:rPr>
          <w:rFonts w:ascii="楷体_GB2312" w:eastAsia="楷体_GB2312" w:hint="eastAsia"/>
          <w:b/>
          <w:color w:val="000000"/>
          <w:sz w:val="32"/>
          <w:szCs w:val="32"/>
        </w:rPr>
        <w:t>（三）加强品种审定环节监管。</w:t>
      </w:r>
      <w:r>
        <w:rPr>
          <w:rFonts w:ascii="仿宋_GB2312" w:eastAsia="仿宋_GB2312" w:hint="eastAsia"/>
          <w:color w:val="000000"/>
          <w:sz w:val="32"/>
          <w:szCs w:val="32"/>
        </w:rPr>
        <w:t>申请品种审定的单位要对参加区域试验的玉米、水稻、大豆、小麦、棉花等品种进行转基因成分检测，试验组织单位要进行复检，发现非法含有转基因成分的立即终止试验并按规定严肃处理。严格落实未获得农业转基因生物生产应用安全证书的品种一律不得进行区域试验和品种审定的要求。</w:t>
      </w:r>
    </w:p>
    <w:p w:rsidR="002C4337" w:rsidRDefault="002C4337" w:rsidP="002C4337">
      <w:pPr>
        <w:pStyle w:val="a5"/>
        <w:widowControl w:val="0"/>
        <w:shd w:val="clear" w:color="auto" w:fill="FFFFFF"/>
        <w:adjustRightInd w:val="0"/>
        <w:snapToGrid w:val="0"/>
        <w:spacing w:before="0" w:beforeAutospacing="0" w:after="0" w:afterAutospacing="0" w:line="540" w:lineRule="exact"/>
        <w:ind w:firstLineChars="200" w:firstLine="643"/>
        <w:jc w:val="both"/>
        <w:rPr>
          <w:rFonts w:ascii="仿宋_GB2312" w:eastAsia="仿宋_GB2312" w:hint="eastAsia"/>
          <w:color w:val="000000"/>
          <w:sz w:val="32"/>
          <w:szCs w:val="32"/>
        </w:rPr>
      </w:pPr>
      <w:r>
        <w:rPr>
          <w:rFonts w:ascii="楷体_GB2312" w:eastAsia="楷体_GB2312" w:hint="eastAsia"/>
          <w:b/>
          <w:color w:val="000000"/>
          <w:sz w:val="32"/>
          <w:szCs w:val="32"/>
        </w:rPr>
        <w:t>（四）加强种子生产环节监管。</w:t>
      </w:r>
      <w:r>
        <w:rPr>
          <w:rFonts w:ascii="仿宋_GB2312" w:eastAsia="仿宋_GB2312" w:hint="eastAsia"/>
          <w:color w:val="000000"/>
          <w:sz w:val="32"/>
          <w:szCs w:val="32"/>
        </w:rPr>
        <w:t>各级种子管理部门要把辖区内种子企业的制种田作为重点，</w:t>
      </w:r>
      <w:proofErr w:type="gramStart"/>
      <w:r>
        <w:rPr>
          <w:rFonts w:ascii="仿宋_GB2312" w:eastAsia="仿宋_GB2312" w:hint="eastAsia"/>
          <w:color w:val="000000"/>
          <w:sz w:val="32"/>
          <w:szCs w:val="32"/>
        </w:rPr>
        <w:t>查早查</w:t>
      </w:r>
      <w:proofErr w:type="gramEnd"/>
      <w:r>
        <w:rPr>
          <w:rFonts w:ascii="仿宋_GB2312" w:eastAsia="仿宋_GB2312" w:hint="eastAsia"/>
          <w:color w:val="000000"/>
          <w:sz w:val="32"/>
          <w:szCs w:val="32"/>
        </w:rPr>
        <w:t>小。播种前，对辖区内的种子生产基地开展拉网式排查，查清亲本来源，防止非法转基因种子播种。在苗期和花期，利用快速检测方法对种子田进行大范围筛查，对发现问题的地块，要严从速查处，并依法严肃处理相关责任人员。</w:t>
      </w:r>
    </w:p>
    <w:p w:rsidR="002C4337" w:rsidRDefault="002C4337" w:rsidP="002C4337">
      <w:pPr>
        <w:pStyle w:val="a5"/>
        <w:widowControl w:val="0"/>
        <w:shd w:val="clear" w:color="auto" w:fill="FFFFFF"/>
        <w:adjustRightInd w:val="0"/>
        <w:snapToGrid w:val="0"/>
        <w:spacing w:before="0" w:beforeAutospacing="0" w:after="0" w:afterAutospacing="0" w:line="540" w:lineRule="exact"/>
        <w:ind w:firstLineChars="200" w:firstLine="643"/>
        <w:jc w:val="both"/>
        <w:rPr>
          <w:rFonts w:ascii="仿宋_GB2312" w:eastAsia="仿宋_GB2312" w:hint="eastAsia"/>
          <w:color w:val="000000"/>
          <w:sz w:val="32"/>
          <w:szCs w:val="32"/>
        </w:rPr>
      </w:pPr>
      <w:r>
        <w:rPr>
          <w:rFonts w:ascii="楷体_GB2312" w:eastAsia="楷体_GB2312" w:hint="eastAsia"/>
          <w:b/>
          <w:color w:val="000000"/>
          <w:sz w:val="32"/>
          <w:szCs w:val="32"/>
        </w:rPr>
        <w:t>（五）加强种子经营环节监管。</w:t>
      </w:r>
      <w:r>
        <w:rPr>
          <w:rFonts w:ascii="仿宋_GB2312" w:eastAsia="仿宋_GB2312" w:hint="eastAsia"/>
          <w:color w:val="000000"/>
          <w:sz w:val="32"/>
          <w:szCs w:val="32"/>
        </w:rPr>
        <w:t>各级种子管理部门加大种子市场执法检查力度，组织对玉米、水稻、大豆和油菜等种子进行</w:t>
      </w:r>
      <w:r>
        <w:rPr>
          <w:rFonts w:ascii="仿宋_GB2312" w:eastAsia="仿宋_GB2312" w:hint="eastAsia"/>
          <w:color w:val="000000"/>
          <w:sz w:val="32"/>
          <w:szCs w:val="32"/>
        </w:rPr>
        <w:lastRenderedPageBreak/>
        <w:t>转基因成分抽检，严防转基因种子冒充非转基因种子生产经营。</w:t>
      </w:r>
    </w:p>
    <w:p w:rsidR="002C4337" w:rsidRDefault="002C4337" w:rsidP="002C4337">
      <w:pPr>
        <w:pStyle w:val="a5"/>
        <w:widowControl w:val="0"/>
        <w:shd w:val="clear" w:color="auto" w:fill="FFFFFF"/>
        <w:adjustRightInd w:val="0"/>
        <w:snapToGrid w:val="0"/>
        <w:spacing w:before="0" w:beforeAutospacing="0" w:after="0" w:afterAutospacing="0" w:line="540" w:lineRule="exact"/>
        <w:ind w:firstLineChars="200" w:firstLine="643"/>
        <w:jc w:val="both"/>
        <w:rPr>
          <w:rFonts w:ascii="仿宋_GB2312" w:eastAsia="仿宋_GB2312" w:hint="eastAsia"/>
          <w:color w:val="000000"/>
          <w:sz w:val="32"/>
          <w:szCs w:val="32"/>
        </w:rPr>
      </w:pPr>
      <w:r>
        <w:rPr>
          <w:rFonts w:ascii="楷体_GB2312" w:eastAsia="楷体_GB2312" w:hint="eastAsia"/>
          <w:b/>
          <w:color w:val="000000"/>
          <w:sz w:val="32"/>
          <w:szCs w:val="32"/>
        </w:rPr>
        <w:t>（六）加强进口加工环节监管</w:t>
      </w:r>
      <w:r>
        <w:rPr>
          <w:rFonts w:ascii="仿宋_GB2312" w:eastAsia="仿宋_GB2312" w:hint="eastAsia"/>
          <w:color w:val="000000"/>
          <w:sz w:val="32"/>
          <w:szCs w:val="32"/>
        </w:rPr>
        <w:t>。严格落实转基因生物进口和加工许可制度，严查国内进口商和加工企业的安全控制措施、档案记录和标识管理，重点核查装卸、储藏、运输、加工过程中安全控制措施落实情况，产品采购、加工、销售等管理档案以及转基因产品标识情况，开展抽样检测，确保进口转基因生物全部用于原料加工，推动境外贸易商、国内进口商、国内加工企业监管工作一体化。</w:t>
      </w:r>
    </w:p>
    <w:p w:rsidR="002C4337" w:rsidRDefault="002C4337" w:rsidP="002C4337">
      <w:pPr>
        <w:pStyle w:val="a5"/>
        <w:widowControl w:val="0"/>
        <w:shd w:val="clear" w:color="auto" w:fill="FFFFFF"/>
        <w:adjustRightInd w:val="0"/>
        <w:snapToGrid w:val="0"/>
        <w:spacing w:before="0" w:beforeAutospacing="0" w:after="0" w:afterAutospacing="0" w:line="540" w:lineRule="exact"/>
        <w:ind w:firstLineChars="200" w:firstLine="640"/>
        <w:jc w:val="both"/>
        <w:rPr>
          <w:rFonts w:ascii="黑体" w:eastAsia="黑体" w:hint="eastAsia"/>
          <w:color w:val="000000"/>
          <w:sz w:val="32"/>
          <w:szCs w:val="32"/>
        </w:rPr>
      </w:pPr>
      <w:r>
        <w:rPr>
          <w:rFonts w:ascii="黑体" w:eastAsia="黑体" w:hint="eastAsia"/>
          <w:color w:val="000000"/>
          <w:sz w:val="32"/>
          <w:szCs w:val="32"/>
        </w:rPr>
        <w:t>二、加大查处力度</w:t>
      </w:r>
    </w:p>
    <w:p w:rsidR="002C4337" w:rsidRDefault="002C4337" w:rsidP="002C4337">
      <w:pPr>
        <w:pStyle w:val="a5"/>
        <w:widowControl w:val="0"/>
        <w:shd w:val="clear" w:color="auto" w:fill="FFFFFF"/>
        <w:adjustRightInd w:val="0"/>
        <w:snapToGrid w:val="0"/>
        <w:spacing w:before="0" w:beforeAutospacing="0" w:after="0" w:afterAutospacing="0" w:line="540" w:lineRule="exact"/>
        <w:ind w:firstLine="480"/>
        <w:jc w:val="both"/>
        <w:rPr>
          <w:rFonts w:ascii="仿宋_GB2312" w:eastAsia="仿宋_GB2312" w:hint="eastAsia"/>
          <w:color w:val="000000"/>
          <w:sz w:val="32"/>
          <w:szCs w:val="32"/>
        </w:rPr>
      </w:pPr>
      <w:r>
        <w:rPr>
          <w:rFonts w:ascii="楷体_GB2312" w:eastAsia="楷体_GB2312" w:hAnsi="楷体_GB2312" w:cs="楷体_GB2312" w:hint="eastAsia"/>
          <w:b/>
          <w:color w:val="000000"/>
          <w:sz w:val="32"/>
          <w:szCs w:val="32"/>
        </w:rPr>
        <w:t>（一）加大试验研发环节的查处力度。</w:t>
      </w:r>
      <w:r>
        <w:rPr>
          <w:rFonts w:ascii="仿宋_GB2312" w:eastAsia="仿宋_GB2312" w:hint="eastAsia"/>
          <w:color w:val="000000"/>
          <w:sz w:val="32"/>
          <w:szCs w:val="32"/>
        </w:rPr>
        <w:t>对违法开展田间试验（中间试验、环境释放、生产性试验）和品种选育的研发者，责令停止试验，停止安全评价申请资格，依法给予行政处罚，情节严重的停止科研项目，追究单位领导责任。</w:t>
      </w:r>
    </w:p>
    <w:p w:rsidR="002C4337" w:rsidRDefault="002C4337" w:rsidP="002C4337">
      <w:pPr>
        <w:pStyle w:val="a5"/>
        <w:widowControl w:val="0"/>
        <w:shd w:val="clear" w:color="auto" w:fill="FFFFFF"/>
        <w:adjustRightInd w:val="0"/>
        <w:snapToGrid w:val="0"/>
        <w:spacing w:before="0" w:beforeAutospacing="0" w:after="0" w:afterAutospacing="0" w:line="540" w:lineRule="exact"/>
        <w:ind w:firstLine="480"/>
        <w:jc w:val="both"/>
        <w:rPr>
          <w:rFonts w:ascii="仿宋_GB2312" w:eastAsia="仿宋_GB2312" w:hint="eastAsia"/>
          <w:color w:val="000000"/>
          <w:sz w:val="32"/>
          <w:szCs w:val="32"/>
        </w:rPr>
      </w:pPr>
      <w:r>
        <w:rPr>
          <w:rFonts w:ascii="楷体_GB2312" w:eastAsia="楷体_GB2312" w:hint="eastAsia"/>
          <w:b/>
          <w:color w:val="000000"/>
          <w:sz w:val="32"/>
          <w:szCs w:val="32"/>
        </w:rPr>
        <w:t>（二）加大品种审定环节的查处力度</w:t>
      </w:r>
      <w:r>
        <w:rPr>
          <w:rFonts w:ascii="仿宋_GB2312" w:eastAsia="仿宋_GB2312" w:hint="eastAsia"/>
          <w:color w:val="000000"/>
          <w:sz w:val="32"/>
          <w:szCs w:val="32"/>
        </w:rPr>
        <w:t>。对以转基因品种冒充非转基因品种申请试验审定的，严格按《种子法》及相关法规规章进行处罚。</w:t>
      </w:r>
    </w:p>
    <w:p w:rsidR="002C4337" w:rsidRDefault="002C4337" w:rsidP="002C4337">
      <w:pPr>
        <w:pStyle w:val="a5"/>
        <w:widowControl w:val="0"/>
        <w:shd w:val="clear" w:color="auto" w:fill="FFFFFF"/>
        <w:adjustRightInd w:val="0"/>
        <w:snapToGrid w:val="0"/>
        <w:spacing w:before="0" w:beforeAutospacing="0" w:after="0" w:afterAutospacing="0" w:line="540" w:lineRule="exact"/>
        <w:ind w:firstLine="480"/>
        <w:jc w:val="both"/>
        <w:rPr>
          <w:rFonts w:ascii="仿宋_GB2312" w:eastAsia="仿宋_GB2312" w:hint="eastAsia"/>
          <w:color w:val="000000"/>
          <w:sz w:val="32"/>
          <w:szCs w:val="32"/>
        </w:rPr>
      </w:pPr>
      <w:r>
        <w:rPr>
          <w:rFonts w:ascii="楷体_GB2312" w:eastAsia="楷体_GB2312" w:hint="eastAsia"/>
          <w:b/>
          <w:color w:val="000000"/>
          <w:sz w:val="32"/>
          <w:szCs w:val="32"/>
        </w:rPr>
        <w:t>（三）加大种子生产经营环节的查处力度。</w:t>
      </w:r>
      <w:r>
        <w:rPr>
          <w:rFonts w:ascii="仿宋_GB2312" w:eastAsia="仿宋_GB2312" w:hint="eastAsia"/>
          <w:color w:val="000000"/>
          <w:sz w:val="32"/>
          <w:szCs w:val="32"/>
        </w:rPr>
        <w:t>对违法制种、繁种、销售转基因种子（种苗）的生产经营者，要立即停止其生产经营行为，依法没收违法所得和种子，吊销种子生产经营许可证，构成犯罪的依法移送司法机关，追究刑事责任。</w:t>
      </w:r>
    </w:p>
    <w:p w:rsidR="002C4337" w:rsidRDefault="002C4337" w:rsidP="002C4337">
      <w:pPr>
        <w:pStyle w:val="a5"/>
        <w:widowControl w:val="0"/>
        <w:shd w:val="clear" w:color="auto" w:fill="FFFFFF"/>
        <w:adjustRightInd w:val="0"/>
        <w:snapToGrid w:val="0"/>
        <w:spacing w:before="0" w:beforeAutospacing="0" w:after="0" w:afterAutospacing="0" w:line="540" w:lineRule="exact"/>
        <w:ind w:firstLine="480"/>
        <w:jc w:val="both"/>
        <w:rPr>
          <w:rFonts w:ascii="仿宋_GB2312" w:eastAsia="仿宋_GB2312" w:hint="eastAsia"/>
          <w:color w:val="000000"/>
          <w:sz w:val="32"/>
          <w:szCs w:val="32"/>
        </w:rPr>
      </w:pPr>
      <w:r>
        <w:rPr>
          <w:rFonts w:ascii="楷体_GB2312" w:eastAsia="楷体_GB2312" w:hint="eastAsia"/>
          <w:b/>
          <w:color w:val="000000"/>
          <w:sz w:val="32"/>
          <w:szCs w:val="32"/>
        </w:rPr>
        <w:t>（四）加大对进口加工转基因生物环节的查处力度。</w:t>
      </w:r>
      <w:r>
        <w:rPr>
          <w:rFonts w:ascii="仿宋_GB2312" w:eastAsia="仿宋_GB2312" w:hint="eastAsia"/>
          <w:color w:val="000000"/>
          <w:sz w:val="32"/>
          <w:szCs w:val="32"/>
        </w:rPr>
        <w:t>对违规进口加工转基因生物，安全管控措施落实不力的进口企业和加工企业，依法责令其停止进口，停止加工资格，并给予行政处罚。</w:t>
      </w:r>
    </w:p>
    <w:p w:rsidR="002C4337" w:rsidRDefault="002C4337" w:rsidP="002C4337">
      <w:pPr>
        <w:pStyle w:val="a5"/>
        <w:widowControl w:val="0"/>
        <w:shd w:val="clear" w:color="auto" w:fill="FFFFFF"/>
        <w:adjustRightInd w:val="0"/>
        <w:snapToGrid w:val="0"/>
        <w:spacing w:before="0" w:beforeAutospacing="0" w:after="0" w:afterAutospacing="0" w:line="540" w:lineRule="exact"/>
        <w:ind w:firstLineChars="200" w:firstLine="640"/>
        <w:jc w:val="both"/>
        <w:rPr>
          <w:rFonts w:ascii="黑体" w:eastAsia="黑体" w:hint="eastAsia"/>
          <w:color w:val="000000"/>
          <w:sz w:val="32"/>
          <w:szCs w:val="32"/>
        </w:rPr>
      </w:pPr>
      <w:r>
        <w:rPr>
          <w:rFonts w:ascii="黑体" w:eastAsia="黑体" w:hint="eastAsia"/>
          <w:color w:val="000000"/>
          <w:sz w:val="32"/>
          <w:szCs w:val="32"/>
        </w:rPr>
        <w:t>三、落实管理制度</w:t>
      </w:r>
    </w:p>
    <w:p w:rsidR="002C4337" w:rsidRDefault="002C4337" w:rsidP="002C4337">
      <w:pPr>
        <w:pStyle w:val="a5"/>
        <w:widowControl w:val="0"/>
        <w:shd w:val="clear" w:color="auto" w:fill="FFFFFF"/>
        <w:adjustRightInd w:val="0"/>
        <w:snapToGrid w:val="0"/>
        <w:spacing w:before="0" w:beforeAutospacing="0" w:after="0" w:afterAutospacing="0" w:line="540" w:lineRule="exact"/>
        <w:ind w:firstLine="480"/>
        <w:jc w:val="both"/>
        <w:rPr>
          <w:rFonts w:ascii="仿宋_GB2312" w:eastAsia="仿宋_GB2312" w:hint="eastAsia"/>
          <w:color w:val="000000"/>
          <w:sz w:val="32"/>
          <w:szCs w:val="32"/>
        </w:rPr>
      </w:pPr>
      <w:r>
        <w:rPr>
          <w:rFonts w:ascii="楷体_GB2312" w:eastAsia="楷体_GB2312" w:hint="eastAsia"/>
          <w:b/>
          <w:color w:val="000000"/>
          <w:sz w:val="32"/>
          <w:szCs w:val="32"/>
        </w:rPr>
        <w:t>（一）强化属地管理责任。</w:t>
      </w:r>
      <w:r>
        <w:rPr>
          <w:rFonts w:ascii="仿宋_GB2312" w:eastAsia="仿宋_GB2312" w:hint="eastAsia"/>
          <w:color w:val="000000"/>
          <w:sz w:val="32"/>
          <w:szCs w:val="32"/>
        </w:rPr>
        <w:t>各级农业行政主管部门是本行政</w:t>
      </w:r>
      <w:r>
        <w:rPr>
          <w:rFonts w:ascii="仿宋_GB2312" w:eastAsia="仿宋_GB2312" w:hint="eastAsia"/>
          <w:color w:val="000000"/>
          <w:sz w:val="32"/>
          <w:szCs w:val="32"/>
        </w:rPr>
        <w:lastRenderedPageBreak/>
        <w:t>区域内农业转基因监管工作的责任主体，主要领导要负总责。要严格按照《种子法》《农业转基因生物安全管理条例》要求，认真履行转基因作物监管职责，切实担负属地监管责任，将转基因监管工作制度化，并在人员、经费和装备等方面加大支持力度，确保各项监管措施落到实处。各级种子管理部门做好品种选育、南繁基地、品种试验审定和种子生产经营等环节转基因管理工作，其他有关机构在职责范围内开展监管工作。</w:t>
      </w:r>
    </w:p>
    <w:p w:rsidR="002C4337" w:rsidRDefault="002C4337" w:rsidP="002C4337">
      <w:pPr>
        <w:pStyle w:val="a5"/>
        <w:widowControl w:val="0"/>
        <w:shd w:val="clear" w:color="auto" w:fill="FFFFFF"/>
        <w:adjustRightInd w:val="0"/>
        <w:snapToGrid w:val="0"/>
        <w:spacing w:before="0" w:beforeAutospacing="0" w:after="0" w:afterAutospacing="0" w:line="540" w:lineRule="exact"/>
        <w:ind w:firstLineChars="200" w:firstLine="643"/>
        <w:jc w:val="both"/>
        <w:rPr>
          <w:rFonts w:ascii="仿宋_GB2312" w:eastAsia="仿宋_GB2312" w:hint="eastAsia"/>
          <w:sz w:val="32"/>
          <w:szCs w:val="32"/>
        </w:rPr>
      </w:pPr>
      <w:r>
        <w:rPr>
          <w:rFonts w:ascii="楷体_GB2312" w:eastAsia="楷体_GB2312" w:hint="eastAsia"/>
          <w:b/>
          <w:sz w:val="32"/>
          <w:szCs w:val="32"/>
        </w:rPr>
        <w:t>（二）落实主体责任。</w:t>
      </w:r>
      <w:r>
        <w:rPr>
          <w:rFonts w:ascii="仿宋_GB2312" w:eastAsia="仿宋_GB2312" w:hint="eastAsia"/>
          <w:sz w:val="32"/>
          <w:szCs w:val="32"/>
        </w:rPr>
        <w:t>研究试验单位、种子企业、进口加工企业，是“第一责任人”，要切实担负起主体责任，进一步提高认识、建立制度、落实监管措施。督促种子生产经营者和进口加工企业依法持证经营，健全管理档案，规范标识管理。</w:t>
      </w:r>
    </w:p>
    <w:p w:rsidR="002C4337" w:rsidRDefault="002C4337" w:rsidP="002C4337">
      <w:pPr>
        <w:adjustRightInd w:val="0"/>
        <w:snapToGrid w:val="0"/>
        <w:spacing w:line="540" w:lineRule="exact"/>
        <w:ind w:firstLineChars="200" w:firstLine="643"/>
        <w:rPr>
          <w:rFonts w:ascii="仿宋_GB2312" w:eastAsia="仿宋_GB2312" w:hAnsi="宋体" w:hint="eastAsia"/>
          <w:sz w:val="32"/>
          <w:szCs w:val="32"/>
        </w:rPr>
      </w:pPr>
      <w:r>
        <w:rPr>
          <w:rFonts w:ascii="楷体_GB2312" w:eastAsia="楷体_GB2312" w:hint="eastAsia"/>
          <w:b/>
          <w:sz w:val="32"/>
          <w:szCs w:val="32"/>
        </w:rPr>
        <w:t>（三）落实长效机制。</w:t>
      </w:r>
      <w:r>
        <w:rPr>
          <w:rFonts w:ascii="仿宋_GB2312" w:eastAsia="仿宋_GB2312" w:hint="eastAsia"/>
          <w:sz w:val="32"/>
          <w:szCs w:val="32"/>
        </w:rPr>
        <w:t>进一步落实好绩效考核、</w:t>
      </w:r>
      <w:proofErr w:type="gramStart"/>
      <w:r>
        <w:rPr>
          <w:rFonts w:ascii="仿宋_GB2312" w:eastAsia="仿宋_GB2312" w:hint="eastAsia"/>
          <w:sz w:val="32"/>
          <w:szCs w:val="32"/>
        </w:rPr>
        <w:t>约谈问</w:t>
      </w:r>
      <w:proofErr w:type="gramEnd"/>
      <w:r>
        <w:rPr>
          <w:rFonts w:ascii="仿宋_GB2312" w:eastAsia="仿宋_GB2312" w:hint="eastAsia"/>
          <w:sz w:val="32"/>
          <w:szCs w:val="32"/>
        </w:rPr>
        <w:t>责、督导检查制度，层层传导压力，层层压实责任。对重点违法违规区域分层级对农业行政主管部门主要负责人进行约谈，并报告政府分管领导。</w:t>
      </w:r>
      <w:proofErr w:type="gramStart"/>
      <w:r>
        <w:rPr>
          <w:rFonts w:ascii="仿宋_GB2312" w:eastAsia="仿宋_GB2312" w:hint="eastAsia"/>
          <w:sz w:val="32"/>
          <w:szCs w:val="32"/>
        </w:rPr>
        <w:t>建立问</w:t>
      </w:r>
      <w:proofErr w:type="gramEnd"/>
      <w:r>
        <w:rPr>
          <w:rFonts w:ascii="仿宋_GB2312" w:eastAsia="仿宋_GB2312" w:hint="eastAsia"/>
          <w:sz w:val="32"/>
          <w:szCs w:val="32"/>
        </w:rPr>
        <w:t>责机制，依法依规追究不作为、乱作为的责任。</w:t>
      </w:r>
    </w:p>
    <w:p w:rsidR="002C4337" w:rsidRDefault="002C4337" w:rsidP="002C4337">
      <w:pPr>
        <w:pStyle w:val="a5"/>
        <w:widowControl w:val="0"/>
        <w:shd w:val="clear" w:color="auto" w:fill="FFFFFF"/>
        <w:adjustRightInd w:val="0"/>
        <w:snapToGrid w:val="0"/>
        <w:spacing w:before="0" w:beforeAutospacing="0" w:after="0" w:afterAutospacing="0" w:line="540" w:lineRule="exact"/>
        <w:ind w:firstLineChars="200" w:firstLine="643"/>
        <w:jc w:val="both"/>
        <w:rPr>
          <w:rFonts w:ascii="仿宋_GB2312" w:eastAsia="仿宋_GB2312" w:hint="eastAsia"/>
          <w:color w:val="000000"/>
          <w:sz w:val="32"/>
          <w:szCs w:val="32"/>
        </w:rPr>
      </w:pPr>
      <w:r>
        <w:rPr>
          <w:rFonts w:ascii="楷体_GB2312" w:eastAsia="楷体_GB2312" w:hint="eastAsia"/>
          <w:b/>
          <w:color w:val="000000"/>
          <w:sz w:val="32"/>
          <w:szCs w:val="32"/>
        </w:rPr>
        <w:t>（四）加强宣传培训。</w:t>
      </w:r>
      <w:r>
        <w:rPr>
          <w:rFonts w:ascii="仿宋_GB2312" w:eastAsia="仿宋_GB2312" w:hint="eastAsia"/>
          <w:color w:val="000000"/>
          <w:sz w:val="32"/>
          <w:szCs w:val="32"/>
        </w:rPr>
        <w:t>各地要以《种子法》《农业转基因生物安全管理条例》等法律法规为重点，多途径、分层次开展形式多样的宣传培训活动。一是面向各级农业主管部门以及科研、试验、生产、加工单位的负责人，开展转基因培训，夯实全行业懂法守法、依法从业的基础。二是鼓励社会各界对违规行为进行举报，对于举报的线索，要追根溯源，一查到底，主动接受监督。公开曝光案件查处结果，威慑违法行为，营造严打高压氛围，震慑违法分子。三是利用文化、科技、卫生、法律、爱国爱教宗教服务“五下乡”等活动，面向社会公众开展形式多样、生动活泼、</w:t>
      </w:r>
      <w:r>
        <w:rPr>
          <w:rFonts w:ascii="仿宋_GB2312" w:eastAsia="仿宋_GB2312" w:hint="eastAsia"/>
          <w:color w:val="000000"/>
          <w:sz w:val="32"/>
          <w:szCs w:val="32"/>
        </w:rPr>
        <w:lastRenderedPageBreak/>
        <w:t>群众喜闻乐见的转基因知识宣传教育活动。尤其要加强制种户的宣传，普及法律到乡村到农户，让广大农民了解相关法律规定，自觉自愿遵法守法生产良种。</w:t>
      </w:r>
    </w:p>
    <w:p w:rsidR="002C4337" w:rsidRDefault="002C4337" w:rsidP="002C4337">
      <w:pPr>
        <w:adjustRightInd w:val="0"/>
        <w:snapToGrid w:val="0"/>
        <w:spacing w:line="540" w:lineRule="exact"/>
        <w:ind w:firstLine="420"/>
        <w:jc w:val="left"/>
        <w:rPr>
          <w:rFonts w:ascii="仿宋_GB2312" w:eastAsia="仿宋_GB2312" w:hint="eastAsia"/>
          <w:bCs/>
          <w:sz w:val="32"/>
          <w:szCs w:val="32"/>
        </w:rPr>
      </w:pPr>
      <w:r>
        <w:rPr>
          <w:rFonts w:ascii="楷体_GB2312" w:eastAsia="楷体_GB2312" w:hint="eastAsia"/>
          <w:b/>
          <w:color w:val="000000"/>
          <w:sz w:val="32"/>
          <w:szCs w:val="32"/>
        </w:rPr>
        <w:t>（五）加强信息报送。</w:t>
      </w:r>
      <w:r>
        <w:rPr>
          <w:rFonts w:ascii="仿宋_GB2312" w:eastAsia="仿宋_GB2312" w:hint="eastAsia"/>
          <w:color w:val="000000"/>
          <w:sz w:val="32"/>
          <w:szCs w:val="32"/>
        </w:rPr>
        <w:t>各级农业行政主管部门要认真</w:t>
      </w:r>
      <w:r>
        <w:rPr>
          <w:rFonts w:ascii="仿宋_GB2312" w:eastAsia="仿宋_GB2312" w:hint="eastAsia"/>
          <w:sz w:val="32"/>
          <w:szCs w:val="32"/>
        </w:rPr>
        <w:t>落实好转基因监管信息报送制度，案件查处信息实行月报，没有案件的进行零报告。各地（州、市）农业局每月5日前，向我厅科教处汇总上报上月农业转基因执法情况，填报《</w:t>
      </w:r>
      <w:r>
        <w:rPr>
          <w:rFonts w:ascii="仿宋_GB2312" w:eastAsia="仿宋_GB2312" w:hAnsi="黑体" w:hint="eastAsia"/>
          <w:sz w:val="32"/>
          <w:szCs w:val="32"/>
        </w:rPr>
        <w:t>农业转基因执法监管查办案件情况统计表》（附件1）。每年7月5日和下一年1月5日前，分别报送半年和全年工作总结</w:t>
      </w:r>
      <w:r>
        <w:rPr>
          <w:rFonts w:ascii="仿宋_GB2312" w:eastAsia="仿宋_GB2312" w:hint="eastAsia"/>
          <w:bCs/>
          <w:sz w:val="32"/>
          <w:szCs w:val="32"/>
        </w:rPr>
        <w:t>，</w:t>
      </w:r>
      <w:r>
        <w:rPr>
          <w:rFonts w:ascii="仿宋_GB2312" w:eastAsia="仿宋_GB2312" w:hAnsi="宋体" w:cs="宋体" w:hint="eastAsia"/>
          <w:kern w:val="0"/>
          <w:sz w:val="32"/>
          <w:szCs w:val="32"/>
        </w:rPr>
        <w:t>及时总结工作中的好经验、好做法，科学</w:t>
      </w:r>
      <w:proofErr w:type="gramStart"/>
      <w:r>
        <w:rPr>
          <w:rFonts w:ascii="仿宋_GB2312" w:eastAsia="仿宋_GB2312" w:hAnsi="宋体" w:cs="宋体" w:hint="eastAsia"/>
          <w:kern w:val="0"/>
          <w:sz w:val="32"/>
          <w:szCs w:val="32"/>
        </w:rPr>
        <w:t>研</w:t>
      </w:r>
      <w:proofErr w:type="gramEnd"/>
      <w:r>
        <w:rPr>
          <w:rFonts w:ascii="仿宋_GB2312" w:eastAsia="仿宋_GB2312" w:hAnsi="宋体" w:cs="宋体" w:hint="eastAsia"/>
          <w:kern w:val="0"/>
          <w:sz w:val="32"/>
          <w:szCs w:val="32"/>
        </w:rPr>
        <w:t>判形势，谋划下一步工作，</w:t>
      </w:r>
      <w:r>
        <w:rPr>
          <w:rFonts w:ascii="仿宋_GB2312" w:eastAsia="仿宋_GB2312" w:hAnsi="黑体" w:hint="eastAsia"/>
          <w:sz w:val="32"/>
          <w:szCs w:val="32"/>
        </w:rPr>
        <w:t>填报《</w:t>
      </w:r>
      <w:r>
        <w:rPr>
          <w:rFonts w:ascii="仿宋_GB2312" w:eastAsia="仿宋_GB2312" w:hint="eastAsia"/>
          <w:bCs/>
          <w:sz w:val="32"/>
          <w:szCs w:val="32"/>
        </w:rPr>
        <w:t>农业转基因执法监管情况统计表》（附件2）。</w:t>
      </w:r>
    </w:p>
    <w:p w:rsidR="002C4337" w:rsidRDefault="002C4337" w:rsidP="002C4337">
      <w:pPr>
        <w:adjustRightInd w:val="0"/>
        <w:snapToGrid w:val="0"/>
        <w:spacing w:line="540" w:lineRule="exact"/>
        <w:ind w:firstLine="420"/>
        <w:jc w:val="left"/>
        <w:rPr>
          <w:rFonts w:ascii="仿宋_GB2312" w:eastAsia="仿宋_GB2312" w:hAnsi="宋体" w:cs="宋体" w:hint="eastAsia"/>
          <w:kern w:val="0"/>
          <w:sz w:val="32"/>
          <w:szCs w:val="32"/>
        </w:rPr>
      </w:pPr>
      <w:r>
        <w:rPr>
          <w:rFonts w:ascii="仿宋_GB2312" w:eastAsia="仿宋_GB2312" w:hint="eastAsia"/>
          <w:bCs/>
          <w:sz w:val="32"/>
          <w:szCs w:val="32"/>
        </w:rPr>
        <w:t>联系单位：科技教</w:t>
      </w:r>
      <w:r>
        <w:rPr>
          <w:rFonts w:ascii="仿宋_GB2312" w:eastAsia="仿宋_GB2312" w:hAnsi="宋体" w:cs="宋体" w:hint="eastAsia"/>
          <w:kern w:val="0"/>
          <w:sz w:val="32"/>
          <w:szCs w:val="32"/>
        </w:rPr>
        <w:t>育处。</w:t>
      </w:r>
    </w:p>
    <w:p w:rsidR="002C4337" w:rsidRDefault="002C4337" w:rsidP="002C4337">
      <w:pPr>
        <w:adjustRightInd w:val="0"/>
        <w:snapToGrid w:val="0"/>
        <w:spacing w:line="540" w:lineRule="exact"/>
        <w:ind w:firstLine="42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联系人：万学英、</w:t>
      </w:r>
      <w:proofErr w:type="gramStart"/>
      <w:r>
        <w:rPr>
          <w:rFonts w:ascii="仿宋_GB2312" w:eastAsia="仿宋_GB2312" w:hAnsi="宋体" w:cs="宋体" w:hint="eastAsia"/>
          <w:kern w:val="0"/>
          <w:sz w:val="32"/>
          <w:szCs w:val="32"/>
        </w:rPr>
        <w:t>恒巴提·吾坦别</w:t>
      </w:r>
      <w:proofErr w:type="gramEnd"/>
      <w:r>
        <w:rPr>
          <w:rFonts w:ascii="仿宋_GB2312" w:eastAsia="仿宋_GB2312" w:hAnsi="宋体" w:cs="宋体" w:hint="eastAsia"/>
          <w:kern w:val="0"/>
          <w:sz w:val="32"/>
          <w:szCs w:val="32"/>
        </w:rPr>
        <w:t>克。</w:t>
      </w:r>
    </w:p>
    <w:p w:rsidR="002C4337" w:rsidRDefault="002C4337" w:rsidP="002C4337">
      <w:pPr>
        <w:adjustRightInd w:val="0"/>
        <w:snapToGrid w:val="0"/>
        <w:spacing w:line="540" w:lineRule="exact"/>
        <w:ind w:firstLine="42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联系电话：0991-2889066。</w:t>
      </w:r>
    </w:p>
    <w:p w:rsidR="002C4337" w:rsidRDefault="002C4337" w:rsidP="002C4337">
      <w:pPr>
        <w:adjustRightInd w:val="0"/>
        <w:snapToGrid w:val="0"/>
        <w:spacing w:line="540" w:lineRule="exact"/>
        <w:ind w:firstLine="42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电子邮箱：xjnytkjc@163.com。</w:t>
      </w:r>
    </w:p>
    <w:p w:rsidR="002C4337" w:rsidRDefault="002C4337" w:rsidP="002C4337">
      <w:pPr>
        <w:adjustRightInd w:val="0"/>
        <w:snapToGrid w:val="0"/>
        <w:spacing w:line="540" w:lineRule="exact"/>
        <w:ind w:firstLine="420"/>
        <w:rPr>
          <w:rFonts w:ascii="仿宋_GB2312" w:eastAsia="仿宋_GB2312" w:hAnsi="宋体" w:cs="宋体" w:hint="eastAsia"/>
          <w:kern w:val="0"/>
          <w:sz w:val="32"/>
          <w:szCs w:val="32"/>
        </w:rPr>
      </w:pPr>
    </w:p>
    <w:p w:rsidR="002C4337" w:rsidRPr="002C4337" w:rsidRDefault="002C4337" w:rsidP="002C4337">
      <w:pPr>
        <w:adjustRightInd w:val="0"/>
        <w:snapToGrid w:val="0"/>
        <w:spacing w:line="540" w:lineRule="exact"/>
        <w:ind w:leftChars="100" w:left="210" w:firstLine="420"/>
        <w:rPr>
          <w:rFonts w:ascii="仿宋_GB2312" w:eastAsia="仿宋_GB2312" w:hAnsi="宋体" w:cs="宋体" w:hint="eastAsia"/>
          <w:kern w:val="0"/>
          <w:sz w:val="32"/>
          <w:szCs w:val="32"/>
        </w:rPr>
      </w:pPr>
      <w:r w:rsidRPr="002C4337">
        <w:rPr>
          <w:rFonts w:ascii="仿宋_GB2312" w:eastAsia="仿宋_GB2312" w:hAnsi="宋体" w:cs="宋体" w:hint="eastAsia"/>
          <w:kern w:val="0"/>
          <w:sz w:val="32"/>
          <w:szCs w:val="32"/>
        </w:rPr>
        <w:t>附件</w:t>
      </w:r>
      <w:r>
        <w:rPr>
          <w:rFonts w:ascii="仿宋_GB2312" w:eastAsia="仿宋_GB2312" w:hAnsi="宋体" w:cs="宋体" w:hint="eastAsia"/>
          <w:kern w:val="0"/>
          <w:sz w:val="32"/>
          <w:szCs w:val="32"/>
        </w:rPr>
        <w:t>：</w:t>
      </w:r>
      <w:r w:rsidRPr="002C4337">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sidRPr="002C4337">
        <w:rPr>
          <w:rFonts w:ascii="仿宋_GB2312" w:eastAsia="仿宋_GB2312" w:hAnsi="宋体" w:cs="宋体" w:hint="eastAsia"/>
          <w:kern w:val="0"/>
          <w:sz w:val="32"/>
          <w:szCs w:val="32"/>
        </w:rPr>
        <w:t>农业转基因执法监管查办案件情况统计表</w:t>
      </w:r>
    </w:p>
    <w:p w:rsidR="002C4337" w:rsidRPr="002C4337" w:rsidRDefault="002C4337" w:rsidP="002C4337">
      <w:pPr>
        <w:adjustRightInd w:val="0"/>
        <w:snapToGrid w:val="0"/>
        <w:spacing w:line="540" w:lineRule="exact"/>
        <w:ind w:firstLineChars="500" w:firstLine="1600"/>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Pr="002C4337">
        <w:rPr>
          <w:rFonts w:ascii="仿宋_GB2312" w:eastAsia="仿宋_GB2312" w:hAnsi="宋体" w:cs="宋体" w:hint="eastAsia"/>
          <w:kern w:val="0"/>
          <w:sz w:val="32"/>
          <w:szCs w:val="32"/>
        </w:rPr>
        <w:t>农业转基因执法监管情况统计表</w:t>
      </w:r>
    </w:p>
    <w:p w:rsidR="002C4337" w:rsidRPr="002C4337" w:rsidRDefault="002C4337" w:rsidP="002C4337">
      <w:pPr>
        <w:adjustRightInd w:val="0"/>
        <w:snapToGrid w:val="0"/>
        <w:spacing w:line="540" w:lineRule="exact"/>
        <w:ind w:leftChars="100" w:left="210" w:firstLine="420"/>
        <w:rPr>
          <w:rFonts w:ascii="仿宋_GB2312" w:eastAsia="仿宋_GB2312" w:hAnsi="宋体" w:cs="宋体" w:hint="eastAsia"/>
          <w:kern w:val="0"/>
          <w:sz w:val="32"/>
          <w:szCs w:val="32"/>
        </w:rPr>
      </w:pPr>
    </w:p>
    <w:p w:rsidR="002C4337" w:rsidRDefault="002C4337" w:rsidP="002C4337">
      <w:pPr>
        <w:adjustRightInd w:val="0"/>
        <w:snapToGrid w:val="0"/>
        <w:spacing w:line="540" w:lineRule="exact"/>
        <w:ind w:firstLine="420"/>
        <w:rPr>
          <w:rFonts w:ascii="仿宋_GB2312" w:eastAsia="仿宋_GB2312" w:hAnsi="宋体" w:cs="宋体" w:hint="eastAsia"/>
          <w:kern w:val="0"/>
          <w:sz w:val="32"/>
          <w:szCs w:val="32"/>
        </w:rPr>
      </w:pPr>
    </w:p>
    <w:p w:rsidR="002C4337" w:rsidRDefault="002C4337" w:rsidP="002C4337">
      <w:pPr>
        <w:adjustRightInd w:val="0"/>
        <w:snapToGrid w:val="0"/>
        <w:spacing w:line="540" w:lineRule="exac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自治区农业厅</w:t>
      </w:r>
    </w:p>
    <w:p w:rsidR="002C4337" w:rsidRDefault="002C4337" w:rsidP="002C4337">
      <w:pPr>
        <w:adjustRightInd w:val="0"/>
        <w:snapToGrid w:val="0"/>
        <w:spacing w:line="540" w:lineRule="exact"/>
        <w:ind w:firstLineChars="550" w:firstLine="1760"/>
        <w:rPr>
          <w:color w:val="000000"/>
        </w:rPr>
        <w:sectPr w:rsidR="002C4337" w:rsidSect="002C4337">
          <w:footerReference w:type="even" r:id="rId6"/>
          <w:footerReference w:type="default" r:id="rId7"/>
          <w:pgSz w:w="11906" w:h="16838"/>
          <w:pgMar w:top="1440" w:right="1531" w:bottom="1440" w:left="1531" w:header="851" w:footer="992" w:gutter="0"/>
          <w:pgNumType w:fmt="numberInDash"/>
          <w:cols w:space="720"/>
          <w:docGrid w:type="lines" w:linePitch="312"/>
        </w:sectPr>
      </w:pPr>
      <w:r>
        <w:rPr>
          <w:rFonts w:ascii="仿宋_GB2312" w:eastAsia="仿宋_GB2312" w:hAnsi="宋体" w:cs="宋体" w:hint="eastAsia"/>
          <w:kern w:val="0"/>
          <w:sz w:val="32"/>
          <w:szCs w:val="32"/>
        </w:rPr>
        <w:t xml:space="preserve">　　　　　　　　</w:t>
      </w:r>
      <w:r>
        <w:rPr>
          <w:rFonts w:ascii="宋体" w:eastAsia="仿宋_GB2312" w:hAnsi="宋体" w:cs="宋体" w:hint="eastAsia"/>
          <w:kern w:val="0"/>
          <w:sz w:val="32"/>
          <w:szCs w:val="32"/>
        </w:rPr>
        <w:t> </w:t>
      </w:r>
      <w:r>
        <w:rPr>
          <w:rFonts w:ascii="仿宋_GB2312" w:eastAsia="仿宋_GB2312" w:hAnsi="宋体" w:cs="宋体" w:hint="eastAsia"/>
          <w:kern w:val="0"/>
          <w:sz w:val="32"/>
          <w:szCs w:val="32"/>
        </w:rPr>
        <w:t xml:space="preserve"> 2017年3月20日</w:t>
      </w:r>
    </w:p>
    <w:p w:rsidR="002C4337" w:rsidRDefault="002C4337" w:rsidP="002C4337">
      <w:pPr>
        <w:spacing w:line="580" w:lineRule="exact"/>
        <w:rPr>
          <w:rFonts w:ascii="仿宋_GB2312" w:eastAsia="仿宋_GB2312" w:hAnsi="黑体" w:hint="eastAsia"/>
          <w:sz w:val="32"/>
          <w:szCs w:val="32"/>
        </w:rPr>
      </w:pPr>
      <w:r>
        <w:rPr>
          <w:rFonts w:ascii="仿宋_GB2312" w:eastAsia="仿宋_GB2312" w:hAnsi="黑体" w:hint="eastAsia"/>
          <w:sz w:val="32"/>
          <w:szCs w:val="32"/>
        </w:rPr>
        <w:lastRenderedPageBreak/>
        <w:t>附件1</w:t>
      </w:r>
    </w:p>
    <w:p w:rsidR="002C4337" w:rsidRDefault="002C4337" w:rsidP="002C4337">
      <w:pPr>
        <w:spacing w:line="580" w:lineRule="exact"/>
        <w:jc w:val="center"/>
        <w:rPr>
          <w:rFonts w:ascii="宋体" w:hAnsi="宋体" w:hint="eastAsia"/>
          <w:b/>
          <w:sz w:val="44"/>
          <w:szCs w:val="44"/>
        </w:rPr>
      </w:pPr>
      <w:r>
        <w:rPr>
          <w:rFonts w:ascii="宋体" w:hAnsi="宋体" w:hint="eastAsia"/>
          <w:b/>
          <w:sz w:val="44"/>
          <w:szCs w:val="44"/>
        </w:rPr>
        <w:t>农业转基因执法监管查办案件情况统计表</w:t>
      </w:r>
    </w:p>
    <w:tbl>
      <w:tblPr>
        <w:tblpPr w:leftFromText="180" w:rightFromText="180" w:vertAnchor="page" w:horzAnchor="margin" w:tblpXSpec="center" w:tblpY="36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1"/>
        <w:gridCol w:w="2162"/>
        <w:gridCol w:w="2162"/>
        <w:gridCol w:w="2162"/>
        <w:gridCol w:w="2162"/>
        <w:gridCol w:w="2162"/>
      </w:tblGrid>
      <w:tr w:rsidR="002C4337" w:rsidTr="00EB3E0D">
        <w:trPr>
          <w:trHeight w:val="624"/>
        </w:trPr>
        <w:tc>
          <w:tcPr>
            <w:tcW w:w="6485" w:type="dxa"/>
            <w:gridSpan w:val="3"/>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宋体" w:hAnsi="宋体"/>
                <w:b/>
                <w:sz w:val="28"/>
                <w:szCs w:val="28"/>
              </w:rPr>
            </w:pPr>
            <w:r>
              <w:rPr>
                <w:rFonts w:ascii="宋体" w:hAnsi="宋体" w:hint="eastAsia"/>
                <w:b/>
                <w:sz w:val="28"/>
                <w:szCs w:val="28"/>
              </w:rPr>
              <w:t>行政执法案件</w:t>
            </w:r>
          </w:p>
        </w:tc>
        <w:tc>
          <w:tcPr>
            <w:tcW w:w="4324" w:type="dxa"/>
            <w:gridSpan w:val="2"/>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宋体" w:hAnsi="宋体"/>
                <w:b/>
                <w:sz w:val="28"/>
                <w:szCs w:val="28"/>
              </w:rPr>
            </w:pPr>
            <w:r>
              <w:rPr>
                <w:rFonts w:ascii="宋体" w:hAnsi="宋体" w:hint="eastAsia"/>
                <w:b/>
                <w:sz w:val="28"/>
                <w:szCs w:val="28"/>
              </w:rPr>
              <w:t>移送司法机关案件</w:t>
            </w:r>
          </w:p>
        </w:tc>
        <w:tc>
          <w:tcPr>
            <w:tcW w:w="2162" w:type="dxa"/>
            <w:vMerge w:val="restart"/>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宋体" w:hAnsi="宋体"/>
                <w:b/>
                <w:sz w:val="28"/>
                <w:szCs w:val="28"/>
              </w:rPr>
            </w:pPr>
            <w:r>
              <w:rPr>
                <w:rFonts w:ascii="宋体" w:hAnsi="宋体" w:hint="eastAsia"/>
                <w:b/>
                <w:sz w:val="28"/>
                <w:szCs w:val="28"/>
              </w:rPr>
              <w:t>案件信息公开（件）</w:t>
            </w:r>
          </w:p>
        </w:tc>
      </w:tr>
      <w:tr w:rsidR="002C4337" w:rsidTr="00EB3E0D">
        <w:trPr>
          <w:trHeight w:val="624"/>
        </w:trPr>
        <w:tc>
          <w:tcPr>
            <w:tcW w:w="2161"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宋体" w:hAnsi="宋体"/>
                <w:b/>
                <w:sz w:val="28"/>
                <w:szCs w:val="28"/>
              </w:rPr>
            </w:pPr>
            <w:r>
              <w:rPr>
                <w:rFonts w:ascii="宋体" w:hAnsi="宋体" w:hint="eastAsia"/>
                <w:b/>
                <w:sz w:val="28"/>
                <w:szCs w:val="28"/>
              </w:rPr>
              <w:t>立案件数</w:t>
            </w:r>
          </w:p>
        </w:tc>
        <w:tc>
          <w:tcPr>
            <w:tcW w:w="2162"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宋体" w:hAnsi="宋体"/>
                <w:b/>
                <w:sz w:val="28"/>
                <w:szCs w:val="28"/>
              </w:rPr>
            </w:pPr>
            <w:r>
              <w:rPr>
                <w:rFonts w:ascii="宋体" w:hAnsi="宋体" w:hint="eastAsia"/>
                <w:b/>
                <w:sz w:val="28"/>
                <w:szCs w:val="28"/>
              </w:rPr>
              <w:t>办结件数</w:t>
            </w:r>
          </w:p>
        </w:tc>
        <w:tc>
          <w:tcPr>
            <w:tcW w:w="2162"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宋体" w:hAnsi="宋体"/>
                <w:b/>
                <w:sz w:val="28"/>
                <w:szCs w:val="28"/>
              </w:rPr>
            </w:pPr>
            <w:r>
              <w:rPr>
                <w:rFonts w:ascii="宋体" w:hAnsi="宋体" w:hint="eastAsia"/>
                <w:b/>
                <w:sz w:val="28"/>
                <w:szCs w:val="28"/>
              </w:rPr>
              <w:t>金额（万元）</w:t>
            </w:r>
          </w:p>
        </w:tc>
        <w:tc>
          <w:tcPr>
            <w:tcW w:w="2162"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宋体" w:hAnsi="宋体"/>
                <w:b/>
                <w:sz w:val="28"/>
                <w:szCs w:val="28"/>
              </w:rPr>
            </w:pPr>
            <w:r>
              <w:rPr>
                <w:rFonts w:ascii="宋体" w:hAnsi="宋体" w:hint="eastAsia"/>
                <w:b/>
                <w:sz w:val="28"/>
                <w:szCs w:val="28"/>
              </w:rPr>
              <w:t>件数</w:t>
            </w:r>
          </w:p>
        </w:tc>
        <w:tc>
          <w:tcPr>
            <w:tcW w:w="2162"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宋体" w:hAnsi="宋体"/>
                <w:b/>
                <w:sz w:val="28"/>
                <w:szCs w:val="28"/>
              </w:rPr>
            </w:pPr>
            <w:r>
              <w:rPr>
                <w:rFonts w:ascii="宋体" w:hAnsi="宋体" w:hint="eastAsia"/>
                <w:b/>
                <w:sz w:val="28"/>
                <w:szCs w:val="28"/>
              </w:rPr>
              <w:t>金额</w:t>
            </w:r>
            <w:r>
              <w:rPr>
                <w:rFonts w:ascii="宋体" w:hAnsi="宋体"/>
                <w:b/>
                <w:sz w:val="28"/>
                <w:szCs w:val="28"/>
              </w:rPr>
              <w:t>(</w:t>
            </w:r>
            <w:r>
              <w:rPr>
                <w:rFonts w:ascii="宋体" w:hAnsi="宋体" w:hint="eastAsia"/>
                <w:b/>
                <w:sz w:val="28"/>
                <w:szCs w:val="28"/>
              </w:rPr>
              <w:t>万元</w:t>
            </w:r>
            <w:r>
              <w:rPr>
                <w:rFonts w:ascii="宋体" w:hAnsi="宋体"/>
                <w:b/>
                <w:sz w:val="28"/>
                <w:szCs w:val="28"/>
              </w:rPr>
              <w:t>)</w:t>
            </w:r>
          </w:p>
        </w:tc>
        <w:tc>
          <w:tcPr>
            <w:tcW w:w="2162" w:type="dxa"/>
            <w:vMerge/>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宋体" w:hAnsi="宋体"/>
                <w:b/>
                <w:sz w:val="28"/>
                <w:szCs w:val="28"/>
              </w:rPr>
            </w:pPr>
          </w:p>
        </w:tc>
      </w:tr>
      <w:tr w:rsidR="002C4337" w:rsidTr="00EB3E0D">
        <w:trPr>
          <w:trHeight w:val="624"/>
        </w:trPr>
        <w:tc>
          <w:tcPr>
            <w:tcW w:w="2161"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黑体" w:eastAsia="黑体" w:hAnsi="黑体"/>
                <w:sz w:val="28"/>
                <w:szCs w:val="28"/>
              </w:rPr>
            </w:pPr>
          </w:p>
        </w:tc>
        <w:tc>
          <w:tcPr>
            <w:tcW w:w="2162"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黑体" w:eastAsia="黑体" w:hAnsi="黑体"/>
                <w:sz w:val="28"/>
                <w:szCs w:val="28"/>
              </w:rPr>
            </w:pPr>
          </w:p>
        </w:tc>
        <w:tc>
          <w:tcPr>
            <w:tcW w:w="2162"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黑体" w:eastAsia="黑体" w:hAnsi="黑体"/>
                <w:sz w:val="28"/>
                <w:szCs w:val="28"/>
              </w:rPr>
            </w:pPr>
          </w:p>
        </w:tc>
        <w:tc>
          <w:tcPr>
            <w:tcW w:w="2162"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黑体" w:eastAsia="黑体" w:hAnsi="黑体"/>
                <w:sz w:val="28"/>
                <w:szCs w:val="28"/>
              </w:rPr>
            </w:pPr>
          </w:p>
        </w:tc>
        <w:tc>
          <w:tcPr>
            <w:tcW w:w="2162"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黑体" w:eastAsia="黑体" w:hAnsi="黑体"/>
                <w:sz w:val="28"/>
                <w:szCs w:val="28"/>
              </w:rPr>
            </w:pPr>
          </w:p>
        </w:tc>
        <w:tc>
          <w:tcPr>
            <w:tcW w:w="2162"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黑体" w:eastAsia="黑体" w:hAnsi="黑体"/>
                <w:sz w:val="28"/>
                <w:szCs w:val="28"/>
              </w:rPr>
            </w:pPr>
          </w:p>
        </w:tc>
      </w:tr>
      <w:tr w:rsidR="002C4337" w:rsidTr="00EB3E0D">
        <w:trPr>
          <w:trHeight w:val="624"/>
        </w:trPr>
        <w:tc>
          <w:tcPr>
            <w:tcW w:w="2161"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黑体" w:eastAsia="黑体" w:hAnsi="黑体"/>
                <w:sz w:val="28"/>
                <w:szCs w:val="28"/>
              </w:rPr>
            </w:pPr>
          </w:p>
        </w:tc>
        <w:tc>
          <w:tcPr>
            <w:tcW w:w="2162"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黑体" w:eastAsia="黑体" w:hAnsi="黑体"/>
                <w:sz w:val="28"/>
                <w:szCs w:val="28"/>
              </w:rPr>
            </w:pPr>
          </w:p>
        </w:tc>
        <w:tc>
          <w:tcPr>
            <w:tcW w:w="2162"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黑体" w:eastAsia="黑体" w:hAnsi="黑体"/>
                <w:sz w:val="28"/>
                <w:szCs w:val="28"/>
              </w:rPr>
            </w:pPr>
          </w:p>
        </w:tc>
        <w:tc>
          <w:tcPr>
            <w:tcW w:w="2162"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黑体" w:eastAsia="黑体" w:hAnsi="黑体"/>
                <w:sz w:val="28"/>
                <w:szCs w:val="28"/>
              </w:rPr>
            </w:pPr>
          </w:p>
        </w:tc>
        <w:tc>
          <w:tcPr>
            <w:tcW w:w="2162"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黑体" w:eastAsia="黑体" w:hAnsi="黑体"/>
                <w:sz w:val="28"/>
                <w:szCs w:val="28"/>
              </w:rPr>
            </w:pPr>
          </w:p>
        </w:tc>
        <w:tc>
          <w:tcPr>
            <w:tcW w:w="2162"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黑体" w:eastAsia="黑体" w:hAnsi="黑体"/>
                <w:sz w:val="28"/>
                <w:szCs w:val="28"/>
              </w:rPr>
            </w:pPr>
          </w:p>
        </w:tc>
      </w:tr>
      <w:tr w:rsidR="002C4337" w:rsidTr="00EB3E0D">
        <w:trPr>
          <w:trHeight w:val="624"/>
        </w:trPr>
        <w:tc>
          <w:tcPr>
            <w:tcW w:w="2161"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黑体" w:eastAsia="黑体" w:hAnsi="黑体"/>
                <w:sz w:val="28"/>
                <w:szCs w:val="28"/>
              </w:rPr>
            </w:pPr>
          </w:p>
        </w:tc>
        <w:tc>
          <w:tcPr>
            <w:tcW w:w="2162"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黑体" w:eastAsia="黑体" w:hAnsi="黑体"/>
                <w:sz w:val="28"/>
                <w:szCs w:val="28"/>
              </w:rPr>
            </w:pPr>
          </w:p>
        </w:tc>
        <w:tc>
          <w:tcPr>
            <w:tcW w:w="2162"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黑体" w:eastAsia="黑体" w:hAnsi="黑体"/>
                <w:sz w:val="28"/>
                <w:szCs w:val="28"/>
              </w:rPr>
            </w:pPr>
          </w:p>
        </w:tc>
        <w:tc>
          <w:tcPr>
            <w:tcW w:w="2162"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黑体" w:eastAsia="黑体" w:hAnsi="黑体"/>
                <w:sz w:val="28"/>
                <w:szCs w:val="28"/>
              </w:rPr>
            </w:pPr>
          </w:p>
        </w:tc>
        <w:tc>
          <w:tcPr>
            <w:tcW w:w="2162"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黑体" w:eastAsia="黑体" w:hAnsi="黑体"/>
                <w:sz w:val="28"/>
                <w:szCs w:val="28"/>
              </w:rPr>
            </w:pPr>
          </w:p>
        </w:tc>
        <w:tc>
          <w:tcPr>
            <w:tcW w:w="2162"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center"/>
              <w:rPr>
                <w:rFonts w:ascii="黑体" w:eastAsia="黑体" w:hAnsi="黑体"/>
                <w:sz w:val="28"/>
                <w:szCs w:val="28"/>
              </w:rPr>
            </w:pPr>
          </w:p>
        </w:tc>
      </w:tr>
      <w:tr w:rsidR="002C4337" w:rsidTr="00EB3E0D">
        <w:trPr>
          <w:trHeight w:val="624"/>
        </w:trPr>
        <w:tc>
          <w:tcPr>
            <w:tcW w:w="12971" w:type="dxa"/>
            <w:gridSpan w:val="6"/>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jc w:val="left"/>
              <w:rPr>
                <w:rFonts w:ascii="宋体" w:hAnsi="宋体"/>
                <w:sz w:val="28"/>
                <w:szCs w:val="28"/>
              </w:rPr>
            </w:pPr>
            <w:r>
              <w:rPr>
                <w:rFonts w:ascii="宋体" w:hAnsi="宋体" w:hint="eastAsia"/>
                <w:sz w:val="28"/>
                <w:szCs w:val="28"/>
              </w:rPr>
              <w:t>说明：</w:t>
            </w:r>
            <w:r>
              <w:rPr>
                <w:rFonts w:ascii="宋体" w:hAnsi="宋体"/>
                <w:sz w:val="28"/>
                <w:szCs w:val="28"/>
              </w:rPr>
              <w:t>1</w:t>
            </w:r>
            <w:r>
              <w:rPr>
                <w:rFonts w:ascii="宋体" w:hAnsi="宋体" w:hint="eastAsia"/>
                <w:sz w:val="28"/>
                <w:szCs w:val="28"/>
              </w:rPr>
              <w:t>．此表按月报送，每月5日前报送上月的案件统计数据。</w:t>
            </w:r>
          </w:p>
        </w:tc>
      </w:tr>
      <w:tr w:rsidR="002C4337" w:rsidTr="00EB3E0D">
        <w:trPr>
          <w:trHeight w:val="624"/>
        </w:trPr>
        <w:tc>
          <w:tcPr>
            <w:tcW w:w="12971" w:type="dxa"/>
            <w:gridSpan w:val="6"/>
            <w:tcBorders>
              <w:top w:val="single" w:sz="4" w:space="0" w:color="auto"/>
              <w:left w:val="single" w:sz="4" w:space="0" w:color="auto"/>
              <w:bottom w:val="single" w:sz="4" w:space="0" w:color="auto"/>
              <w:right w:val="single" w:sz="4" w:space="0" w:color="auto"/>
            </w:tcBorders>
            <w:vAlign w:val="center"/>
          </w:tcPr>
          <w:p w:rsidR="002C4337" w:rsidRDefault="002C4337" w:rsidP="00EB3E0D">
            <w:pPr>
              <w:spacing w:line="400" w:lineRule="exact"/>
              <w:ind w:firstLineChars="300" w:firstLine="840"/>
              <w:jc w:val="left"/>
              <w:rPr>
                <w:rFonts w:ascii="宋体" w:hAnsi="宋体"/>
                <w:sz w:val="28"/>
                <w:szCs w:val="28"/>
              </w:rPr>
            </w:pPr>
            <w:r>
              <w:rPr>
                <w:rFonts w:ascii="宋体" w:hAnsi="宋体"/>
                <w:sz w:val="28"/>
                <w:szCs w:val="28"/>
              </w:rPr>
              <w:t>2</w:t>
            </w:r>
            <w:r>
              <w:rPr>
                <w:rFonts w:ascii="宋体" w:hAnsi="宋体" w:hint="eastAsia"/>
                <w:sz w:val="28"/>
                <w:szCs w:val="28"/>
              </w:rPr>
              <w:t>．案件详细案情随此表同时报送。</w:t>
            </w:r>
          </w:p>
        </w:tc>
      </w:tr>
    </w:tbl>
    <w:p w:rsidR="002C4337" w:rsidRDefault="002C4337" w:rsidP="002C4337">
      <w:pPr>
        <w:spacing w:line="580" w:lineRule="exact"/>
        <w:ind w:firstLineChars="250" w:firstLine="700"/>
        <w:rPr>
          <w:rFonts w:ascii="宋体" w:hAnsi="宋体"/>
          <w:sz w:val="28"/>
          <w:szCs w:val="28"/>
        </w:rPr>
      </w:pPr>
      <w:r>
        <w:rPr>
          <w:rFonts w:ascii="宋体" w:hAnsi="宋体" w:hint="eastAsia"/>
          <w:sz w:val="28"/>
          <w:szCs w:val="28"/>
        </w:rPr>
        <w:t>填报单位：（加盖公章）</w:t>
      </w:r>
      <w:r>
        <w:rPr>
          <w:rFonts w:ascii="宋体" w:hAnsi="宋体"/>
          <w:sz w:val="28"/>
          <w:szCs w:val="28"/>
        </w:rPr>
        <w:t xml:space="preserve">                                          </w:t>
      </w:r>
      <w:r>
        <w:rPr>
          <w:rFonts w:ascii="宋体" w:hAnsi="宋体" w:hint="eastAsia"/>
          <w:sz w:val="28"/>
          <w:szCs w:val="28"/>
        </w:rPr>
        <w:t>填报时间：</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p>
    <w:p w:rsidR="002C4337" w:rsidRDefault="002C4337" w:rsidP="002C4337">
      <w:pPr>
        <w:widowControl/>
        <w:spacing w:line="560" w:lineRule="exact"/>
        <w:rPr>
          <w:rFonts w:hint="eastAsia"/>
        </w:rPr>
      </w:pPr>
    </w:p>
    <w:p w:rsidR="002C4337" w:rsidRDefault="002C4337" w:rsidP="002C4337">
      <w:pPr>
        <w:widowControl/>
        <w:spacing w:line="560" w:lineRule="exact"/>
        <w:rPr>
          <w:rFonts w:hint="eastAsia"/>
        </w:rPr>
      </w:pPr>
    </w:p>
    <w:p w:rsidR="002C4337" w:rsidRDefault="002C4337" w:rsidP="002C4337">
      <w:pPr>
        <w:widowControl/>
        <w:spacing w:line="560" w:lineRule="exact"/>
        <w:rPr>
          <w:rFonts w:hint="eastAsia"/>
        </w:rPr>
      </w:pPr>
    </w:p>
    <w:p w:rsidR="002C4337" w:rsidRDefault="002C4337" w:rsidP="002C4337">
      <w:pPr>
        <w:ind w:firstLineChars="62" w:firstLine="198"/>
        <w:rPr>
          <w:rFonts w:ascii="仿宋_GB2312" w:eastAsia="仿宋_GB2312" w:hint="eastAsia"/>
          <w:bCs/>
          <w:sz w:val="32"/>
          <w:szCs w:val="32"/>
        </w:rPr>
      </w:pPr>
    </w:p>
    <w:p w:rsidR="002C4337" w:rsidRDefault="002C4337" w:rsidP="002C4337">
      <w:pPr>
        <w:ind w:firstLineChars="62" w:firstLine="198"/>
        <w:rPr>
          <w:rFonts w:ascii="仿宋_GB2312" w:eastAsia="仿宋_GB2312" w:hint="eastAsia"/>
          <w:bCs/>
          <w:sz w:val="32"/>
          <w:szCs w:val="32"/>
        </w:rPr>
      </w:pPr>
      <w:r>
        <w:rPr>
          <w:rFonts w:ascii="仿宋_GB2312" w:eastAsia="仿宋_GB2312" w:hint="eastAsia"/>
          <w:bCs/>
          <w:sz w:val="32"/>
          <w:szCs w:val="32"/>
        </w:rPr>
        <w:lastRenderedPageBreak/>
        <w:t>附件2</w:t>
      </w:r>
    </w:p>
    <w:p w:rsidR="002C4337" w:rsidRDefault="002C4337" w:rsidP="002C4337">
      <w:pPr>
        <w:ind w:firstLineChars="62" w:firstLine="274"/>
        <w:jc w:val="center"/>
        <w:rPr>
          <w:rFonts w:ascii="宋体" w:hAnsi="宋体"/>
          <w:b/>
          <w:bCs/>
          <w:sz w:val="44"/>
          <w:szCs w:val="44"/>
        </w:rPr>
      </w:pPr>
      <w:r>
        <w:rPr>
          <w:rFonts w:ascii="宋体" w:hAnsi="宋体" w:hint="eastAsia"/>
          <w:b/>
          <w:bCs/>
          <w:sz w:val="44"/>
          <w:szCs w:val="44"/>
        </w:rPr>
        <w:t>农业转基因执法监管情况统计表</w:t>
      </w:r>
    </w:p>
    <w:p w:rsidR="002C4337" w:rsidRDefault="002C4337" w:rsidP="002C4337">
      <w:pPr>
        <w:rPr>
          <w:rFonts w:ascii="宋体" w:hAnsi="宋体" w:cs="宋体"/>
          <w:kern w:val="0"/>
          <w:sz w:val="28"/>
          <w:szCs w:val="28"/>
        </w:rPr>
      </w:pPr>
      <w:r>
        <w:rPr>
          <w:rFonts w:ascii="宋体" w:hAnsi="宋体" w:cs="宋体" w:hint="eastAsia"/>
          <w:kern w:val="0"/>
          <w:sz w:val="28"/>
          <w:szCs w:val="28"/>
        </w:rPr>
        <w:t>填报单位：</w:t>
      </w:r>
      <w:r>
        <w:rPr>
          <w:rFonts w:ascii="宋体" w:hAnsi="宋体" w:cs="宋体"/>
          <w:kern w:val="0"/>
          <w:sz w:val="28"/>
          <w:szCs w:val="28"/>
        </w:rPr>
        <w:t>(</w:t>
      </w:r>
      <w:r>
        <w:rPr>
          <w:rFonts w:ascii="宋体" w:hAnsi="宋体" w:cs="宋体" w:hint="eastAsia"/>
          <w:kern w:val="0"/>
          <w:sz w:val="28"/>
          <w:szCs w:val="28"/>
        </w:rPr>
        <w:t>加盖公章</w:t>
      </w:r>
      <w:r>
        <w:rPr>
          <w:rFonts w:ascii="宋体" w:hAnsi="宋体" w:cs="宋体"/>
          <w:kern w:val="0"/>
          <w:sz w:val="28"/>
          <w:szCs w:val="28"/>
        </w:rPr>
        <w:t xml:space="preserve">)                                                </w:t>
      </w:r>
      <w:r>
        <w:rPr>
          <w:rFonts w:ascii="宋体" w:hAnsi="宋体" w:cs="宋体" w:hint="eastAsia"/>
          <w:kern w:val="0"/>
          <w:sz w:val="28"/>
          <w:szCs w:val="28"/>
        </w:rPr>
        <w:t>填报时间：</w:t>
      </w:r>
      <w:r>
        <w:rPr>
          <w:rFonts w:ascii="宋体" w:hAnsi="宋体" w:cs="宋体"/>
          <w:kern w:val="0"/>
          <w:sz w:val="28"/>
          <w:szCs w:val="28"/>
        </w:rPr>
        <w:t xml:space="preserve"> </w:t>
      </w:r>
    </w:p>
    <w:tbl>
      <w:tblPr>
        <w:tblW w:w="0" w:type="auto"/>
        <w:tblLayout w:type="fixed"/>
        <w:tblLook w:val="0000"/>
      </w:tblPr>
      <w:tblGrid>
        <w:gridCol w:w="2895"/>
        <w:gridCol w:w="1800"/>
        <w:gridCol w:w="1584"/>
        <w:gridCol w:w="1476"/>
        <w:gridCol w:w="1440"/>
        <w:gridCol w:w="1440"/>
        <w:gridCol w:w="1856"/>
        <w:gridCol w:w="1620"/>
      </w:tblGrid>
      <w:tr w:rsidR="002C4337" w:rsidTr="00EB3E0D">
        <w:trPr>
          <w:trHeight w:val="1065"/>
        </w:trPr>
        <w:tc>
          <w:tcPr>
            <w:tcW w:w="2895"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widowControl/>
              <w:jc w:val="center"/>
              <w:rPr>
                <w:rFonts w:ascii="黑体" w:eastAsia="黑体" w:hAnsi="宋体" w:cs="宋体"/>
                <w:kern w:val="0"/>
                <w:sz w:val="24"/>
              </w:rPr>
            </w:pPr>
          </w:p>
        </w:tc>
        <w:tc>
          <w:tcPr>
            <w:tcW w:w="1800" w:type="dxa"/>
            <w:tcBorders>
              <w:top w:val="single" w:sz="4" w:space="0" w:color="auto"/>
              <w:left w:val="nil"/>
              <w:bottom w:val="nil"/>
              <w:right w:val="single" w:sz="4" w:space="0" w:color="auto"/>
            </w:tcBorders>
            <w:vAlign w:val="center"/>
          </w:tcPr>
          <w:p w:rsidR="002C4337" w:rsidRDefault="002C4337" w:rsidP="00EB3E0D">
            <w:pPr>
              <w:widowControl/>
              <w:jc w:val="center"/>
              <w:rPr>
                <w:rFonts w:ascii="黑体" w:eastAsia="黑体" w:hAnsi="宋体" w:cs="宋体"/>
                <w:kern w:val="0"/>
                <w:sz w:val="24"/>
              </w:rPr>
            </w:pPr>
            <w:r>
              <w:rPr>
                <w:rFonts w:ascii="黑体" w:eastAsia="黑体" w:hAnsi="宋体" w:cs="宋体" w:hint="eastAsia"/>
                <w:kern w:val="0"/>
                <w:sz w:val="24"/>
              </w:rPr>
              <w:t>检查研发、生产、经营单位（家次）</w:t>
            </w:r>
          </w:p>
        </w:tc>
        <w:tc>
          <w:tcPr>
            <w:tcW w:w="1584" w:type="dxa"/>
            <w:tcBorders>
              <w:top w:val="single" w:sz="4" w:space="0" w:color="auto"/>
              <w:left w:val="nil"/>
              <w:bottom w:val="nil"/>
              <w:right w:val="single" w:sz="4" w:space="0" w:color="auto"/>
            </w:tcBorders>
            <w:vAlign w:val="center"/>
          </w:tcPr>
          <w:p w:rsidR="002C4337" w:rsidRDefault="002C4337" w:rsidP="00EB3E0D">
            <w:pPr>
              <w:widowControl/>
              <w:jc w:val="center"/>
              <w:rPr>
                <w:rFonts w:ascii="黑体" w:eastAsia="黑体" w:hAnsi="宋体" w:cs="宋体"/>
                <w:kern w:val="0"/>
                <w:sz w:val="24"/>
              </w:rPr>
            </w:pPr>
            <w:r>
              <w:rPr>
                <w:rFonts w:ascii="黑体" w:eastAsia="黑体" w:hAnsi="宋体" w:cs="宋体" w:hint="eastAsia"/>
                <w:kern w:val="0"/>
                <w:sz w:val="24"/>
              </w:rPr>
              <w:t>出动执法人员（人次）</w:t>
            </w:r>
          </w:p>
        </w:tc>
        <w:tc>
          <w:tcPr>
            <w:tcW w:w="1476" w:type="dxa"/>
            <w:tcBorders>
              <w:top w:val="single" w:sz="4" w:space="0" w:color="auto"/>
              <w:left w:val="nil"/>
              <w:bottom w:val="nil"/>
              <w:right w:val="single" w:sz="4" w:space="0" w:color="auto"/>
            </w:tcBorders>
            <w:vAlign w:val="center"/>
          </w:tcPr>
          <w:p w:rsidR="002C4337" w:rsidRDefault="002C4337" w:rsidP="00EB3E0D">
            <w:pPr>
              <w:widowControl/>
              <w:jc w:val="center"/>
              <w:rPr>
                <w:rFonts w:ascii="黑体" w:eastAsia="黑体" w:hAnsi="宋体" w:cs="宋体"/>
                <w:kern w:val="0"/>
                <w:sz w:val="24"/>
              </w:rPr>
            </w:pPr>
            <w:r>
              <w:rPr>
                <w:rFonts w:ascii="黑体" w:eastAsia="黑体" w:hAnsi="宋体" w:cs="宋体" w:hint="eastAsia"/>
                <w:kern w:val="0"/>
                <w:sz w:val="24"/>
              </w:rPr>
              <w:t>查处问题（起）</w:t>
            </w:r>
          </w:p>
        </w:tc>
        <w:tc>
          <w:tcPr>
            <w:tcW w:w="1440" w:type="dxa"/>
            <w:tcBorders>
              <w:top w:val="single" w:sz="4" w:space="0" w:color="auto"/>
              <w:left w:val="nil"/>
              <w:bottom w:val="nil"/>
              <w:right w:val="single" w:sz="4" w:space="0" w:color="auto"/>
            </w:tcBorders>
            <w:vAlign w:val="center"/>
          </w:tcPr>
          <w:p w:rsidR="002C4337" w:rsidRDefault="002C4337" w:rsidP="00EB3E0D">
            <w:pPr>
              <w:widowControl/>
              <w:jc w:val="center"/>
              <w:rPr>
                <w:rFonts w:ascii="黑体" w:eastAsia="黑体" w:hAnsi="宋体" w:cs="宋体"/>
                <w:kern w:val="0"/>
                <w:sz w:val="24"/>
              </w:rPr>
            </w:pPr>
            <w:r>
              <w:rPr>
                <w:rFonts w:ascii="黑体" w:eastAsia="黑体" w:hAnsi="宋体" w:cs="宋体" w:hint="eastAsia"/>
                <w:kern w:val="0"/>
                <w:sz w:val="24"/>
              </w:rPr>
              <w:t>涉及金额（万元）</w:t>
            </w:r>
          </w:p>
        </w:tc>
        <w:tc>
          <w:tcPr>
            <w:tcW w:w="1440" w:type="dxa"/>
            <w:tcBorders>
              <w:top w:val="single" w:sz="4" w:space="0" w:color="auto"/>
              <w:left w:val="nil"/>
              <w:bottom w:val="nil"/>
              <w:right w:val="single" w:sz="4" w:space="0" w:color="auto"/>
            </w:tcBorders>
            <w:vAlign w:val="center"/>
          </w:tcPr>
          <w:p w:rsidR="002C4337" w:rsidRDefault="002C4337" w:rsidP="00EB3E0D">
            <w:pPr>
              <w:widowControl/>
              <w:jc w:val="center"/>
              <w:rPr>
                <w:rFonts w:ascii="黑体" w:eastAsia="黑体" w:hAnsi="宋体" w:cs="宋体"/>
                <w:kern w:val="0"/>
                <w:sz w:val="24"/>
              </w:rPr>
            </w:pPr>
            <w:r>
              <w:rPr>
                <w:rFonts w:ascii="黑体" w:eastAsia="黑体" w:hAnsi="宋体" w:cs="宋体" w:hint="eastAsia"/>
                <w:kern w:val="0"/>
                <w:sz w:val="24"/>
              </w:rPr>
              <w:t>责令整改（起）</w:t>
            </w:r>
          </w:p>
        </w:tc>
        <w:tc>
          <w:tcPr>
            <w:tcW w:w="1856" w:type="dxa"/>
            <w:tcBorders>
              <w:top w:val="single" w:sz="4" w:space="0" w:color="auto"/>
              <w:left w:val="nil"/>
              <w:bottom w:val="nil"/>
              <w:right w:val="single" w:sz="4" w:space="0" w:color="auto"/>
            </w:tcBorders>
            <w:vAlign w:val="center"/>
          </w:tcPr>
          <w:p w:rsidR="002C4337" w:rsidRDefault="002C4337" w:rsidP="00EB3E0D">
            <w:pPr>
              <w:widowControl/>
              <w:jc w:val="center"/>
              <w:rPr>
                <w:rFonts w:ascii="黑体" w:eastAsia="黑体" w:hAnsi="宋体" w:cs="宋体"/>
                <w:kern w:val="0"/>
                <w:sz w:val="24"/>
              </w:rPr>
            </w:pPr>
            <w:r>
              <w:rPr>
                <w:rFonts w:ascii="黑体" w:eastAsia="黑体" w:hAnsi="宋体" w:cs="宋体" w:hint="eastAsia"/>
                <w:kern w:val="0"/>
                <w:sz w:val="24"/>
              </w:rPr>
              <w:t>取缔无证照企业（家）</w:t>
            </w:r>
          </w:p>
        </w:tc>
        <w:tc>
          <w:tcPr>
            <w:tcW w:w="1620" w:type="dxa"/>
            <w:tcBorders>
              <w:top w:val="single" w:sz="4" w:space="0" w:color="auto"/>
              <w:left w:val="nil"/>
              <w:bottom w:val="nil"/>
              <w:right w:val="single" w:sz="4" w:space="0" w:color="auto"/>
            </w:tcBorders>
            <w:vAlign w:val="center"/>
          </w:tcPr>
          <w:p w:rsidR="002C4337" w:rsidRDefault="002C4337" w:rsidP="00EB3E0D">
            <w:pPr>
              <w:widowControl/>
              <w:jc w:val="center"/>
              <w:rPr>
                <w:rFonts w:ascii="黑体" w:eastAsia="黑体" w:hAnsi="宋体" w:cs="宋体"/>
                <w:kern w:val="0"/>
                <w:sz w:val="24"/>
              </w:rPr>
            </w:pPr>
            <w:r>
              <w:rPr>
                <w:rFonts w:ascii="黑体" w:eastAsia="黑体" w:hAnsi="宋体" w:cs="宋体" w:hint="eastAsia"/>
                <w:kern w:val="0"/>
                <w:sz w:val="24"/>
              </w:rPr>
              <w:t>吊销证照企业（家）</w:t>
            </w:r>
          </w:p>
        </w:tc>
      </w:tr>
      <w:tr w:rsidR="002C4337" w:rsidTr="00EB3E0D">
        <w:trPr>
          <w:trHeight w:val="540"/>
        </w:trPr>
        <w:tc>
          <w:tcPr>
            <w:tcW w:w="2895" w:type="dxa"/>
            <w:tcBorders>
              <w:top w:val="nil"/>
              <w:left w:val="single" w:sz="4" w:space="0" w:color="auto"/>
              <w:bottom w:val="single" w:sz="4" w:space="0" w:color="auto"/>
              <w:right w:val="single" w:sz="4" w:space="0" w:color="auto"/>
            </w:tcBorders>
            <w:vAlign w:val="center"/>
          </w:tcPr>
          <w:p w:rsidR="002C4337" w:rsidRDefault="002C4337" w:rsidP="00EB3E0D">
            <w:pPr>
              <w:widowControl/>
              <w:rPr>
                <w:rFonts w:ascii="宋体" w:cs="宋体"/>
                <w:kern w:val="0"/>
                <w:sz w:val="24"/>
              </w:rPr>
            </w:pPr>
            <w:r>
              <w:rPr>
                <w:rFonts w:ascii="宋体" w:hAnsi="宋体" w:cs="宋体" w:hint="eastAsia"/>
                <w:kern w:val="0"/>
                <w:sz w:val="24"/>
              </w:rPr>
              <w:t>试验环节监管</w:t>
            </w:r>
          </w:p>
        </w:tc>
        <w:tc>
          <w:tcPr>
            <w:tcW w:w="1800" w:type="dxa"/>
            <w:tcBorders>
              <w:top w:val="single" w:sz="4" w:space="0" w:color="auto"/>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584" w:type="dxa"/>
            <w:tcBorders>
              <w:top w:val="single" w:sz="4" w:space="0" w:color="auto"/>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476" w:type="dxa"/>
            <w:tcBorders>
              <w:top w:val="single" w:sz="4" w:space="0" w:color="auto"/>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440" w:type="dxa"/>
            <w:tcBorders>
              <w:top w:val="single" w:sz="4" w:space="0" w:color="auto"/>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440" w:type="dxa"/>
            <w:tcBorders>
              <w:top w:val="single" w:sz="4" w:space="0" w:color="auto"/>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856" w:type="dxa"/>
            <w:tcBorders>
              <w:top w:val="single" w:sz="4" w:space="0" w:color="auto"/>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620" w:type="dxa"/>
            <w:tcBorders>
              <w:top w:val="single" w:sz="4" w:space="0" w:color="auto"/>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r>
      <w:tr w:rsidR="002C4337" w:rsidTr="00EB3E0D">
        <w:trPr>
          <w:trHeight w:val="540"/>
        </w:trPr>
        <w:tc>
          <w:tcPr>
            <w:tcW w:w="2895"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widowControl/>
              <w:rPr>
                <w:rFonts w:ascii="宋体" w:cs="宋体"/>
                <w:kern w:val="0"/>
                <w:sz w:val="24"/>
              </w:rPr>
            </w:pPr>
            <w:r>
              <w:rPr>
                <w:rFonts w:ascii="宋体" w:hAnsi="宋体" w:cs="宋体" w:hint="eastAsia"/>
                <w:kern w:val="0"/>
                <w:sz w:val="24"/>
              </w:rPr>
              <w:t>南</w:t>
            </w:r>
            <w:proofErr w:type="gramStart"/>
            <w:r>
              <w:rPr>
                <w:rFonts w:ascii="宋体" w:hAnsi="宋体" w:cs="宋体" w:hint="eastAsia"/>
                <w:kern w:val="0"/>
                <w:sz w:val="24"/>
              </w:rPr>
              <w:t>繁基地</w:t>
            </w:r>
            <w:proofErr w:type="gramEnd"/>
            <w:r>
              <w:rPr>
                <w:rFonts w:ascii="宋体" w:hAnsi="宋体" w:cs="宋体" w:hint="eastAsia"/>
                <w:kern w:val="0"/>
                <w:sz w:val="24"/>
              </w:rPr>
              <w:t>监管</w:t>
            </w:r>
          </w:p>
        </w:tc>
        <w:tc>
          <w:tcPr>
            <w:tcW w:w="1800"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584"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476"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440"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440"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856"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620"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r>
      <w:tr w:rsidR="002C4337" w:rsidTr="00EB3E0D">
        <w:trPr>
          <w:trHeight w:val="540"/>
        </w:trPr>
        <w:tc>
          <w:tcPr>
            <w:tcW w:w="2895"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widowControl/>
              <w:rPr>
                <w:rFonts w:ascii="宋体" w:cs="宋体"/>
                <w:kern w:val="0"/>
                <w:sz w:val="24"/>
              </w:rPr>
            </w:pPr>
            <w:r>
              <w:rPr>
                <w:rFonts w:ascii="宋体" w:hAnsi="宋体" w:cs="宋体" w:hint="eastAsia"/>
                <w:kern w:val="0"/>
                <w:sz w:val="24"/>
              </w:rPr>
              <w:t>品种审定环节监管</w:t>
            </w:r>
          </w:p>
        </w:tc>
        <w:tc>
          <w:tcPr>
            <w:tcW w:w="1800"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584"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476"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440"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440"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856"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620"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r>
      <w:tr w:rsidR="002C4337" w:rsidTr="00EB3E0D">
        <w:trPr>
          <w:trHeight w:val="540"/>
        </w:trPr>
        <w:tc>
          <w:tcPr>
            <w:tcW w:w="2895"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widowControl/>
              <w:rPr>
                <w:rFonts w:ascii="宋体" w:cs="宋体"/>
                <w:kern w:val="0"/>
                <w:sz w:val="24"/>
              </w:rPr>
            </w:pPr>
            <w:r>
              <w:rPr>
                <w:rFonts w:ascii="宋体" w:hAnsi="宋体" w:cs="宋体" w:hint="eastAsia"/>
                <w:kern w:val="0"/>
                <w:sz w:val="24"/>
              </w:rPr>
              <w:t>制种基地监管</w:t>
            </w:r>
          </w:p>
        </w:tc>
        <w:tc>
          <w:tcPr>
            <w:tcW w:w="1800"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584"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476"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440"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440"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856"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620"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r>
      <w:tr w:rsidR="002C4337" w:rsidTr="00EB3E0D">
        <w:trPr>
          <w:trHeight w:val="540"/>
        </w:trPr>
        <w:tc>
          <w:tcPr>
            <w:tcW w:w="2895"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widowControl/>
              <w:rPr>
                <w:rFonts w:ascii="宋体" w:cs="宋体"/>
                <w:kern w:val="0"/>
                <w:sz w:val="24"/>
              </w:rPr>
            </w:pPr>
            <w:r>
              <w:rPr>
                <w:rFonts w:ascii="宋体" w:hAnsi="宋体" w:cs="宋体" w:hint="eastAsia"/>
                <w:kern w:val="0"/>
                <w:sz w:val="24"/>
              </w:rPr>
              <w:t>种子加工经营环节监管</w:t>
            </w:r>
          </w:p>
        </w:tc>
        <w:tc>
          <w:tcPr>
            <w:tcW w:w="1800"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Cs w:val="21"/>
              </w:rPr>
            </w:pPr>
          </w:p>
        </w:tc>
        <w:tc>
          <w:tcPr>
            <w:tcW w:w="1584"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476"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440"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440"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856"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620"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r>
      <w:tr w:rsidR="002C4337" w:rsidTr="00EB3E0D">
        <w:trPr>
          <w:trHeight w:val="540"/>
        </w:trPr>
        <w:tc>
          <w:tcPr>
            <w:tcW w:w="2895"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widowControl/>
              <w:rPr>
                <w:rFonts w:ascii="宋体" w:cs="宋体"/>
                <w:kern w:val="0"/>
                <w:sz w:val="24"/>
              </w:rPr>
            </w:pPr>
            <w:r>
              <w:rPr>
                <w:rFonts w:ascii="宋体" w:hAnsi="宋体" w:cs="宋体" w:hint="eastAsia"/>
                <w:kern w:val="0"/>
                <w:sz w:val="24"/>
              </w:rPr>
              <w:t>转基因进口加工企业监管</w:t>
            </w:r>
          </w:p>
        </w:tc>
        <w:tc>
          <w:tcPr>
            <w:tcW w:w="1800"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584"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476"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440"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440"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856"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620"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r>
      <w:tr w:rsidR="002C4337" w:rsidTr="00EB3E0D">
        <w:trPr>
          <w:trHeight w:val="540"/>
        </w:trPr>
        <w:tc>
          <w:tcPr>
            <w:tcW w:w="2895" w:type="dxa"/>
            <w:tcBorders>
              <w:top w:val="single" w:sz="4" w:space="0" w:color="auto"/>
              <w:left w:val="single" w:sz="4" w:space="0" w:color="auto"/>
              <w:bottom w:val="single" w:sz="4" w:space="0" w:color="auto"/>
              <w:right w:val="single" w:sz="4" w:space="0" w:color="auto"/>
            </w:tcBorders>
            <w:vAlign w:val="center"/>
          </w:tcPr>
          <w:p w:rsidR="002C4337" w:rsidRDefault="002C4337" w:rsidP="00EB3E0D">
            <w:pPr>
              <w:widowControl/>
              <w:jc w:val="center"/>
              <w:rPr>
                <w:rFonts w:ascii="宋体" w:cs="宋体"/>
                <w:kern w:val="0"/>
                <w:sz w:val="24"/>
              </w:rPr>
            </w:pPr>
            <w:r>
              <w:rPr>
                <w:rFonts w:ascii="宋体" w:hAnsi="宋体" w:cs="宋体" w:hint="eastAsia"/>
                <w:kern w:val="0"/>
                <w:sz w:val="24"/>
              </w:rPr>
              <w:t>小计</w:t>
            </w:r>
          </w:p>
        </w:tc>
        <w:tc>
          <w:tcPr>
            <w:tcW w:w="1800"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584"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476"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440"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440"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856"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c>
          <w:tcPr>
            <w:tcW w:w="1620" w:type="dxa"/>
            <w:tcBorders>
              <w:top w:val="nil"/>
              <w:left w:val="nil"/>
              <w:bottom w:val="single" w:sz="4" w:space="0" w:color="auto"/>
              <w:right w:val="single" w:sz="4" w:space="0" w:color="auto"/>
            </w:tcBorders>
            <w:vAlign w:val="center"/>
          </w:tcPr>
          <w:p w:rsidR="002C4337" w:rsidRDefault="002C4337" w:rsidP="00EB3E0D">
            <w:pPr>
              <w:widowControl/>
              <w:jc w:val="left"/>
              <w:rPr>
                <w:rFonts w:ascii="宋体" w:cs="宋体"/>
                <w:kern w:val="0"/>
                <w:sz w:val="24"/>
              </w:rPr>
            </w:pPr>
          </w:p>
        </w:tc>
      </w:tr>
      <w:tr w:rsidR="002C4337" w:rsidTr="00EB3E0D">
        <w:trPr>
          <w:trHeight w:val="540"/>
        </w:trPr>
        <w:tc>
          <w:tcPr>
            <w:tcW w:w="14111" w:type="dxa"/>
            <w:gridSpan w:val="8"/>
            <w:tcBorders>
              <w:top w:val="single" w:sz="4" w:space="0" w:color="auto"/>
              <w:left w:val="single" w:sz="4" w:space="0" w:color="auto"/>
              <w:bottom w:val="single" w:sz="4" w:space="0" w:color="auto"/>
              <w:right w:val="single" w:sz="4" w:space="0" w:color="auto"/>
            </w:tcBorders>
            <w:vAlign w:val="center"/>
          </w:tcPr>
          <w:p w:rsidR="002C4337" w:rsidRDefault="002C4337" w:rsidP="00EB3E0D">
            <w:pPr>
              <w:widowControl/>
              <w:rPr>
                <w:rFonts w:ascii="宋体" w:cs="宋体"/>
                <w:kern w:val="0"/>
                <w:sz w:val="24"/>
              </w:rPr>
            </w:pPr>
            <w:r>
              <w:rPr>
                <w:rFonts w:ascii="宋体" w:hAnsi="宋体" w:cs="宋体" w:hint="eastAsia"/>
                <w:kern w:val="0"/>
                <w:sz w:val="24"/>
              </w:rPr>
              <w:t xml:space="preserve">　说明：此表半年报送一次，分别于当年</w:t>
            </w:r>
            <w:r>
              <w:rPr>
                <w:rFonts w:ascii="宋体" w:hAnsi="宋体" w:cs="宋体"/>
                <w:kern w:val="0"/>
                <w:sz w:val="24"/>
              </w:rPr>
              <w:t>7</w:t>
            </w:r>
            <w:r>
              <w:rPr>
                <w:rFonts w:ascii="宋体" w:hAnsi="宋体" w:cs="宋体" w:hint="eastAsia"/>
                <w:kern w:val="0"/>
                <w:sz w:val="24"/>
              </w:rPr>
              <w:t>月和下一年</w:t>
            </w:r>
            <w:r>
              <w:rPr>
                <w:rFonts w:ascii="宋体" w:hAnsi="宋体" w:cs="宋体"/>
                <w:kern w:val="0"/>
                <w:sz w:val="24"/>
              </w:rPr>
              <w:t>1</w:t>
            </w:r>
            <w:r>
              <w:rPr>
                <w:rFonts w:ascii="宋体" w:hAnsi="宋体" w:cs="宋体" w:hint="eastAsia"/>
                <w:kern w:val="0"/>
                <w:sz w:val="24"/>
              </w:rPr>
              <w:t xml:space="preserve">月的5日前报送。　</w:t>
            </w:r>
          </w:p>
        </w:tc>
      </w:tr>
    </w:tbl>
    <w:p w:rsidR="002C4337" w:rsidRDefault="002C4337" w:rsidP="002C4337">
      <w:pPr>
        <w:widowControl/>
        <w:spacing w:line="560" w:lineRule="exact"/>
        <w:rPr>
          <w:rFonts w:hint="eastAsia"/>
        </w:rPr>
      </w:pPr>
    </w:p>
    <w:p w:rsidR="002C4337" w:rsidRPr="002C4337" w:rsidRDefault="002C4337" w:rsidP="002C4337">
      <w:pPr>
        <w:spacing w:line="460" w:lineRule="exact"/>
        <w:ind w:leftChars="304" w:left="1598" w:hangingChars="300" w:hanging="960"/>
        <w:jc w:val="left"/>
        <w:rPr>
          <w:rFonts w:eastAsia="仿宋_GB2312"/>
          <w:sz w:val="32"/>
          <w:szCs w:val="32"/>
        </w:rPr>
      </w:pPr>
    </w:p>
    <w:p w:rsidR="002C4337" w:rsidRDefault="002C4337" w:rsidP="002C4337">
      <w:pPr>
        <w:spacing w:line="460" w:lineRule="exact"/>
        <w:ind w:leftChars="304" w:left="1598" w:hangingChars="300" w:hanging="960"/>
        <w:jc w:val="left"/>
        <w:rPr>
          <w:rFonts w:eastAsia="仿宋_GB2312"/>
          <w:sz w:val="32"/>
          <w:szCs w:val="32"/>
        </w:rPr>
      </w:pPr>
    </w:p>
    <w:p w:rsidR="002C4337" w:rsidRDefault="002C4337" w:rsidP="002C4337">
      <w:pPr>
        <w:adjustRightInd w:val="0"/>
        <w:snapToGrid w:val="0"/>
        <w:spacing w:line="600" w:lineRule="exact"/>
        <w:rPr>
          <w:rFonts w:ascii="仿宋_GB2312" w:eastAsia="仿宋_GB2312" w:hAnsi="仿宋"/>
          <w:sz w:val="32"/>
          <w:szCs w:val="32"/>
        </w:rPr>
        <w:sectPr w:rsidR="002C4337" w:rsidSect="002C4337">
          <w:footerReference w:type="even" r:id="rId8"/>
          <w:footerReference w:type="default" r:id="rId9"/>
          <w:pgSz w:w="16838" w:h="11906" w:orient="landscape"/>
          <w:pgMar w:top="1531" w:right="1440" w:bottom="1531" w:left="1440" w:header="851" w:footer="992" w:gutter="0"/>
          <w:pgNumType w:fmt="numberInDash"/>
          <w:cols w:space="720"/>
          <w:docGrid w:type="linesAndChars" w:linePitch="312"/>
        </w:sectPr>
      </w:pPr>
    </w:p>
    <w:p w:rsidR="002C4337" w:rsidRDefault="002C4337" w:rsidP="002C4337">
      <w:pPr>
        <w:adjustRightInd w:val="0"/>
        <w:snapToGrid w:val="0"/>
        <w:spacing w:line="600" w:lineRule="exact"/>
        <w:rPr>
          <w:rFonts w:ascii="仿宋_GB2312" w:eastAsia="仿宋_GB2312" w:hAnsi="仿宋"/>
          <w:sz w:val="32"/>
          <w:szCs w:val="32"/>
        </w:rPr>
      </w:pPr>
    </w:p>
    <w:p w:rsidR="002C4337" w:rsidRDefault="002C4337" w:rsidP="002C4337">
      <w:pPr>
        <w:adjustRightInd w:val="0"/>
        <w:snapToGrid w:val="0"/>
        <w:spacing w:line="600" w:lineRule="exact"/>
        <w:rPr>
          <w:rFonts w:ascii="仿宋_GB2312" w:eastAsia="仿宋_GB2312" w:hAnsi="仿宋"/>
          <w:sz w:val="32"/>
          <w:szCs w:val="32"/>
        </w:rPr>
      </w:pPr>
    </w:p>
    <w:p w:rsidR="002C4337" w:rsidRDefault="002C4337" w:rsidP="002C4337">
      <w:pPr>
        <w:adjustRightInd w:val="0"/>
        <w:snapToGrid w:val="0"/>
        <w:spacing w:line="600" w:lineRule="exact"/>
        <w:rPr>
          <w:rFonts w:ascii="仿宋_GB2312" w:eastAsia="仿宋_GB2312" w:hAnsi="仿宋" w:hint="eastAsia"/>
          <w:sz w:val="32"/>
          <w:szCs w:val="32"/>
        </w:rPr>
      </w:pPr>
    </w:p>
    <w:p w:rsidR="002C4337" w:rsidRDefault="002C4337" w:rsidP="002C4337">
      <w:pPr>
        <w:adjustRightInd w:val="0"/>
        <w:snapToGrid w:val="0"/>
        <w:spacing w:line="600" w:lineRule="exact"/>
        <w:rPr>
          <w:rFonts w:ascii="仿宋_GB2312" w:eastAsia="仿宋_GB2312" w:hAnsi="仿宋" w:hint="eastAsia"/>
          <w:sz w:val="32"/>
          <w:szCs w:val="32"/>
        </w:rPr>
      </w:pPr>
    </w:p>
    <w:p w:rsidR="002C4337" w:rsidRDefault="002C4337" w:rsidP="002C4337">
      <w:pPr>
        <w:adjustRightInd w:val="0"/>
        <w:snapToGrid w:val="0"/>
        <w:spacing w:line="600" w:lineRule="exact"/>
        <w:rPr>
          <w:rFonts w:ascii="仿宋_GB2312" w:eastAsia="仿宋_GB2312" w:hAnsi="仿宋" w:hint="eastAsia"/>
          <w:sz w:val="32"/>
          <w:szCs w:val="32"/>
        </w:rPr>
      </w:pPr>
    </w:p>
    <w:p w:rsidR="002C4337" w:rsidRDefault="002C4337" w:rsidP="002C4337">
      <w:pPr>
        <w:adjustRightInd w:val="0"/>
        <w:snapToGrid w:val="0"/>
        <w:spacing w:line="600" w:lineRule="exact"/>
        <w:rPr>
          <w:rFonts w:ascii="仿宋_GB2312" w:eastAsia="仿宋_GB2312" w:hAnsi="仿宋" w:hint="eastAsia"/>
          <w:sz w:val="32"/>
          <w:szCs w:val="32"/>
        </w:rPr>
      </w:pPr>
    </w:p>
    <w:p w:rsidR="002C4337" w:rsidRDefault="002C4337" w:rsidP="002C4337">
      <w:pPr>
        <w:adjustRightInd w:val="0"/>
        <w:snapToGrid w:val="0"/>
        <w:spacing w:line="600" w:lineRule="exact"/>
        <w:rPr>
          <w:rFonts w:ascii="仿宋_GB2312" w:eastAsia="仿宋_GB2312" w:hAnsi="仿宋" w:hint="eastAsia"/>
          <w:sz w:val="32"/>
          <w:szCs w:val="32"/>
        </w:rPr>
      </w:pPr>
    </w:p>
    <w:p w:rsidR="002C4337" w:rsidRDefault="002C4337" w:rsidP="002C4337">
      <w:pPr>
        <w:adjustRightInd w:val="0"/>
        <w:snapToGrid w:val="0"/>
        <w:spacing w:line="600" w:lineRule="exact"/>
        <w:rPr>
          <w:rFonts w:ascii="仿宋_GB2312" w:eastAsia="仿宋_GB2312" w:hAnsi="仿宋" w:hint="eastAsia"/>
          <w:sz w:val="32"/>
          <w:szCs w:val="32"/>
        </w:rPr>
      </w:pPr>
    </w:p>
    <w:p w:rsidR="002C4337" w:rsidRDefault="002C4337" w:rsidP="002C4337">
      <w:pPr>
        <w:adjustRightInd w:val="0"/>
        <w:snapToGrid w:val="0"/>
        <w:spacing w:line="600" w:lineRule="exact"/>
        <w:rPr>
          <w:rFonts w:ascii="仿宋_GB2312" w:eastAsia="仿宋_GB2312" w:hAnsi="仿宋" w:hint="eastAsia"/>
          <w:sz w:val="32"/>
          <w:szCs w:val="32"/>
        </w:rPr>
      </w:pPr>
    </w:p>
    <w:p w:rsidR="002C4337" w:rsidRDefault="002C4337" w:rsidP="002C4337">
      <w:pPr>
        <w:adjustRightInd w:val="0"/>
        <w:snapToGrid w:val="0"/>
        <w:spacing w:line="600" w:lineRule="exact"/>
        <w:rPr>
          <w:rFonts w:ascii="仿宋_GB2312" w:eastAsia="仿宋_GB2312" w:hAnsi="仿宋" w:hint="eastAsia"/>
          <w:sz w:val="32"/>
          <w:szCs w:val="32"/>
        </w:rPr>
      </w:pPr>
    </w:p>
    <w:p w:rsidR="002C4337" w:rsidRDefault="002C4337" w:rsidP="002C4337">
      <w:pPr>
        <w:adjustRightInd w:val="0"/>
        <w:snapToGrid w:val="0"/>
        <w:spacing w:line="600" w:lineRule="exact"/>
        <w:rPr>
          <w:rFonts w:ascii="仿宋_GB2312" w:eastAsia="仿宋_GB2312" w:hAnsi="仿宋" w:hint="eastAsia"/>
          <w:sz w:val="32"/>
          <w:szCs w:val="32"/>
        </w:rPr>
      </w:pPr>
    </w:p>
    <w:p w:rsidR="002C4337" w:rsidRDefault="002C4337" w:rsidP="002C4337">
      <w:pPr>
        <w:adjustRightInd w:val="0"/>
        <w:snapToGrid w:val="0"/>
        <w:spacing w:line="600" w:lineRule="exact"/>
        <w:rPr>
          <w:rFonts w:ascii="仿宋_GB2312" w:eastAsia="仿宋_GB2312" w:hAnsi="仿宋" w:hint="eastAsia"/>
          <w:sz w:val="32"/>
          <w:szCs w:val="32"/>
        </w:rPr>
      </w:pPr>
    </w:p>
    <w:p w:rsidR="002C4337" w:rsidRDefault="002C4337" w:rsidP="002C4337">
      <w:pPr>
        <w:adjustRightInd w:val="0"/>
        <w:snapToGrid w:val="0"/>
        <w:spacing w:line="600" w:lineRule="exact"/>
        <w:rPr>
          <w:rFonts w:ascii="仿宋_GB2312" w:eastAsia="仿宋_GB2312" w:hAnsi="仿宋" w:hint="eastAsia"/>
          <w:sz w:val="32"/>
          <w:szCs w:val="32"/>
        </w:rPr>
      </w:pPr>
    </w:p>
    <w:p w:rsidR="002C4337" w:rsidRDefault="002C4337" w:rsidP="002C4337">
      <w:pPr>
        <w:adjustRightInd w:val="0"/>
        <w:snapToGrid w:val="0"/>
        <w:spacing w:line="600" w:lineRule="exact"/>
        <w:rPr>
          <w:rFonts w:ascii="仿宋_GB2312" w:eastAsia="仿宋_GB2312" w:hAnsi="仿宋" w:hint="eastAsia"/>
          <w:sz w:val="32"/>
          <w:szCs w:val="32"/>
        </w:rPr>
      </w:pPr>
    </w:p>
    <w:p w:rsidR="002C4337" w:rsidRDefault="002C4337" w:rsidP="002C4337">
      <w:pPr>
        <w:adjustRightInd w:val="0"/>
        <w:snapToGrid w:val="0"/>
        <w:spacing w:line="600" w:lineRule="exact"/>
        <w:rPr>
          <w:rFonts w:ascii="仿宋_GB2312" w:eastAsia="仿宋_GB2312" w:hAnsi="仿宋" w:hint="eastAsia"/>
          <w:sz w:val="32"/>
          <w:szCs w:val="32"/>
        </w:rPr>
      </w:pPr>
    </w:p>
    <w:p w:rsidR="002C4337" w:rsidRDefault="002C4337" w:rsidP="002C4337">
      <w:pPr>
        <w:adjustRightInd w:val="0"/>
        <w:snapToGrid w:val="0"/>
        <w:spacing w:line="600" w:lineRule="exact"/>
        <w:rPr>
          <w:rFonts w:ascii="仿宋_GB2312" w:eastAsia="仿宋_GB2312" w:hAnsi="仿宋" w:hint="eastAsia"/>
          <w:sz w:val="32"/>
          <w:szCs w:val="32"/>
        </w:rPr>
      </w:pPr>
    </w:p>
    <w:p w:rsidR="002C4337" w:rsidRDefault="002C4337" w:rsidP="002C4337">
      <w:pPr>
        <w:adjustRightInd w:val="0"/>
        <w:snapToGrid w:val="0"/>
        <w:spacing w:line="600" w:lineRule="exact"/>
        <w:rPr>
          <w:rFonts w:ascii="仿宋_GB2312" w:eastAsia="仿宋_GB2312" w:hAnsi="仿宋" w:hint="eastAsia"/>
          <w:sz w:val="32"/>
          <w:szCs w:val="32"/>
        </w:rPr>
      </w:pPr>
    </w:p>
    <w:p w:rsidR="002C4337" w:rsidRDefault="002C4337" w:rsidP="002C4337">
      <w:pPr>
        <w:adjustRightInd w:val="0"/>
        <w:snapToGrid w:val="0"/>
        <w:spacing w:line="600" w:lineRule="exact"/>
        <w:rPr>
          <w:rFonts w:ascii="仿宋_GB2312" w:eastAsia="仿宋_GB2312" w:hAnsi="仿宋" w:hint="eastAsia"/>
          <w:sz w:val="32"/>
          <w:szCs w:val="32"/>
        </w:rPr>
      </w:pPr>
    </w:p>
    <w:p w:rsidR="002C4337" w:rsidRDefault="002C4337" w:rsidP="002C4337">
      <w:pPr>
        <w:adjustRightInd w:val="0"/>
        <w:snapToGrid w:val="0"/>
        <w:spacing w:line="600" w:lineRule="exact"/>
        <w:rPr>
          <w:rFonts w:ascii="仿宋_GB2312" w:eastAsia="仿宋_GB2312" w:hAnsi="仿宋" w:hint="eastAsia"/>
          <w:sz w:val="32"/>
          <w:szCs w:val="32"/>
        </w:rPr>
      </w:pPr>
    </w:p>
    <w:p w:rsidR="002C4337" w:rsidRDefault="002C4337" w:rsidP="002C4337">
      <w:pPr>
        <w:adjustRightInd w:val="0"/>
        <w:snapToGrid w:val="0"/>
        <w:spacing w:line="600" w:lineRule="exact"/>
        <w:rPr>
          <w:rFonts w:ascii="仿宋_GB2312" w:eastAsia="仿宋_GB2312" w:hAnsi="仿宋" w:hint="eastAsia"/>
          <w:sz w:val="32"/>
          <w:szCs w:val="32"/>
        </w:rPr>
      </w:pPr>
    </w:p>
    <w:p w:rsidR="002C4337" w:rsidRDefault="002C4337" w:rsidP="002C4337">
      <w:pPr>
        <w:adjustRightInd w:val="0"/>
        <w:snapToGrid w:val="0"/>
        <w:spacing w:line="600" w:lineRule="exact"/>
        <w:rPr>
          <w:rFonts w:ascii="仿宋_GB2312" w:eastAsia="仿宋_GB2312" w:hAnsi="仿宋"/>
          <w:sz w:val="32"/>
          <w:szCs w:val="32"/>
        </w:rPr>
      </w:pPr>
    </w:p>
    <w:p w:rsidR="002C4337" w:rsidRDefault="002C4337" w:rsidP="002C4337">
      <w:pPr>
        <w:adjustRightInd w:val="0"/>
        <w:snapToGrid w:val="0"/>
        <w:spacing w:line="600" w:lineRule="exact"/>
        <w:rPr>
          <w:rFonts w:ascii="仿宋_GB2312" w:eastAsia="仿宋_GB2312"/>
          <w:sz w:val="32"/>
          <w:szCs w:val="32"/>
        </w:rPr>
      </w:pPr>
    </w:p>
    <w:p w:rsidR="001B0355" w:rsidRDefault="002C4337" w:rsidP="002C4337">
      <w:pPr>
        <w:pBdr>
          <w:top w:val="single" w:sz="6" w:space="1" w:color="auto"/>
          <w:bottom w:val="single" w:sz="6" w:space="1" w:color="auto"/>
        </w:pBdr>
        <w:adjustRightInd w:val="0"/>
        <w:snapToGrid w:val="0"/>
        <w:spacing w:line="600" w:lineRule="exact"/>
        <w:ind w:firstLineChars="50" w:firstLine="150"/>
      </w:pPr>
      <w:r w:rsidRPr="00150B80">
        <w:rPr>
          <w:rFonts w:ascii="仿宋_GB2312" w:eastAsia="仿宋_GB2312" w:hint="eastAsia"/>
          <w:sz w:val="30"/>
          <w:szCs w:val="30"/>
        </w:rPr>
        <w:t xml:space="preserve">新疆维吾尔自治区农业厅办公室  </w:t>
      </w:r>
      <w:r>
        <w:rPr>
          <w:rFonts w:ascii="仿宋_GB2312" w:eastAsia="仿宋_GB2312" w:hint="eastAsia"/>
          <w:sz w:val="30"/>
          <w:szCs w:val="30"/>
        </w:rPr>
        <w:t xml:space="preserve">      </w:t>
      </w:r>
      <w:r w:rsidRPr="00150B80">
        <w:rPr>
          <w:rFonts w:ascii="仿宋_GB2312" w:eastAsia="仿宋_GB2312" w:hint="eastAsia"/>
          <w:sz w:val="30"/>
          <w:szCs w:val="30"/>
        </w:rPr>
        <w:t xml:space="preserve"> 201</w:t>
      </w:r>
      <w:r>
        <w:rPr>
          <w:rFonts w:ascii="仿宋_GB2312" w:eastAsia="仿宋_GB2312" w:hint="eastAsia"/>
          <w:sz w:val="30"/>
          <w:szCs w:val="30"/>
        </w:rPr>
        <w:t>7</w:t>
      </w:r>
      <w:r w:rsidRPr="00150B80">
        <w:rPr>
          <w:rFonts w:ascii="仿宋_GB2312" w:eastAsia="仿宋_GB2312" w:hint="eastAsia"/>
          <w:sz w:val="30"/>
          <w:szCs w:val="30"/>
        </w:rPr>
        <w:t>年</w:t>
      </w:r>
      <w:r>
        <w:rPr>
          <w:rFonts w:ascii="仿宋_GB2312" w:eastAsia="仿宋_GB2312" w:hint="eastAsia"/>
          <w:sz w:val="30"/>
          <w:szCs w:val="30"/>
        </w:rPr>
        <w:t>3</w:t>
      </w:r>
      <w:r w:rsidRPr="00150B80">
        <w:rPr>
          <w:rFonts w:ascii="仿宋_GB2312" w:eastAsia="仿宋_GB2312" w:hint="eastAsia"/>
          <w:sz w:val="30"/>
          <w:szCs w:val="30"/>
        </w:rPr>
        <w:t>月</w:t>
      </w:r>
      <w:r>
        <w:rPr>
          <w:rFonts w:ascii="仿宋_GB2312" w:eastAsia="仿宋_GB2312" w:hint="eastAsia"/>
          <w:sz w:val="30"/>
          <w:szCs w:val="30"/>
        </w:rPr>
        <w:t>23</w:t>
      </w:r>
      <w:r w:rsidRPr="00150B80">
        <w:rPr>
          <w:rFonts w:ascii="仿宋_GB2312" w:eastAsia="仿宋_GB2312" w:hint="eastAsia"/>
          <w:sz w:val="30"/>
          <w:szCs w:val="30"/>
        </w:rPr>
        <w:t>日印发</w:t>
      </w:r>
    </w:p>
    <w:sectPr w:rsidR="001B0355" w:rsidSect="002C4337">
      <w:pgSz w:w="11906" w:h="16838"/>
      <w:pgMar w:top="1440" w:right="1531" w:bottom="1440"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337" w:rsidRDefault="002C4337" w:rsidP="002C4337">
      <w:r>
        <w:separator/>
      </w:r>
    </w:p>
  </w:endnote>
  <w:endnote w:type="continuationSeparator" w:id="1">
    <w:p w:rsidR="002C4337" w:rsidRDefault="002C4337" w:rsidP="002C4337">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075390"/>
      <w:docPartObj>
        <w:docPartGallery w:val="Page Numbers (Bottom of Page)"/>
        <w:docPartUnique/>
      </w:docPartObj>
    </w:sdtPr>
    <w:sdtContent>
      <w:p w:rsidR="002C4337" w:rsidRDefault="002C4337">
        <w:pPr>
          <w:pStyle w:val="a4"/>
        </w:pPr>
        <w:fldSimple w:instr=" PAGE   \* MERGEFORMAT ">
          <w:r w:rsidRPr="002C4337">
            <w:rPr>
              <w:noProof/>
              <w:lang w:val="zh-CN"/>
            </w:rPr>
            <w:t>-</w:t>
          </w:r>
          <w:r>
            <w:rPr>
              <w:noProof/>
            </w:rPr>
            <w:t xml:space="preserve"> 4 -</w:t>
          </w:r>
        </w:fldSimple>
      </w:p>
    </w:sdtContent>
  </w:sdt>
  <w:p w:rsidR="002C4337" w:rsidRDefault="002C433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075391"/>
      <w:docPartObj>
        <w:docPartGallery w:val="Page Numbers (Bottom of Page)"/>
        <w:docPartUnique/>
      </w:docPartObj>
    </w:sdtPr>
    <w:sdtContent>
      <w:p w:rsidR="002C4337" w:rsidRDefault="002C4337">
        <w:pPr>
          <w:pStyle w:val="a4"/>
          <w:jc w:val="right"/>
        </w:pPr>
        <w:fldSimple w:instr=" PAGE   \* MERGEFORMAT ">
          <w:r w:rsidRPr="002C4337">
            <w:rPr>
              <w:noProof/>
              <w:lang w:val="zh-CN"/>
            </w:rPr>
            <w:t>-</w:t>
          </w:r>
          <w:r>
            <w:rPr>
              <w:noProof/>
            </w:rPr>
            <w:t xml:space="preserve"> 1 -</w:t>
          </w:r>
        </w:fldSimple>
      </w:p>
    </w:sdtContent>
  </w:sdt>
  <w:p w:rsidR="002C4337" w:rsidRDefault="002C433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48" w:rsidRDefault="002C4337">
    <w:pPr>
      <w:pStyle w:val="a4"/>
      <w:ind w:right="360" w:firstLine="360"/>
    </w:pPr>
    <w:r>
      <w:pict>
        <v:shapetype id="_x0000_t202" coordsize="21600,21600" o:spt="202" path="m,l,21600r21600,l21600,xe">
          <v:stroke joinstyle="miter"/>
          <v:path gradientshapeok="t" o:connecttype="rect"/>
        </v:shapetype>
        <v:shape id="_x0000_s1025" type="#_x0000_t202" style="position:absolute;left:0;text-align:left;margin-left:-214.1pt;margin-top:0;width:4.45pt;height:10.35pt;z-index:251658240;mso-wrap-style:none;mso-wrap-distance-left:0;mso-wrap-distance-right:0;mso-position-horizontal:outside;mso-position-horizontal-relative:margin" filled="f" stroked="f">
          <v:textbox style="mso-fit-shape-to-text:t" inset="0,0,0,0">
            <w:txbxContent>
              <w:p w:rsidR="00294248" w:rsidRDefault="002C4337">
                <w:pPr>
                  <w:pStyle w:val="a4"/>
                  <w:rPr>
                    <w:rStyle w:val="a3"/>
                  </w:rPr>
                </w:pPr>
                <w:r>
                  <w:rPr>
                    <w:rStyle w:val="a3"/>
                  </w:rPr>
                  <w:fldChar w:fldCharType="begin"/>
                </w:r>
                <w:r>
                  <w:rPr>
                    <w:rStyle w:val="a3"/>
                  </w:rPr>
                  <w:instrText xml:space="preserve">PAGE  </w:instrText>
                </w:r>
                <w:r>
                  <w:rPr>
                    <w:rStyle w:val="a3"/>
                  </w:rPr>
                  <w:fldChar w:fldCharType="separate"/>
                </w:r>
                <w:r>
                  <w:rPr>
                    <w:rStyle w:val="a3"/>
                    <w:noProof/>
                  </w:rPr>
                  <w:t>- 8 -</w:t>
                </w:r>
                <w:r>
                  <w:rPr>
                    <w:rStyle w:val="a3"/>
                  </w:rPr>
                  <w:fldChar w:fldCharType="end"/>
                </w:r>
              </w:p>
            </w:txbxContent>
          </v:textbox>
          <w10:wrap type="square"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48" w:rsidRDefault="002C4337">
    <w:pPr>
      <w:pStyle w:val="a4"/>
      <w:ind w:right="360" w:firstLine="360"/>
    </w:pPr>
    <w:r>
      <w:pict>
        <v:shapetype id="_x0000_t202" coordsize="21600,21600" o:spt="202" path="m,l,21600r21600,l21600,xe">
          <v:stroke joinstyle="miter"/>
          <v:path gradientshapeok="t" o:connecttype="rect"/>
        </v:shapetype>
        <v:shape id="_x0000_s1026" type="#_x0000_t202" style="position:absolute;left:0;text-align:left;margin-left:-214.1pt;margin-top:0;width:4.45pt;height:10.35pt;z-index:251658240;mso-wrap-style:none;mso-wrap-distance-left:0;mso-wrap-distance-right:0;mso-position-horizontal:outside;mso-position-horizontal-relative:margin" filled="f" stroked="f">
          <v:textbox style="mso-fit-shape-to-text:t" inset="0,0,0,0">
            <w:txbxContent>
              <w:p w:rsidR="00294248" w:rsidRDefault="002C4337">
                <w:pPr>
                  <w:pStyle w:val="a4"/>
                  <w:rPr>
                    <w:rStyle w:val="a3"/>
                  </w:rPr>
                </w:pPr>
                <w:r>
                  <w:rPr>
                    <w:rStyle w:val="a3"/>
                  </w:rPr>
                  <w:fldChar w:fldCharType="begin"/>
                </w:r>
                <w:r>
                  <w:rPr>
                    <w:rStyle w:val="a3"/>
                  </w:rPr>
                  <w:instrText xml:space="preserve">PAGE  </w:instrText>
                </w:r>
                <w:r>
                  <w:rPr>
                    <w:rStyle w:val="a3"/>
                  </w:rPr>
                  <w:fldChar w:fldCharType="separate"/>
                </w:r>
                <w:r>
                  <w:rPr>
                    <w:rStyle w:val="a3"/>
                    <w:noProof/>
                  </w:rPr>
                  <w:t>- 7 -</w:t>
                </w:r>
                <w:r>
                  <w:rPr>
                    <w:rStyle w:val="a3"/>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337" w:rsidRDefault="002C4337" w:rsidP="002C4337">
      <w:r>
        <w:separator/>
      </w:r>
    </w:p>
  </w:footnote>
  <w:footnote w:type="continuationSeparator" w:id="1">
    <w:p w:rsidR="002C4337" w:rsidRDefault="002C4337" w:rsidP="002C43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4337"/>
    <w:rsid w:val="001B0355"/>
    <w:rsid w:val="002C43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3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2C4337"/>
  </w:style>
  <w:style w:type="paragraph" w:styleId="a4">
    <w:name w:val="footer"/>
    <w:basedOn w:val="a"/>
    <w:link w:val="Char"/>
    <w:uiPriority w:val="99"/>
    <w:rsid w:val="002C4337"/>
    <w:pPr>
      <w:tabs>
        <w:tab w:val="center" w:pos="4153"/>
        <w:tab w:val="right" w:pos="8306"/>
      </w:tabs>
      <w:snapToGrid w:val="0"/>
      <w:jc w:val="left"/>
    </w:pPr>
    <w:rPr>
      <w:sz w:val="18"/>
      <w:szCs w:val="18"/>
    </w:rPr>
  </w:style>
  <w:style w:type="character" w:customStyle="1" w:styleId="Char">
    <w:name w:val="页脚 Char"/>
    <w:basedOn w:val="a0"/>
    <w:link w:val="a4"/>
    <w:uiPriority w:val="99"/>
    <w:rsid w:val="002C4337"/>
    <w:rPr>
      <w:rFonts w:ascii="Times New Roman" w:eastAsia="宋体" w:hAnsi="Times New Roman" w:cs="Times New Roman"/>
      <w:sz w:val="18"/>
      <w:szCs w:val="18"/>
    </w:rPr>
  </w:style>
  <w:style w:type="paragraph" w:styleId="a5">
    <w:name w:val="Normal (Web)"/>
    <w:basedOn w:val="a"/>
    <w:rsid w:val="002C4337"/>
    <w:pPr>
      <w:widowControl/>
      <w:spacing w:before="100" w:beforeAutospacing="1" w:after="100" w:afterAutospacing="1"/>
      <w:jc w:val="left"/>
    </w:pPr>
    <w:rPr>
      <w:rFonts w:ascii="宋体" w:hAnsi="宋体" w:cs="宋体"/>
      <w:kern w:val="0"/>
      <w:sz w:val="24"/>
    </w:rPr>
  </w:style>
  <w:style w:type="paragraph" w:styleId="a6">
    <w:name w:val="header"/>
    <w:basedOn w:val="a"/>
    <w:link w:val="Char0"/>
    <w:uiPriority w:val="99"/>
    <w:semiHidden/>
    <w:unhideWhenUsed/>
    <w:rsid w:val="002C43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2C4337"/>
    <w:rPr>
      <w:rFonts w:ascii="Times New Roman" w:eastAsia="宋体" w:hAnsi="Times New Roman" w:cs="Times New Roman"/>
      <w:sz w:val="18"/>
      <w:szCs w:val="18"/>
    </w:rPr>
  </w:style>
  <w:style w:type="paragraph" w:styleId="a7">
    <w:name w:val="Date"/>
    <w:basedOn w:val="a"/>
    <w:next w:val="a"/>
    <w:link w:val="Char1"/>
    <w:uiPriority w:val="99"/>
    <w:semiHidden/>
    <w:unhideWhenUsed/>
    <w:rsid w:val="002C4337"/>
    <w:pPr>
      <w:ind w:leftChars="2500" w:left="100"/>
    </w:pPr>
  </w:style>
  <w:style w:type="character" w:customStyle="1" w:styleId="Char1">
    <w:name w:val="日期 Char"/>
    <w:basedOn w:val="a0"/>
    <w:link w:val="a7"/>
    <w:uiPriority w:val="99"/>
    <w:semiHidden/>
    <w:rsid w:val="002C433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dc:creator>
  <cp:lastModifiedBy>jsj</cp:lastModifiedBy>
  <cp:revision>1</cp:revision>
  <cp:lastPrinted>2017-03-23T08:28:00Z</cp:lastPrinted>
  <dcterms:created xsi:type="dcterms:W3CDTF">2017-03-23T08:21:00Z</dcterms:created>
  <dcterms:modified xsi:type="dcterms:W3CDTF">2017-03-23T08:28:00Z</dcterms:modified>
</cp:coreProperties>
</file>