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jc w:val="center"/>
        <w:rPr>
          <w:color w:val="000000" w:themeColor="text1"/>
          <w:sz w:val="36"/>
          <w:szCs w:val="36"/>
          <w:shd w:val="clear" w:fill="FFFFFF"/>
          <w14:textFill>
            <w14:solidFill>
              <w14:schemeClr w14:val="tx1"/>
            </w14:solidFill>
          </w14:textFill>
        </w:rPr>
      </w:pPr>
      <w:r>
        <w:rPr>
          <w:color w:val="000000" w:themeColor="text1"/>
          <w:sz w:val="36"/>
          <w:szCs w:val="36"/>
          <w:shd w:val="clear" w:fill="FFFFFF"/>
          <w14:textFill>
            <w14:solidFill>
              <w14:schemeClr w14:val="tx1"/>
            </w14:solidFill>
          </w14:textFill>
        </w:rPr>
        <w:t>关于做好畜禽规模养殖项目环境影响评价管理工作的通知</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jc w:val="center"/>
        <w:rPr>
          <w:rFonts w:ascii="微软雅黑" w:hAnsi="微软雅黑" w:eastAsia="微软雅黑" w:cs="微软雅黑"/>
          <w:b w:val="0"/>
          <w:color w:val="000000"/>
          <w:sz w:val="24"/>
          <w:szCs w:val="24"/>
        </w:rPr>
      </w:pPr>
      <w:r>
        <w:rPr>
          <w:rFonts w:hint="eastAsia" w:ascii="微软雅黑" w:hAnsi="微软雅黑" w:eastAsia="微软雅黑" w:cs="微软雅黑"/>
          <w:b w:val="0"/>
          <w:color w:val="000000"/>
          <w:kern w:val="0"/>
          <w:sz w:val="24"/>
          <w:szCs w:val="24"/>
          <w:bdr w:val="none" w:color="auto" w:sz="0" w:space="0"/>
          <w:shd w:val="clear" w:fill="FFFFFF"/>
          <w:lang w:val="en-US" w:eastAsia="zh-CN" w:bidi="ar"/>
        </w:rPr>
        <w:t>环办环评[2018]31号</w:t>
      </w:r>
      <w:bookmarkStart w:id="0" w:name="_GoBack"/>
      <w:bookmarkEnd w:id="0"/>
    </w:p>
    <w:p>
      <w:pPr>
        <w:keepNext w:val="0"/>
        <w:keepLines w:val="0"/>
        <w:widowControl/>
        <w:numPr>
          <w:numId w:val="0"/>
        </w:numPr>
        <w:suppressLineNumbers w:val="0"/>
        <w:pBdr>
          <w:top w:val="none" w:color="auto" w:sz="0" w:space="0"/>
          <w:left w:val="none" w:color="auto" w:sz="0" w:space="0"/>
          <w:bottom w:val="single" w:color="F0F0F0" w:sz="2" w:space="0"/>
          <w:right w:val="none" w:color="auto" w:sz="0" w:space="0"/>
        </w:pBdr>
        <w:spacing w:before="0" w:beforeAutospacing="0" w:after="0" w:afterAutospacing="0" w:line="690" w:lineRule="atLeast"/>
        <w:ind w:left="-360" w:leftChars="0" w:right="0" w:rightChars="0"/>
        <w:jc w:val="center"/>
        <w:rPr>
          <w:sz w:val="24"/>
          <w:szCs w:val="24"/>
        </w:rPr>
      </w:pPr>
    </w:p>
    <w:p/>
    <w:p>
      <w:pPr>
        <w:pStyle w:val="3"/>
        <w:keepNext w:val="0"/>
        <w:keepLines w:val="0"/>
        <w:widowControl/>
        <w:suppressLineNumbers w:val="0"/>
        <w:spacing w:line="540" w:lineRule="atLeast"/>
        <w:rPr>
          <w:sz w:val="24"/>
          <w:szCs w:val="24"/>
        </w:rPr>
      </w:pPr>
      <w:r>
        <w:rPr>
          <w:rFonts w:ascii="微软雅黑" w:hAnsi="微软雅黑" w:eastAsia="微软雅黑" w:cs="微软雅黑"/>
          <w:color w:val="000000"/>
          <w:sz w:val="24"/>
          <w:szCs w:val="24"/>
          <w:shd w:val="clear" w:fill="FFFFFF"/>
        </w:rPr>
        <w:t>各省、自治区、直辖市环境保护厅（局），新疆生产建设兵团环境保护局：</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为打好污染防治攻坚战，改善农业农村生产生活环境，充分发挥环境影响评价制度的预防作用，现将畜禽规模养殖建设项目环境影响评价（以下简称项目环评）管理有关事项通知如下。</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一、优化项目选址，合理布置养殖场区</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项目环评应充分论证选址的环境合理性，选址应避开当地划定的禁止养殖区域，并与区域主体功能区规划、环境功能区划、土地利用规划、城乡规划、畜牧业发展规划、畜禽养殖污染防治规划等规划相协调。当地未划定禁止养殖区域的，应避开饮用水水源保护区、风景名胜区、自然保护区的核心区和缓冲区、村镇人口集中区域，以及法律、法规规定的禁止养殖区域。</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项目环评应结合环境保护要求优化养殖场区内部布置。畜禽养殖区及畜禽粪污贮存、处理和畜禽尸体无害化处理等产生恶臭影响的设施，应位于养殖场区主导风向的下风向位置，并尽量远离周边环境保护目标。参照《畜禽养殖业污染防治技术规范》，并根据恶臭污染物无组织排放源强，以及当地的环境及气象等因素，按照《环境影响评价技术导则 大气环境》要求计算大气环境防护距离，作为养殖场选址以及周边规划控制的依据，减轻对周围环境保护目标的不利影响。</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二、加强粪污减量控制，促进畜禽养殖粪污资源化利用</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项目环评应以农业绿色发展为导向，优化工艺，通过采取优化饲料配方、提高饲养技术等措施，从源头减少粪污的产生量。鼓励采取干清粪方式，采取水泡粪工艺的应最大限度降低用水量。场区应采取雨污分离措施，防止雨水进入粪污收集系统。</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项目环评应结合地域、畜种、规模等特点以及地方相关部门制定的畜禽粪污综合利用目标等要求，加强畜禽养殖粪污资源化利用，因地制宜选择经济高效适用的处理利用模式，采取粪污全量收集还田利用、污水肥料化利用、粪便垫料回用、异位发酵床、粪污专业化能源利用等模式处理利用畜禽粪污，促进畜禽规模养殖项目“种养结合”绿色发展。</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鼓励根据土地承载能力确定畜禽养殖场的适宜养殖规模，土地承载能力可采用农业农村主管部门发布的测算技术方法确定。耕地面积大、土地消纳能力相对较高的区域，畜禽养殖场产生的粪污应力争实现全部就地就近资源化利用或委托第三方处理;当土地消纳能力不足时，应进一步提高资源化利用能力或适当减少养殖规模。鼓励依托符合环保要求的专业化粪污处理利用企业，提高畜禽养殖粪污集中收集利用能力。环评应明确畜禽养殖粪污资源化利用的主体，严格落实利用渠道或途径，确保资源化利用有效实施。</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三、强化粪污治理措施，做好污染防治</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项目环评应强化对粪污的治理措施，加强畜禽养殖粪污资源化利用过程中的污染控制，推进粪污资源的良性利用，应对无法资源化利用的粪污采取治理措施确保达标排放。畜禽规模养殖项目应配套建设与养殖规模相匹配的雨污分离设施，以及粪污贮存、处理和利用设施等，委托满足相关环保要求的第三方代为利用或者处理的，可不自行建设粪污处理或利用设施。</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项目环评应明确畜禽粪污贮存、处理和利用措施。贮存池应采取有效的防雨、防渗和防溢流措施，防止畜禽粪污污染地下水。贮存池总有效容积应根据贮存期确定。进行资源化利用的畜禽粪污须处理并达到畜禽粪便还田、无害化处理等技术规范要求。畜禽规模养殖项目配套建设沼气工程的，应充分考虑沼气制备及贮存过程中的环境风险，制定环境风险防范措施及应急预案。</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畜禽养殖粪污作为肥料还田利用的，应明确畜禽养殖场与还田利用的林地、农田之间的输送系统及环境管理措施，严格控制肥水输送沿途的弃、撒和跑冒滴漏，防止进入外部水体。对无法采取资源化利用的畜禽养殖废水应明确处理措施及工艺，确保达标排放或消毒回用，排放去向应符合国家和地方的有关规定，不得排入敏感水域和有特殊功能的水域。</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依据相关法律法规和技术规范，制定明确的病死畜禽处理、处置方案，及时处理病死畜禽。针对畜禽规模养殖项目的恶臭影响，可采取控制饲养密度、改善舍内通风、及时清粪、采用除臭剂、集中收集处理等措施，确保项目恶臭污染物达标排放。</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四、落实环评信息公开要求，发挥公众参与的监督作用</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建设单位在项目环评报告书报送审批前，应采取适当形式，遵循依法、有序、公开、便利的原则，公开征求意见并对真实性和结果负责。</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地方生态环境部门应按照相关要求，主动公开项目环评报告书受理情况、拟作出的审批意见和审批情况，保障公众环境保护知情权、参与权和监督权。强化对建设单位的监督约束，落实建设项目环评信息的全过程、全覆盖公开，确保公众能够方便获取建设项目环评信息。</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五、强化事中事后监管，形成长效管理机制</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地方生态环境部门应加强畜禽规模养殖项目的全过程管理。建设单位必须严格执行环境保护“三同时”制度，落实各项生态环境保护措施，在项目建成后按照国家规定的程序和技术规范，开展建设项目竣工环境保护验收。各级生态环境部门通过随机抽查项目环评报告书等方式，掌握环境影响报告书的编制及审批、环境影响登记表备案及承诺落实、环境保护“三同时”落实、环境保护验收情况及相关主体责任落实等情况，及时查处违法违规行为。</w:t>
      </w:r>
    </w:p>
    <w:p>
      <w:pPr>
        <w:pStyle w:val="3"/>
        <w:keepNext w:val="0"/>
        <w:keepLines w:val="0"/>
        <w:widowControl/>
        <w:suppressLineNumbers w:val="0"/>
        <w:spacing w:line="540" w:lineRule="atLeast"/>
        <w:jc w:val="right"/>
        <w:rPr>
          <w:sz w:val="24"/>
          <w:szCs w:val="24"/>
        </w:rPr>
      </w:pPr>
      <w:r>
        <w:rPr>
          <w:rFonts w:hint="eastAsia" w:ascii="微软雅黑" w:hAnsi="微软雅黑" w:eastAsia="微软雅黑" w:cs="微软雅黑"/>
          <w:color w:val="000000"/>
          <w:sz w:val="24"/>
          <w:szCs w:val="24"/>
          <w:shd w:val="clear" w:fill="FFFFFF"/>
        </w:rPr>
        <w:t>　　生态环境部办公厅</w:t>
      </w:r>
    </w:p>
    <w:p>
      <w:pPr>
        <w:pStyle w:val="3"/>
        <w:keepNext w:val="0"/>
        <w:keepLines w:val="0"/>
        <w:widowControl/>
        <w:suppressLineNumbers w:val="0"/>
        <w:spacing w:line="540" w:lineRule="atLeast"/>
        <w:jc w:val="right"/>
        <w:rPr>
          <w:sz w:val="24"/>
          <w:szCs w:val="24"/>
        </w:rPr>
      </w:pPr>
      <w:r>
        <w:rPr>
          <w:rFonts w:hint="eastAsia" w:ascii="微软雅黑" w:hAnsi="微软雅黑" w:eastAsia="微软雅黑" w:cs="微软雅黑"/>
          <w:color w:val="000000"/>
          <w:sz w:val="24"/>
          <w:szCs w:val="24"/>
          <w:shd w:val="clear" w:fill="FFFFFF"/>
        </w:rPr>
        <w:t>　　2018年10月12日</w:t>
      </w:r>
    </w:p>
    <w:p>
      <w:pPr>
        <w:pStyle w:val="3"/>
        <w:keepNext w:val="0"/>
        <w:keepLines w:val="0"/>
        <w:widowControl/>
        <w:suppressLineNumbers w:val="0"/>
        <w:spacing w:line="540" w:lineRule="atLeast"/>
        <w:rPr>
          <w:sz w:val="24"/>
          <w:szCs w:val="24"/>
        </w:rPr>
      </w:pPr>
      <w:r>
        <w:rPr>
          <w:rFonts w:hint="eastAsia" w:ascii="微软雅黑" w:hAnsi="微软雅黑" w:eastAsia="微软雅黑" w:cs="微软雅黑"/>
          <w:color w:val="000000"/>
          <w:sz w:val="24"/>
          <w:szCs w:val="24"/>
          <w:shd w:val="clear" w:fill="FFFFFF"/>
        </w:rPr>
        <w:t>　　生态环境部办公厅2018年10月15日印发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7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styleId="5">
    <w:name w:val="FollowedHyperlink"/>
    <w:basedOn w:val="4"/>
    <w:uiPriority w:val="0"/>
    <w:rPr>
      <w:color w:val="900B09"/>
      <w:u w:val="none"/>
    </w:rPr>
  </w:style>
  <w:style w:type="character" w:styleId="6">
    <w:name w:val="Hyperlink"/>
    <w:basedOn w:val="4"/>
    <w:uiPriority w:val="0"/>
    <w:rPr>
      <w:color w:val="000000"/>
      <w:u w:val="none"/>
    </w:rPr>
  </w:style>
  <w:style w:type="character" w:customStyle="1" w:styleId="8">
    <w:name w:val="cur1"/>
    <w:basedOn w:val="4"/>
    <w:uiPriority w:val="0"/>
    <w:rPr>
      <w:color w:val="FFFFFF"/>
      <w:shd w:val="clear" w:fill="0C79CC"/>
    </w:rPr>
  </w:style>
  <w:style w:type="character" w:customStyle="1" w:styleId="9">
    <w:name w:val="hover34"/>
    <w:basedOn w:val="4"/>
    <w:uiPriority w:val="0"/>
  </w:style>
  <w:style w:type="character" w:customStyle="1" w:styleId="10">
    <w:name w:val="lable"/>
    <w:basedOn w:val="4"/>
    <w:uiPriority w:val="0"/>
    <w:rPr>
      <w:sz w:val="24"/>
      <w:szCs w:val="24"/>
    </w:rPr>
  </w:style>
  <w:style w:type="character" w:customStyle="1" w:styleId="11">
    <w:name w:val="radio-btn"/>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李冷佳</cp:lastModifiedBy>
  <dcterms:modified xsi:type="dcterms:W3CDTF">2018-12-21T01:29:30Z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