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s>
        <w:overflowPunct w:val="0"/>
        <w:adjustRightInd w:val="0"/>
        <w:snapToGrid w:val="0"/>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附件4</w:t>
      </w:r>
    </w:p>
    <w:p>
      <w:pPr>
        <w:tabs>
          <w:tab w:val="left" w:pos="790"/>
        </w:tabs>
        <w:overflowPunct w:val="0"/>
        <w:adjustRightInd w:val="0"/>
        <w:snapToGrid w:val="0"/>
        <w:jc w:val="left"/>
        <w:rPr>
          <w:rFonts w:hint="eastAsia" w:ascii="黑体" w:hAnsi="黑体" w:eastAsia="黑体" w:cs="黑体"/>
          <w:b w:val="0"/>
          <w:bCs w:val="0"/>
          <w:kern w:val="0"/>
          <w:sz w:val="32"/>
          <w:szCs w:val="32"/>
          <w:lang w:val="en-US" w:eastAsia="zh-CN"/>
        </w:rPr>
      </w:pPr>
      <w:bookmarkStart w:id="0" w:name="_GoBack"/>
      <w:bookmarkEnd w:id="0"/>
    </w:p>
    <w:p>
      <w:pPr>
        <w:spacing w:line="600" w:lineRule="exact"/>
        <w:jc w:val="center"/>
        <w:rPr>
          <w:rFonts w:eastAsia="方正小标宋简体"/>
          <w:b w:val="0"/>
          <w:bCs/>
          <w:sz w:val="44"/>
          <w:szCs w:val="44"/>
        </w:rPr>
      </w:pPr>
      <w:r>
        <w:rPr>
          <w:rFonts w:hint="eastAsia" w:eastAsia="方正小标宋简体"/>
          <w:b w:val="0"/>
          <w:bCs/>
          <w:sz w:val="44"/>
          <w:szCs w:val="44"/>
          <w:lang w:val="en-US" w:eastAsia="zh-CN"/>
        </w:rPr>
        <w:t>广西壮族自治区</w:t>
      </w:r>
      <w:r>
        <w:rPr>
          <w:rFonts w:eastAsia="方正小标宋简体"/>
          <w:b w:val="0"/>
          <w:bCs/>
          <w:sz w:val="44"/>
          <w:szCs w:val="44"/>
        </w:rPr>
        <w:t>食用农产品销售者</w:t>
      </w:r>
      <w:r>
        <w:rPr>
          <w:rFonts w:hint="eastAsia" w:eastAsia="方正小标宋简体"/>
          <w:b w:val="0"/>
          <w:bCs/>
          <w:sz w:val="44"/>
          <w:szCs w:val="44"/>
          <w:lang w:val="en-US" w:eastAsia="zh-CN"/>
        </w:rPr>
        <w:t>食品安全主体</w:t>
      </w:r>
      <w:r>
        <w:rPr>
          <w:rFonts w:eastAsia="方正小标宋简体"/>
          <w:b w:val="0"/>
          <w:bCs/>
          <w:sz w:val="44"/>
          <w:szCs w:val="44"/>
        </w:rPr>
        <w:t>责任清单</w:t>
      </w:r>
    </w:p>
    <w:p>
      <w:pPr>
        <w:spacing w:line="600" w:lineRule="exact"/>
        <w:jc w:val="center"/>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2019年版</w:t>
      </w:r>
      <w:r>
        <w:rPr>
          <w:rFonts w:hint="eastAsia" w:ascii="楷体_GB2312" w:hAnsi="楷体_GB2312" w:eastAsia="楷体_GB2312" w:cs="楷体_GB2312"/>
          <w:b/>
          <w:bCs w:val="0"/>
          <w:sz w:val="32"/>
          <w:szCs w:val="32"/>
          <w:lang w:eastAsia="zh-CN"/>
        </w:rPr>
        <w:t>）</w:t>
      </w:r>
    </w:p>
    <w:p>
      <w:pPr>
        <w:spacing w:line="360" w:lineRule="exact"/>
        <w:jc w:val="both"/>
        <w:rPr>
          <w:rFonts w:eastAsia="方正黑体简体"/>
          <w:bCs/>
          <w:sz w:val="24"/>
        </w:rPr>
      </w:pPr>
    </w:p>
    <w:tbl>
      <w:tblPr>
        <w:tblStyle w:val="5"/>
        <w:tblW w:w="14050" w:type="dxa"/>
        <w:tblInd w:w="98" w:type="dxa"/>
        <w:tblLayout w:type="fixed"/>
        <w:tblCellMar>
          <w:top w:w="0" w:type="dxa"/>
          <w:left w:w="108" w:type="dxa"/>
          <w:bottom w:w="0" w:type="dxa"/>
          <w:right w:w="108" w:type="dxa"/>
        </w:tblCellMar>
      </w:tblPr>
      <w:tblGrid>
        <w:gridCol w:w="730"/>
        <w:gridCol w:w="760"/>
        <w:gridCol w:w="4616"/>
        <w:gridCol w:w="2508"/>
        <w:gridCol w:w="3020"/>
        <w:gridCol w:w="2416"/>
      </w:tblGrid>
      <w:tr>
        <w:tblPrEx>
          <w:tblLayout w:type="fixed"/>
          <w:tblCellMar>
            <w:top w:w="0" w:type="dxa"/>
            <w:left w:w="108" w:type="dxa"/>
            <w:bottom w:w="0" w:type="dxa"/>
            <w:right w:w="108" w:type="dxa"/>
          </w:tblCellMar>
        </w:tblPrEx>
        <w:trPr>
          <w:trHeight w:val="454" w:hRule="atLeast"/>
          <w:tblHeader/>
        </w:trPr>
        <w:tc>
          <w:tcPr>
            <w:tcW w:w="1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项目</w:t>
            </w: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主体责任</w:t>
            </w:r>
          </w:p>
        </w:tc>
        <w:tc>
          <w:tcPr>
            <w:tcW w:w="2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责任依据</w:t>
            </w:r>
          </w:p>
        </w:tc>
        <w:tc>
          <w:tcPr>
            <w:tcW w:w="30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法律责任</w:t>
            </w:r>
          </w:p>
        </w:tc>
        <w:tc>
          <w:tcPr>
            <w:tcW w:w="24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处罚依据</w:t>
            </w:r>
          </w:p>
        </w:tc>
      </w:tr>
      <w:tr>
        <w:tblPrEx>
          <w:tblLayout w:type="fixed"/>
          <w:tblCellMar>
            <w:top w:w="0" w:type="dxa"/>
            <w:left w:w="108" w:type="dxa"/>
            <w:bottom w:w="0" w:type="dxa"/>
            <w:right w:w="108" w:type="dxa"/>
          </w:tblCellMar>
        </w:tblPrEx>
        <w:trPr>
          <w:trHeight w:val="2203" w:hRule="atLeast"/>
        </w:trPr>
        <w:tc>
          <w:tcPr>
            <w:tcW w:w="730"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销售者责任</w:t>
            </w: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lang w:val="en-US" w:eastAsia="zh-CN"/>
              </w:rPr>
            </w:pPr>
          </w:p>
          <w:p>
            <w:pPr>
              <w:widowControl/>
              <w:spacing w:line="360" w:lineRule="exact"/>
              <w:jc w:val="center"/>
              <w:rPr>
                <w:rFonts w:hint="eastAsia" w:ascii="仿宋_GB2312" w:hAnsi="仿宋_GB2312" w:eastAsia="仿宋_GB2312" w:cs="仿宋_GB2312"/>
                <w:b/>
                <w:bCs w:val="0"/>
                <w:color w:val="000000"/>
                <w:sz w:val="24"/>
                <w:szCs w:val="24"/>
                <w:lang w:val="en-US" w:eastAsia="zh-CN"/>
              </w:rPr>
            </w:pPr>
          </w:p>
          <w:p>
            <w:pPr>
              <w:widowControl/>
              <w:spacing w:line="36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销售者责任</w:t>
            </w: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center"/>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销售者责任</w:t>
            </w: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center"/>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销售者责任</w:t>
            </w: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销售者责任</w:t>
            </w: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both"/>
              <w:rPr>
                <w:rFonts w:hint="eastAsia" w:ascii="仿宋_GB2312" w:hAnsi="仿宋_GB2312" w:eastAsia="仿宋_GB2312" w:cs="仿宋_GB2312"/>
                <w:b/>
                <w:bCs w:val="0"/>
                <w:color w:val="000000"/>
                <w:sz w:val="24"/>
                <w:szCs w:val="24"/>
                <w:lang w:val="en-US" w:eastAsia="zh-CN"/>
              </w:rPr>
            </w:pPr>
          </w:p>
          <w:p>
            <w:pPr>
              <w:widowControl/>
              <w:spacing w:line="360" w:lineRule="exact"/>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销售者责任</w:t>
            </w:r>
          </w:p>
        </w:tc>
        <w:tc>
          <w:tcPr>
            <w:tcW w:w="760" w:type="dxa"/>
            <w:vMerge w:val="restart"/>
            <w:tcBorders>
              <w:top w:val="single" w:color="auto" w:sz="4" w:space="0"/>
              <w:left w:val="nil"/>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000000"/>
                <w:sz w:val="24"/>
                <w:szCs w:val="24"/>
                <w:lang w:val="en-US" w:eastAsia="zh-CN"/>
              </w:rPr>
            </w:pPr>
          </w:p>
          <w:p>
            <w:pPr>
              <w:widowControl/>
              <w:spacing w:line="360" w:lineRule="exact"/>
              <w:jc w:val="center"/>
              <w:rPr>
                <w:rFonts w:hint="eastAsia" w:ascii="仿宋_GB2312" w:hAnsi="仿宋_GB2312" w:eastAsia="仿宋_GB2312" w:cs="仿宋_GB2312"/>
                <w:color w:val="000000"/>
                <w:sz w:val="24"/>
                <w:szCs w:val="24"/>
                <w:lang w:val="en-US" w:eastAsia="zh-CN"/>
              </w:rPr>
            </w:pPr>
          </w:p>
          <w:p>
            <w:pPr>
              <w:widowControl/>
              <w:spacing w:line="360" w:lineRule="exact"/>
              <w:jc w:val="center"/>
              <w:rPr>
                <w:rFonts w:hint="eastAsia" w:ascii="仿宋_GB2312" w:hAnsi="仿宋_GB2312" w:eastAsia="仿宋_GB2312" w:cs="仿宋_GB2312"/>
                <w:color w:val="000000"/>
                <w:sz w:val="24"/>
                <w:szCs w:val="24"/>
                <w:lang w:val="en-US" w:eastAsia="zh-CN"/>
              </w:rPr>
            </w:pPr>
          </w:p>
          <w:p>
            <w:pPr>
              <w:widowControl/>
              <w:spacing w:line="360" w:lineRule="exact"/>
              <w:ind w:firstLine="0" w:firstLineChars="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一、设备设施及环境</w:t>
            </w: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sz w:val="24"/>
                <w:szCs w:val="24"/>
              </w:rPr>
              <w:t>配备与销售品种相适应的冷藏、冷冻设施，并符合保证食用农产品质量安全所需要的温度、湿度和环境等特殊要求。</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《食用农产品市场销售质量安全监督管理办法》第二十四条第二款</w:t>
            </w:r>
            <w:r>
              <w:rPr>
                <w:rFonts w:hint="eastAsia" w:ascii="仿宋_GB2312" w:hAnsi="仿宋_GB2312" w:eastAsia="仿宋_GB2312" w:cs="仿宋_GB2312"/>
                <w:sz w:val="24"/>
                <w:szCs w:val="24"/>
                <w:lang w:eastAsia="zh-CN"/>
              </w:rPr>
              <w:t>。</w:t>
            </w:r>
          </w:p>
        </w:tc>
        <w:tc>
          <w:tcPr>
            <w:tcW w:w="3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责令改正，给予警告;拒不改正的，处</w:t>
            </w:r>
            <w:r>
              <w:rPr>
                <w:rFonts w:hint="eastAsia" w:ascii="仿宋_GB2312" w:hAnsi="仿宋_GB2312" w:eastAsia="仿宋_GB2312" w:cs="仿宋_GB2312"/>
                <w:sz w:val="24"/>
                <w:szCs w:val="24"/>
                <w:lang w:val="en-US" w:eastAsia="zh-CN"/>
              </w:rPr>
              <w:t>五千</w:t>
            </w:r>
            <w:r>
              <w:rPr>
                <w:rFonts w:hint="eastAsia" w:ascii="仿宋_GB2312" w:hAnsi="仿宋_GB2312" w:eastAsia="仿宋_GB2312" w:cs="仿宋_GB2312"/>
                <w:sz w:val="24"/>
                <w:szCs w:val="24"/>
              </w:rPr>
              <w:t>元以上</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万元以下罚款。</w:t>
            </w:r>
          </w:p>
        </w:tc>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《食用农产品市场销售质量安全监督管理办法》第四十九条</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1790" w:hRule="atLeast"/>
        </w:trPr>
        <w:tc>
          <w:tcPr>
            <w:tcW w:w="730"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pPr>
          </w:p>
        </w:tc>
        <w:tc>
          <w:tcPr>
            <w:tcW w:w="760" w:type="dxa"/>
            <w:vMerge w:val="continue"/>
            <w:tcBorders>
              <w:left w:val="nil"/>
              <w:bottom w:val="single" w:color="auto" w:sz="4" w:space="0"/>
              <w:right w:val="single" w:color="auto" w:sz="4" w:space="0"/>
            </w:tcBorders>
            <w:shd w:val="clear" w:color="auto" w:fill="auto"/>
            <w:vAlign w:val="center"/>
          </w:tcPr>
          <w:p>
            <w:pPr>
              <w:widowControl/>
              <w:spacing w:line="360" w:lineRule="exact"/>
            </w:pP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租赁仓库的，应当选择能够保障食用农产品质量安全的食用农产品贮存服务提供者</w:t>
            </w:r>
            <w:r>
              <w:rPr>
                <w:rFonts w:hint="eastAsia" w:ascii="仿宋_GB2312" w:hAnsi="仿宋_GB2312" w:eastAsia="仿宋_GB2312" w:cs="仿宋_GB2312"/>
                <w:sz w:val="24"/>
                <w:szCs w:val="24"/>
                <w:lang w:eastAsia="zh-CN"/>
              </w:rPr>
              <w:t>。</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《食用农产品市场销售质量安全监督管理办法》第二十八条第一款</w:t>
            </w:r>
            <w:r>
              <w:rPr>
                <w:rFonts w:hint="eastAsia" w:ascii="仿宋_GB2312" w:hAnsi="仿宋_GB2312" w:eastAsia="仿宋_GB2312" w:cs="仿宋_GB2312"/>
                <w:sz w:val="24"/>
                <w:szCs w:val="24"/>
                <w:lang w:eastAsia="zh-CN"/>
              </w:rPr>
              <w:t>。</w:t>
            </w:r>
          </w:p>
        </w:tc>
        <w:tc>
          <w:tcPr>
            <w:tcW w:w="3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责令改正，给予警告;拒不改正的，处</w:t>
            </w:r>
            <w:r>
              <w:rPr>
                <w:rFonts w:hint="eastAsia" w:ascii="仿宋_GB2312" w:hAnsi="仿宋_GB2312" w:eastAsia="仿宋_GB2312" w:cs="仿宋_GB2312"/>
                <w:sz w:val="24"/>
                <w:szCs w:val="24"/>
                <w:lang w:val="en-US" w:eastAsia="zh-CN"/>
              </w:rPr>
              <w:t>五千</w:t>
            </w:r>
            <w:r>
              <w:rPr>
                <w:rFonts w:hint="eastAsia" w:ascii="仿宋_GB2312" w:hAnsi="仿宋_GB2312" w:eastAsia="仿宋_GB2312" w:cs="仿宋_GB2312"/>
                <w:sz w:val="24"/>
                <w:szCs w:val="24"/>
              </w:rPr>
              <w:t>元以上</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万元以下罚款。</w:t>
            </w:r>
          </w:p>
        </w:tc>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《食用农产品市场销售质量安全监督管理办法》第五十一条</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2352" w:hRule="atLeast"/>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pPr>
          </w:p>
        </w:tc>
        <w:tc>
          <w:tcPr>
            <w:tcW w:w="76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exact"/>
            </w:pP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保持食用农产品存放环境安全、无毒、无害、清洁，不得将食用农产品与有毒、有害物品混放</w:t>
            </w:r>
            <w:r>
              <w:rPr>
                <w:rFonts w:hint="eastAsia" w:ascii="仿宋_GB2312" w:hAnsi="仿宋_GB2312" w:eastAsia="仿宋_GB2312" w:cs="仿宋_GB2312"/>
                <w:color w:val="000000"/>
                <w:sz w:val="24"/>
                <w:szCs w:val="24"/>
                <w:lang w:eastAsia="zh-CN"/>
              </w:rPr>
              <w:t>。</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广西壮族自治区食品安全条例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第五十一条。</w:t>
            </w:r>
          </w:p>
        </w:tc>
        <w:tc>
          <w:tcPr>
            <w:tcW w:w="3020"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责令改正，给予警告；拒不改正的，处三千元以上三万元以下罚款</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br w:type="textWrapping"/>
            </w:r>
          </w:p>
        </w:tc>
        <w:tc>
          <w:tcPr>
            <w:tcW w:w="24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广西壮族自治区食品安全条例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第八十一条第一款。</w:t>
            </w:r>
          </w:p>
        </w:tc>
      </w:tr>
      <w:tr>
        <w:tblPrEx>
          <w:tblLayout w:type="fixed"/>
          <w:tblCellMar>
            <w:top w:w="0" w:type="dxa"/>
            <w:left w:w="108" w:type="dxa"/>
            <w:bottom w:w="0" w:type="dxa"/>
            <w:right w:w="108" w:type="dxa"/>
          </w:tblCellMar>
        </w:tblPrEx>
        <w:trPr>
          <w:trHeight w:val="1428"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食用农产品</w:t>
            </w:r>
            <w:r>
              <w:rPr>
                <w:rFonts w:hint="eastAsia" w:ascii="仿宋_GB2312" w:hAnsi="仿宋_GB2312" w:eastAsia="仿宋_GB2312" w:cs="仿宋_GB2312"/>
                <w:sz w:val="24"/>
                <w:szCs w:val="24"/>
                <w:lang w:val="en-US" w:eastAsia="zh-CN"/>
              </w:rPr>
              <w:t>质量</w:t>
            </w: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sz w:val="24"/>
                <w:szCs w:val="24"/>
              </w:rPr>
              <w:t>使用国家禁止的兽药和剧毒、高毒农药，或者添加食品添加剂以外的化学物质和其他可能危害人体健康的物质的</w:t>
            </w:r>
            <w:r>
              <w:rPr>
                <w:rFonts w:hint="eastAsia" w:ascii="仿宋_GB2312" w:hAnsi="仿宋_GB2312" w:eastAsia="仿宋_GB2312" w:cs="仿宋_GB2312"/>
                <w:sz w:val="24"/>
                <w:szCs w:val="24"/>
                <w:lang w:eastAsia="zh-CN"/>
              </w:rPr>
              <w:t>。</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《食用农产品市场销售质量安全监督管理办法》第二十五条</w:t>
            </w:r>
            <w:r>
              <w:rPr>
                <w:rFonts w:hint="eastAsia" w:ascii="仿宋_GB2312" w:hAnsi="仿宋_GB2312" w:eastAsia="仿宋_GB2312" w:cs="仿宋_GB2312"/>
                <w:sz w:val="24"/>
                <w:szCs w:val="24"/>
                <w:lang w:val="en-US" w:eastAsia="zh-CN"/>
              </w:rPr>
              <w:t>第一项</w:t>
            </w:r>
            <w:r>
              <w:rPr>
                <w:rFonts w:hint="eastAsia" w:ascii="仿宋_GB2312" w:hAnsi="仿宋_GB2312" w:eastAsia="仿宋_GB2312" w:cs="仿宋_GB2312"/>
                <w:sz w:val="24"/>
                <w:szCs w:val="24"/>
                <w:lang w:eastAsia="zh-CN"/>
              </w:rPr>
              <w:t>。</w:t>
            </w:r>
          </w:p>
        </w:tc>
        <w:tc>
          <w:tcPr>
            <w:tcW w:w="3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仿宋_GB2312" w:hAnsi="仿宋_GB2312" w:eastAsia="仿宋_GB2312" w:cs="仿宋_GB2312"/>
                <w:sz w:val="22"/>
                <w:szCs w:val="22"/>
              </w:rPr>
              <w:t>。</w:t>
            </w:r>
          </w:p>
        </w:tc>
        <w:tc>
          <w:tcPr>
            <w:tcW w:w="2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《食品安全法》第一百二十三条第一款</w:t>
            </w:r>
            <w:r>
              <w:rPr>
                <w:rFonts w:hint="eastAsia" w:ascii="仿宋_GB2312" w:hAnsi="仿宋_GB2312" w:eastAsia="仿宋_GB2312" w:cs="仿宋_GB2312"/>
                <w:sz w:val="24"/>
                <w:szCs w:val="24"/>
                <w:lang w:eastAsia="zh-CN"/>
              </w:rPr>
              <w:t>。</w:t>
            </w:r>
          </w:p>
          <w:p>
            <w:pPr>
              <w:widowControl/>
              <w:spacing w:line="360" w:lineRule="exact"/>
              <w:jc w:val="left"/>
              <w:rPr>
                <w:rFonts w:hint="eastAsia" w:ascii="仿宋_GB2312" w:hAnsi="仿宋_GB2312" w:eastAsia="仿宋_GB2312" w:cs="仿宋_GB2312"/>
                <w:sz w:val="24"/>
                <w:szCs w:val="24"/>
                <w:lang w:eastAsia="zh-CN"/>
              </w:rPr>
            </w:pPr>
          </w:p>
        </w:tc>
      </w:tr>
      <w:tr>
        <w:tblPrEx>
          <w:tblLayout w:type="fixed"/>
          <w:tblCellMar>
            <w:top w:w="0" w:type="dxa"/>
            <w:left w:w="108" w:type="dxa"/>
            <w:bottom w:w="0" w:type="dxa"/>
            <w:right w:w="108" w:type="dxa"/>
          </w:tblCellMar>
        </w:tblPrEx>
        <w:trPr>
          <w:trHeight w:val="1008"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.病死、毒死或者死因不明的禽、畜、兽、水产动物肉类;</w:t>
            </w:r>
          </w:p>
        </w:tc>
        <w:tc>
          <w:tcPr>
            <w:tcW w:w="2508" w:type="dxa"/>
            <w:vMerge w:val="restart"/>
            <w:tcBorders>
              <w:top w:val="single" w:color="auto" w:sz="4" w:space="0"/>
              <w:left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《食用农产品市场销售质量安全监督管理办法》第二十五条</w:t>
            </w:r>
            <w:r>
              <w:rPr>
                <w:rFonts w:hint="eastAsia" w:ascii="仿宋_GB2312" w:hAnsi="仿宋_GB2312" w:eastAsia="仿宋_GB2312" w:cs="仿宋_GB2312"/>
                <w:sz w:val="24"/>
                <w:szCs w:val="24"/>
                <w:lang w:val="en-US" w:eastAsia="zh-CN"/>
              </w:rPr>
              <w:t>第五项、第六项、第十一项</w:t>
            </w:r>
            <w:r>
              <w:rPr>
                <w:rFonts w:hint="eastAsia" w:ascii="仿宋_GB2312" w:hAnsi="仿宋_GB2312" w:eastAsia="仿宋_GB2312" w:cs="仿宋_GB2312"/>
                <w:sz w:val="24"/>
                <w:szCs w:val="24"/>
                <w:lang w:eastAsia="zh-CN"/>
              </w:rPr>
              <w:t>。</w:t>
            </w:r>
          </w:p>
        </w:tc>
        <w:tc>
          <w:tcPr>
            <w:tcW w:w="3020" w:type="dxa"/>
            <w:vMerge w:val="restart"/>
            <w:tcBorders>
              <w:top w:val="single" w:color="auto" w:sz="4" w:space="0"/>
              <w:left w:val="single" w:color="auto" w:sz="4" w:space="0"/>
              <w:right w:val="single" w:color="auto" w:sz="4" w:space="0"/>
            </w:tcBorders>
            <w:vAlign w:val="center"/>
          </w:tcPr>
          <w:p>
            <w:pPr>
              <w:widowControl/>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仿宋_GB2312" w:hAnsi="仿宋_GB2312" w:eastAsia="仿宋_GB2312" w:cs="仿宋_GB2312"/>
                <w:sz w:val="24"/>
                <w:szCs w:val="24"/>
                <w:lang w:eastAsia="zh-CN"/>
              </w:rPr>
              <w:t>。</w:t>
            </w: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lang w:eastAsia="zh-CN"/>
              </w:rPr>
            </w:pPr>
          </w:p>
        </w:tc>
      </w:tr>
      <w:tr>
        <w:tblPrEx>
          <w:tblLayout w:type="fixed"/>
          <w:tblCellMar>
            <w:top w:w="0" w:type="dxa"/>
            <w:left w:w="108" w:type="dxa"/>
            <w:bottom w:w="0" w:type="dxa"/>
            <w:right w:w="108" w:type="dxa"/>
          </w:tblCellMar>
        </w:tblPrEx>
        <w:trPr>
          <w:trHeight w:val="907"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.未按规定进行检疫或者检疫不合格的肉类;</w:t>
            </w:r>
          </w:p>
        </w:tc>
        <w:tc>
          <w:tcPr>
            <w:tcW w:w="250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3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90"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.国家为防病等特殊需要明令禁止销售的;</w:t>
            </w:r>
          </w:p>
        </w:tc>
        <w:tc>
          <w:tcPr>
            <w:tcW w:w="250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3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979"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二、食用农产品质量</w:t>
            </w:r>
          </w:p>
        </w:tc>
        <w:tc>
          <w:tcPr>
            <w:tcW w:w="46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.致病性微生物、农药残留、兽药残留、生物毒素、重金属等污染物质以及其他危害人体健康的物质含量超过食品安全标准限量的;</w:t>
            </w:r>
          </w:p>
        </w:tc>
        <w:tc>
          <w:tcPr>
            <w:tcW w:w="2508"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《食用农产品市场销售质量安全监督管理办法》第二十五条</w:t>
            </w:r>
            <w:r>
              <w:rPr>
                <w:rFonts w:hint="eastAsia" w:ascii="仿宋_GB2312" w:hAnsi="仿宋_GB2312" w:eastAsia="仿宋_GB2312" w:cs="仿宋_GB2312"/>
                <w:sz w:val="24"/>
                <w:szCs w:val="24"/>
                <w:lang w:val="en-US" w:eastAsia="zh-CN"/>
              </w:rPr>
              <w:t>第二项、第三项、第四项、第十项。</w:t>
            </w:r>
          </w:p>
        </w:tc>
        <w:tc>
          <w:tcPr>
            <w:tcW w:w="3020"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2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《食品安全法》第一百二十四条第一款</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945"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.超范围、超限量使用食品添加剂的;</w:t>
            </w:r>
          </w:p>
        </w:tc>
        <w:tc>
          <w:tcPr>
            <w:tcW w:w="250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3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1315"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.腐败变质、油脂酸败、霉变生虫、污秽不洁、混有异物、掺假掺杂或者感官性状异常的;</w:t>
            </w:r>
          </w:p>
        </w:tc>
        <w:tc>
          <w:tcPr>
            <w:tcW w:w="250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3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1170"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.标注虚假生产日期、保质期或者超过保质期的;</w:t>
            </w:r>
          </w:p>
        </w:tc>
        <w:tc>
          <w:tcPr>
            <w:tcW w:w="250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3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387"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000000"/>
                <w:sz w:val="24"/>
                <w:szCs w:val="24"/>
              </w:rPr>
            </w:pP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.未按规定进行检验或者检验不合格的肉类;</w:t>
            </w:r>
          </w:p>
        </w:tc>
        <w:tc>
          <w:tcPr>
            <w:tcW w:w="25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《食用农产品市场销售质量安全监督管理办法》第二十五条</w:t>
            </w:r>
            <w:r>
              <w:rPr>
                <w:rFonts w:hint="eastAsia" w:ascii="仿宋_GB2312" w:hAnsi="仿宋_GB2312" w:eastAsia="仿宋_GB2312" w:cs="仿宋_GB2312"/>
                <w:sz w:val="24"/>
                <w:szCs w:val="24"/>
                <w:lang w:val="en-US" w:eastAsia="zh-CN"/>
              </w:rPr>
              <w:t>第七项、第十二项。</w:t>
            </w:r>
          </w:p>
        </w:tc>
        <w:tc>
          <w:tcPr>
            <w:tcW w:w="3020"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责令改正，处</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万元以上</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万元以下罚款。</w:t>
            </w:r>
          </w:p>
        </w:tc>
        <w:tc>
          <w:tcPr>
            <w:tcW w:w="2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《食用农产品市场销售质量安全监督管理办法》第五十条第三款</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660"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.标注虚假的食用农产品产地、生产者名称、生产者地址，或者标注伪造、冒用的认证标志等质量标志的;</w:t>
            </w:r>
          </w:p>
        </w:tc>
        <w:tc>
          <w:tcPr>
            <w:tcW w:w="250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3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1985"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restart"/>
            <w:tcBorders>
              <w:top w:val="nil"/>
              <w:left w:val="single" w:color="auto" w:sz="4" w:space="0"/>
              <w:right w:val="single" w:color="auto" w:sz="4" w:space="0"/>
            </w:tcBorders>
            <w:shd w:val="clear" w:color="auto" w:fill="auto"/>
            <w:vAlign w:val="center"/>
          </w:tcPr>
          <w:p>
            <w:pPr>
              <w:widowControl/>
              <w:spacing w:line="360" w:lineRule="exact"/>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二、食用农产品质量</w:t>
            </w: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.使用的保鲜剂、防腐剂等食品添加剂和包装材料等食品相关产品不符合食品安全国家标准的;</w:t>
            </w:r>
          </w:p>
        </w:tc>
        <w:tc>
          <w:tcPr>
            <w:tcW w:w="2508" w:type="dxa"/>
            <w:vMerge w:val="restart"/>
            <w:tcBorders>
              <w:top w:val="nil"/>
              <w:left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《食用农产品市场销售质量安全监督管理办法》第二十五条</w:t>
            </w:r>
            <w:r>
              <w:rPr>
                <w:rFonts w:hint="eastAsia" w:ascii="仿宋_GB2312" w:hAnsi="仿宋_GB2312" w:eastAsia="仿宋_GB2312" w:cs="仿宋_GB2312"/>
                <w:sz w:val="24"/>
                <w:szCs w:val="24"/>
                <w:lang w:val="en-US" w:eastAsia="zh-CN"/>
              </w:rPr>
              <w:t>第八项、第九项。</w:t>
            </w:r>
          </w:p>
        </w:tc>
        <w:tc>
          <w:tcPr>
            <w:tcW w:w="3020" w:type="dxa"/>
            <w:vMerge w:val="restart"/>
            <w:tcBorders>
              <w:top w:val="nil"/>
              <w:left w:val="single" w:color="auto" w:sz="4" w:space="0"/>
              <w:right w:val="single" w:color="auto" w:sz="4" w:space="0"/>
            </w:tcBorders>
            <w:shd w:val="clear" w:color="auto" w:fill="FFFFFF"/>
            <w:vAlign w:val="center"/>
          </w:tcPr>
          <w:p>
            <w:pPr>
              <w:widowControl/>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c>
          <w:tcPr>
            <w:tcW w:w="2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《食品安全法》第一百二十五条第一款</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222"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被包装材料、容器、运输工具等污染的。</w:t>
            </w:r>
          </w:p>
          <w:p>
            <w:pPr>
              <w:widowControl/>
              <w:numPr>
                <w:ilvl w:val="0"/>
                <w:numId w:val="0"/>
              </w:numPr>
              <w:spacing w:line="360" w:lineRule="exact"/>
              <w:rPr>
                <w:rFonts w:hint="eastAsia" w:ascii="仿宋_GB2312" w:hAnsi="仿宋_GB2312" w:eastAsia="仿宋_GB2312" w:cs="仿宋_GB2312"/>
                <w:sz w:val="24"/>
                <w:szCs w:val="24"/>
              </w:rPr>
            </w:pPr>
          </w:p>
        </w:tc>
        <w:tc>
          <w:tcPr>
            <w:tcW w:w="2508" w:type="dxa"/>
            <w:vMerge w:val="continue"/>
            <w:tcBorders>
              <w:left w:val="single" w:color="auto" w:sz="4" w:space="0"/>
              <w:bottom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4"/>
                <w:szCs w:val="24"/>
              </w:rPr>
            </w:pPr>
          </w:p>
        </w:tc>
        <w:tc>
          <w:tcPr>
            <w:tcW w:w="3020"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441" w:hRule="atLeast"/>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pP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16.</w:t>
            </w:r>
            <w:r>
              <w:rPr>
                <w:rFonts w:hint="eastAsia" w:ascii="仿宋_GB2312" w:hAnsi="仿宋_GB2312" w:eastAsia="仿宋_GB2312" w:cs="仿宋_GB2312"/>
                <w:color w:val="auto"/>
                <w:sz w:val="24"/>
                <w:szCs w:val="24"/>
              </w:rPr>
              <w:t>不得在食用农产品包装、清洗、保鲜、贮存、运输等过程中添加可能危害人体健康的物质。</w:t>
            </w:r>
          </w:p>
        </w:tc>
        <w:tc>
          <w:tcPr>
            <w:tcW w:w="25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广西壮族自治区食品安全条例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第五十一条。</w:t>
            </w:r>
          </w:p>
        </w:tc>
        <w:tc>
          <w:tcPr>
            <w:tcW w:w="30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没收违法所得和违法经营的食用农产品，并可以没收用于违法经营的工具、设备、原料等物品；违法经营的食用农产品货值金额不足一万元的，并处十万元以上十五万元以下罚款；货值金额一万元以上的，并处货值金额十五倍以上三十倍以下罚款。</w:t>
            </w:r>
          </w:p>
        </w:tc>
        <w:tc>
          <w:tcPr>
            <w:tcW w:w="24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广西壮族自治区食品安全条例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第八十一条第二款。</w:t>
            </w:r>
          </w:p>
        </w:tc>
      </w:tr>
      <w:tr>
        <w:tblPrEx>
          <w:tblLayout w:type="fixed"/>
          <w:tblCellMar>
            <w:top w:w="0" w:type="dxa"/>
            <w:left w:w="108" w:type="dxa"/>
            <w:bottom w:w="0" w:type="dxa"/>
            <w:right w:w="108" w:type="dxa"/>
          </w:tblCellMar>
        </w:tblPrEx>
        <w:trPr>
          <w:trHeight w:val="2385"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进货查验记录制度</w:t>
            </w:r>
          </w:p>
        </w:tc>
        <w:tc>
          <w:tcPr>
            <w:tcW w:w="4616"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建立食用农产品进货查验记录制度，如实记录食用农产品名称、数量、进货日期以及供货者名称、地址、联系方式等内容，并保存相关凭证。记录和凭证保存期限不得少于</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个月。</w:t>
            </w:r>
          </w:p>
        </w:tc>
        <w:tc>
          <w:tcPr>
            <w:tcW w:w="2508"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《食品安全法》第六十五条、《食用农产品市场销售监督管理办法》第二十六条第二款</w:t>
            </w:r>
            <w:r>
              <w:rPr>
                <w:rFonts w:hint="eastAsia" w:ascii="仿宋_GB2312" w:hAnsi="仿宋_GB2312" w:eastAsia="仿宋_GB2312" w:cs="仿宋_GB2312"/>
                <w:sz w:val="24"/>
                <w:szCs w:val="24"/>
                <w:lang w:eastAsia="zh-CN"/>
              </w:rPr>
              <w:t>。</w:t>
            </w:r>
          </w:p>
        </w:tc>
        <w:tc>
          <w:tcPr>
            <w:tcW w:w="3020" w:type="dxa"/>
            <w:tcBorders>
              <w:top w:val="nil"/>
              <w:left w:val="nil"/>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责令改正，给予警告；拒不改正的，处五千元以上五万元以下罚款；情节严重的，责令停产停业，直至吊销许可证。</w:t>
            </w:r>
          </w:p>
        </w:tc>
        <w:tc>
          <w:tcPr>
            <w:tcW w:w="241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《食品安全法》第一百二十六条第四款</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774"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000000"/>
                <w:sz w:val="24"/>
                <w:szCs w:val="24"/>
                <w:lang w:val="en-US" w:eastAsia="zh-CN"/>
              </w:rPr>
            </w:pPr>
          </w:p>
          <w:p>
            <w:pPr>
              <w:widowControl/>
              <w:spacing w:line="360" w:lineRule="exact"/>
              <w:jc w:val="center"/>
              <w:rPr>
                <w:rFonts w:hint="eastAsia" w:ascii="仿宋_GB2312" w:hAnsi="仿宋_GB2312" w:eastAsia="仿宋_GB2312" w:cs="仿宋_GB2312"/>
                <w:color w:val="000000"/>
                <w:sz w:val="24"/>
                <w:szCs w:val="24"/>
                <w:lang w:val="en-US" w:eastAsia="zh-CN"/>
              </w:rPr>
            </w:pPr>
          </w:p>
          <w:p>
            <w:pPr>
              <w:widowControl/>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四、包装及标签</w:t>
            </w:r>
          </w:p>
        </w:tc>
        <w:tc>
          <w:tcPr>
            <w:tcW w:w="4616"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销售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标签及标注的内容应当使用规范的中文不得含有虚假、错误或者其他误导性内容。</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《食用农产品市场销售质量安全监督管理办法》第三十二条</w:t>
            </w:r>
            <w:r>
              <w:rPr>
                <w:rFonts w:hint="eastAsia" w:ascii="仿宋_GB2312" w:hAnsi="仿宋_GB2312" w:eastAsia="仿宋_GB2312" w:cs="仿宋_GB2312"/>
                <w:sz w:val="24"/>
                <w:szCs w:val="24"/>
                <w:lang w:val="en-US" w:eastAsia="zh-CN"/>
              </w:rPr>
              <w:t>第一款、第二款。</w:t>
            </w:r>
          </w:p>
        </w:tc>
        <w:tc>
          <w:tcPr>
            <w:tcW w:w="3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责令改正，给予警告;拒不改正的，处</w:t>
            </w:r>
            <w:r>
              <w:rPr>
                <w:rFonts w:hint="eastAsia" w:ascii="仿宋_GB2312" w:hAnsi="仿宋_GB2312" w:eastAsia="仿宋_GB2312" w:cs="仿宋_GB2312"/>
                <w:sz w:val="24"/>
                <w:szCs w:val="24"/>
                <w:lang w:val="en-US" w:eastAsia="zh-CN"/>
              </w:rPr>
              <w:t>五千</w:t>
            </w:r>
            <w:r>
              <w:rPr>
                <w:rFonts w:hint="eastAsia" w:ascii="仿宋_GB2312" w:hAnsi="仿宋_GB2312" w:eastAsia="仿宋_GB2312" w:cs="仿宋_GB2312"/>
                <w:sz w:val="24"/>
                <w:szCs w:val="24"/>
              </w:rPr>
              <w:t>元以上</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万元以下罚款。</w:t>
            </w:r>
          </w:p>
        </w:tc>
        <w:tc>
          <w:tcPr>
            <w:tcW w:w="24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《食用农产品市场销售质量安全监督管理办法》第五十二条</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2337"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五、包装及标签</w:t>
            </w:r>
          </w:p>
          <w:p>
            <w:pPr>
              <w:widowControl/>
              <w:spacing w:line="360" w:lineRule="exact"/>
              <w:jc w:val="center"/>
              <w:rPr>
                <w:rFonts w:hint="eastAsia" w:ascii="仿宋_GB2312" w:hAnsi="仿宋_GB2312" w:eastAsia="仿宋_GB2312" w:cs="仿宋_GB2312"/>
                <w:color w:val="000000"/>
                <w:sz w:val="24"/>
                <w:szCs w:val="24"/>
              </w:rPr>
            </w:pPr>
          </w:p>
        </w:tc>
        <w:tc>
          <w:tcPr>
            <w:tcW w:w="46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销售获得无公害农产品、绿色食品、有机农产品等认证的食用农产品以及省级以上农业行政部门规定的其他需要包装销售的应当包装，并标注相应标志和发证机构，鲜活畜、禽、水产品等除外。</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《食用农产品市场销售质量安全监督管理办法》第三十三条</w:t>
            </w:r>
            <w:r>
              <w:rPr>
                <w:rFonts w:hint="eastAsia" w:ascii="仿宋_GB2312" w:hAnsi="仿宋_GB2312" w:eastAsia="仿宋_GB2312" w:cs="仿宋_GB2312"/>
                <w:sz w:val="24"/>
                <w:szCs w:val="24"/>
                <w:lang w:eastAsia="zh-CN"/>
              </w:rPr>
              <w:t>。</w:t>
            </w:r>
          </w:p>
        </w:tc>
        <w:tc>
          <w:tcPr>
            <w:tcW w:w="3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责令改正，给予警告;拒不改正的，处</w:t>
            </w:r>
            <w:r>
              <w:rPr>
                <w:rFonts w:hint="eastAsia" w:ascii="仿宋_GB2312" w:hAnsi="仿宋_GB2312" w:eastAsia="仿宋_GB2312" w:cs="仿宋_GB2312"/>
                <w:sz w:val="24"/>
                <w:szCs w:val="24"/>
                <w:lang w:val="en-US" w:eastAsia="zh-CN"/>
              </w:rPr>
              <w:t>五千</w:t>
            </w:r>
            <w:r>
              <w:rPr>
                <w:rFonts w:hint="eastAsia" w:ascii="仿宋_GB2312" w:hAnsi="仿宋_GB2312" w:eastAsia="仿宋_GB2312" w:cs="仿宋_GB2312"/>
                <w:sz w:val="24"/>
                <w:szCs w:val="24"/>
              </w:rPr>
              <w:t>元以上</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万元以下罚款。</w:t>
            </w:r>
          </w:p>
        </w:tc>
        <w:tc>
          <w:tcPr>
            <w:tcW w:w="24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《食用农产品市场销售质量安全监督管理办法》第五十二条</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2220" w:hRule="atLeast"/>
        </w:trPr>
        <w:tc>
          <w:tcPr>
            <w:tcW w:w="730"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pPr>
          </w:p>
        </w:tc>
        <w:tc>
          <w:tcPr>
            <w:tcW w:w="461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sz w:val="24"/>
                <w:szCs w:val="24"/>
              </w:rPr>
              <w:t>获得无公害农产品、绿色食品、有机产品、农产品地理标志产品等质量标志使用权的食用农产品，但是鲜活畜、禽、水产品除外</w:t>
            </w:r>
            <w:r>
              <w:rPr>
                <w:rFonts w:hint="eastAsia" w:ascii="仿宋_GB2312" w:hAnsi="仿宋_GB2312" w:eastAsia="仿宋_GB2312" w:cs="仿宋_GB2312"/>
                <w:color w:val="000000"/>
                <w:sz w:val="24"/>
                <w:szCs w:val="24"/>
                <w:lang w:val="en-US" w:eastAsia="zh-CN"/>
              </w:rPr>
              <w:t>和</w:t>
            </w:r>
            <w:r>
              <w:rPr>
                <w:rFonts w:hint="eastAsia" w:ascii="仿宋_GB2312" w:hAnsi="仿宋_GB2312" w:eastAsia="仿宋_GB2312" w:cs="仿宋_GB2312"/>
                <w:color w:val="000000"/>
                <w:sz w:val="24"/>
                <w:szCs w:val="24"/>
              </w:rPr>
              <w:t>自治区人民政府农业农村部门规定的其他需要包装销售的食用农产品未按照规定进行包装、标注的</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br w:type="textWrapping"/>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广西壮族自治区食品安全条例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第五十二条第一款。</w:t>
            </w:r>
          </w:p>
        </w:tc>
        <w:tc>
          <w:tcPr>
            <w:tcW w:w="302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责令改正；拒不改正的，处五千元以上三万元以下罚款</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br w:type="textWrapping"/>
            </w:r>
          </w:p>
          <w:p>
            <w:pPr>
              <w:widowControl/>
              <w:spacing w:line="360" w:lineRule="exact"/>
              <w:rPr>
                <w:rFonts w:hint="eastAsia" w:ascii="仿宋_GB2312" w:hAnsi="仿宋_GB2312" w:eastAsia="仿宋_GB2312" w:cs="仿宋_GB2312"/>
                <w:sz w:val="24"/>
                <w:szCs w:val="24"/>
              </w:rPr>
            </w:pPr>
          </w:p>
        </w:tc>
        <w:tc>
          <w:tcPr>
            <w:tcW w:w="24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广西壮族自治区食品安全条例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第八十二条。</w:t>
            </w:r>
          </w:p>
        </w:tc>
      </w:tr>
      <w:tr>
        <w:tblPrEx>
          <w:tblLayout w:type="fixed"/>
          <w:tblCellMar>
            <w:top w:w="0" w:type="dxa"/>
            <w:left w:w="108" w:type="dxa"/>
            <w:bottom w:w="0" w:type="dxa"/>
            <w:right w:w="108" w:type="dxa"/>
          </w:tblCellMar>
        </w:tblPrEx>
        <w:trPr>
          <w:trHeight w:val="2520"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000000"/>
                <w:sz w:val="24"/>
                <w:szCs w:val="24"/>
              </w:rPr>
            </w:pPr>
          </w:p>
        </w:tc>
        <w:tc>
          <w:tcPr>
            <w:tcW w:w="4616"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进口食用农产品的包装或者标签应当符合我国法律、行政法规的规定和食品安全国家标准要求，并载明原产地，境内代理商的名称、地址、联系方式。</w:t>
            </w:r>
          </w:p>
        </w:tc>
        <w:tc>
          <w:tcPr>
            <w:tcW w:w="2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《食用农产品市场销售质量安全监督管理办法》第三十五条</w:t>
            </w:r>
            <w:r>
              <w:rPr>
                <w:rFonts w:hint="eastAsia" w:ascii="仿宋_GB2312" w:hAnsi="仿宋_GB2312" w:eastAsia="仿宋_GB2312" w:cs="仿宋_GB2312"/>
                <w:sz w:val="24"/>
                <w:szCs w:val="24"/>
                <w:lang w:eastAsia="zh-CN"/>
              </w:rPr>
              <w:t>。</w:t>
            </w:r>
          </w:p>
        </w:tc>
        <w:tc>
          <w:tcPr>
            <w:tcW w:w="3020"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责令改正，给予警告;拒不改正的，处</w:t>
            </w:r>
            <w:r>
              <w:rPr>
                <w:rFonts w:hint="eastAsia" w:ascii="仿宋_GB2312" w:hAnsi="仿宋_GB2312" w:eastAsia="仿宋_GB2312" w:cs="仿宋_GB2312"/>
                <w:sz w:val="24"/>
                <w:szCs w:val="24"/>
                <w:lang w:val="en-US" w:eastAsia="zh-CN"/>
              </w:rPr>
              <w:t>五千</w:t>
            </w:r>
            <w:r>
              <w:rPr>
                <w:rFonts w:hint="eastAsia" w:ascii="仿宋_GB2312" w:hAnsi="仿宋_GB2312" w:eastAsia="仿宋_GB2312" w:cs="仿宋_GB2312"/>
                <w:sz w:val="24"/>
                <w:szCs w:val="24"/>
              </w:rPr>
              <w:t>元以上</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万元以下罚款。</w:t>
            </w:r>
          </w:p>
        </w:tc>
        <w:tc>
          <w:tcPr>
            <w:tcW w:w="241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《食用农产品市场销售质量安全监督管理办法》第五十二条</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90"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000000"/>
                <w:sz w:val="24"/>
                <w:szCs w:val="24"/>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000000"/>
                <w:sz w:val="24"/>
                <w:szCs w:val="24"/>
              </w:rPr>
            </w:pPr>
          </w:p>
        </w:tc>
        <w:tc>
          <w:tcPr>
            <w:tcW w:w="4616"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销售未包装的食用农产品，应当在摊位(柜台)明显位置如实公布食用农产品名称、产地、生产者或者销售者名称或者姓名等信息。</w:t>
            </w:r>
          </w:p>
        </w:tc>
        <w:tc>
          <w:tcPr>
            <w:tcW w:w="2508"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《食用农产品市场销售质量安全监督管理办法》第三十四条第一款</w:t>
            </w:r>
            <w:r>
              <w:rPr>
                <w:rFonts w:hint="eastAsia" w:ascii="仿宋_GB2312" w:hAnsi="仿宋_GB2312" w:eastAsia="仿宋_GB2312" w:cs="仿宋_GB2312"/>
                <w:sz w:val="24"/>
                <w:szCs w:val="24"/>
                <w:lang w:eastAsia="zh-CN"/>
              </w:rPr>
              <w:t>。</w:t>
            </w:r>
          </w:p>
        </w:tc>
        <w:tc>
          <w:tcPr>
            <w:tcW w:w="3020"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责令改正，给予警告;拒不改正的，处</w:t>
            </w:r>
            <w:r>
              <w:rPr>
                <w:rFonts w:hint="eastAsia" w:ascii="仿宋_GB2312" w:hAnsi="仿宋_GB2312" w:eastAsia="仿宋_GB2312" w:cs="仿宋_GB2312"/>
                <w:sz w:val="24"/>
                <w:szCs w:val="24"/>
                <w:lang w:val="en-US" w:eastAsia="zh-CN"/>
              </w:rPr>
              <w:t>五千</w:t>
            </w:r>
            <w:r>
              <w:rPr>
                <w:rFonts w:hint="eastAsia" w:ascii="仿宋_GB2312" w:hAnsi="仿宋_GB2312" w:eastAsia="仿宋_GB2312" w:cs="仿宋_GB2312"/>
                <w:sz w:val="24"/>
                <w:szCs w:val="24"/>
              </w:rPr>
              <w:t>元以上</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万元以下罚款。</w:t>
            </w:r>
          </w:p>
        </w:tc>
        <w:tc>
          <w:tcPr>
            <w:tcW w:w="2416"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《食用农产品市场销售质量安全监督管理办法》第五十三条</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2245" w:hRule="atLeast"/>
        </w:trPr>
        <w:tc>
          <w:tcPr>
            <w:tcW w:w="1490"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贮存服务提供者责任</w:t>
            </w: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lang w:val="en-US" w:eastAsia="zh-CN"/>
              </w:rPr>
            </w:pPr>
          </w:p>
          <w:p>
            <w:pPr>
              <w:widowControl/>
              <w:spacing w:line="36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储存服务提供者责任</w:t>
            </w: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center"/>
              <w:rPr>
                <w:rFonts w:hint="eastAsia" w:ascii="仿宋_GB2312" w:hAnsi="仿宋_GB2312" w:eastAsia="仿宋_GB2312" w:cs="仿宋_GB2312"/>
                <w:b/>
                <w:bCs w:val="0"/>
                <w:color w:val="000000"/>
                <w:sz w:val="24"/>
                <w:szCs w:val="24"/>
              </w:rPr>
            </w:pPr>
          </w:p>
          <w:p>
            <w:pPr>
              <w:widowControl/>
              <w:spacing w:line="360" w:lineRule="exact"/>
              <w:jc w:val="both"/>
              <w:rPr>
                <w:rFonts w:hint="eastAsia" w:ascii="仿宋_GB2312" w:hAnsi="仿宋_GB2312" w:eastAsia="仿宋_GB2312" w:cs="仿宋_GB2312"/>
                <w:color w:val="000000"/>
                <w:sz w:val="24"/>
                <w:szCs w:val="24"/>
              </w:rPr>
            </w:pP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.如实向所在地县级食品监督管理部门报告其名称、地址、法定代表人或者负责人姓名、社会信用代码或者身份证号码、联系方式以及所提供服务的销售者名称、贮存的食用农产品品种、数量等信息;</w:t>
            </w:r>
          </w:p>
        </w:tc>
        <w:tc>
          <w:tcPr>
            <w:tcW w:w="25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《食用农产品市场销售质量安全监督管理办法》第二十八条第二款</w:t>
            </w:r>
            <w:r>
              <w:rPr>
                <w:rFonts w:hint="eastAsia" w:ascii="仿宋_GB2312" w:hAnsi="仿宋_GB2312" w:eastAsia="仿宋_GB2312" w:cs="仿宋_GB2312"/>
                <w:sz w:val="24"/>
                <w:szCs w:val="24"/>
                <w:lang w:eastAsia="zh-CN"/>
              </w:rPr>
              <w:t>。</w:t>
            </w:r>
          </w:p>
        </w:tc>
        <w:tc>
          <w:tcPr>
            <w:tcW w:w="3020"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责令改正，给予警告;拒不改正的，处</w:t>
            </w:r>
            <w:r>
              <w:rPr>
                <w:rFonts w:hint="eastAsia" w:ascii="仿宋_GB2312" w:hAnsi="仿宋_GB2312" w:eastAsia="仿宋_GB2312" w:cs="仿宋_GB2312"/>
                <w:sz w:val="24"/>
                <w:szCs w:val="24"/>
                <w:lang w:val="en-US" w:eastAsia="zh-CN"/>
              </w:rPr>
              <w:t>五千</w:t>
            </w:r>
            <w:r>
              <w:rPr>
                <w:rFonts w:hint="eastAsia" w:ascii="仿宋_GB2312" w:hAnsi="仿宋_GB2312" w:eastAsia="仿宋_GB2312" w:cs="仿宋_GB2312"/>
                <w:sz w:val="24"/>
                <w:szCs w:val="24"/>
              </w:rPr>
              <w:t>元以上</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万元以下罚款。</w:t>
            </w:r>
          </w:p>
        </w:tc>
        <w:tc>
          <w:tcPr>
            <w:tcW w:w="2416"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《食用农产品市场销售质量安全监督管理办法》第五十一条</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1080" w:hRule="atLeast"/>
        </w:trPr>
        <w:tc>
          <w:tcPr>
            <w:tcW w:w="1490" w:type="dxa"/>
            <w:gridSpan w:val="2"/>
            <w:vMerge w:val="continue"/>
            <w:tcBorders>
              <w:left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nil"/>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个月;</w:t>
            </w:r>
          </w:p>
        </w:tc>
        <w:tc>
          <w:tcPr>
            <w:tcW w:w="250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3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24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2370" w:hRule="atLeast"/>
        </w:trPr>
        <w:tc>
          <w:tcPr>
            <w:tcW w:w="149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nil"/>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.保证贮存食用农产品的容器、工具和设备安全无害，保持清洁，防止污染，保证食用农产品质量安全所需的温度、湿度和环境等特殊要求，不得将食用农产品与有毒、有害物品一同贮存;</w:t>
            </w:r>
          </w:p>
        </w:tc>
        <w:tc>
          <w:tcPr>
            <w:tcW w:w="250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3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24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851" w:hRule="atLeast"/>
        </w:trPr>
        <w:tc>
          <w:tcPr>
            <w:tcW w:w="1490" w:type="dxa"/>
            <w:gridSpan w:val="2"/>
            <w:vMerge w:val="continue"/>
            <w:tcBorders>
              <w:top w:val="single" w:color="auto" w:sz="4" w:space="0"/>
              <w:left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.贮存肉类冻品应当查验并留存检疫合格证明、肉类检验合格证明等证明文件;</w:t>
            </w:r>
          </w:p>
        </w:tc>
        <w:tc>
          <w:tcPr>
            <w:tcW w:w="25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《食用农产品市场销售质量安全监督管理办法》第二十八条第二款</w:t>
            </w:r>
            <w:r>
              <w:rPr>
                <w:rFonts w:hint="eastAsia" w:ascii="仿宋_GB2312" w:hAnsi="仿宋_GB2312" w:eastAsia="仿宋_GB2312" w:cs="仿宋_GB2312"/>
                <w:sz w:val="24"/>
                <w:szCs w:val="24"/>
                <w:lang w:eastAsia="zh-CN"/>
              </w:rPr>
              <w:t>。</w:t>
            </w:r>
          </w:p>
        </w:tc>
        <w:tc>
          <w:tcPr>
            <w:tcW w:w="30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责令改正，给予警告;拒不改正的，处</w:t>
            </w:r>
            <w:r>
              <w:rPr>
                <w:rFonts w:hint="eastAsia" w:ascii="仿宋_GB2312" w:hAnsi="仿宋_GB2312" w:eastAsia="仿宋_GB2312" w:cs="仿宋_GB2312"/>
                <w:sz w:val="24"/>
                <w:szCs w:val="24"/>
                <w:lang w:val="en-US" w:eastAsia="zh-CN"/>
              </w:rPr>
              <w:t>五千</w:t>
            </w:r>
            <w:r>
              <w:rPr>
                <w:rFonts w:hint="eastAsia" w:ascii="仿宋_GB2312" w:hAnsi="仿宋_GB2312" w:eastAsia="仿宋_GB2312" w:cs="仿宋_GB2312"/>
                <w:sz w:val="24"/>
                <w:szCs w:val="24"/>
              </w:rPr>
              <w:t>元以上</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万元以下罚款。</w:t>
            </w:r>
          </w:p>
        </w:tc>
        <w:tc>
          <w:tcPr>
            <w:tcW w:w="24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《食用农产品市场销售质量安全监督管理办法》第五十一条</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90" w:hRule="atLeast"/>
        </w:trPr>
        <w:tc>
          <w:tcPr>
            <w:tcW w:w="1490" w:type="dxa"/>
            <w:gridSpan w:val="2"/>
            <w:vMerge w:val="continue"/>
            <w:tcBorders>
              <w:left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nil"/>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.贮存进口食用农产品，应当查验并记录出入境检验检疫部门出具的入境货物检验检疫证明等证明文件;</w:t>
            </w:r>
          </w:p>
        </w:tc>
        <w:tc>
          <w:tcPr>
            <w:tcW w:w="2508"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《食用农产品市场销售质量安全监督管理办法》第二十八条第二款</w:t>
            </w:r>
            <w:r>
              <w:rPr>
                <w:rFonts w:hint="eastAsia" w:ascii="仿宋_GB2312" w:hAnsi="仿宋_GB2312" w:eastAsia="仿宋_GB2312" w:cs="仿宋_GB2312"/>
                <w:sz w:val="24"/>
                <w:szCs w:val="24"/>
                <w:lang w:eastAsia="zh-CN"/>
              </w:rPr>
              <w:t>。</w:t>
            </w:r>
          </w:p>
        </w:tc>
        <w:tc>
          <w:tcPr>
            <w:tcW w:w="3020"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责令改正，给予警告;拒不改正的，处</w:t>
            </w:r>
            <w:r>
              <w:rPr>
                <w:rFonts w:hint="eastAsia" w:ascii="仿宋_GB2312" w:hAnsi="仿宋_GB2312" w:eastAsia="仿宋_GB2312" w:cs="仿宋_GB2312"/>
                <w:sz w:val="24"/>
                <w:szCs w:val="24"/>
                <w:lang w:val="en-US" w:eastAsia="zh-CN"/>
              </w:rPr>
              <w:t>五千</w:t>
            </w:r>
            <w:r>
              <w:rPr>
                <w:rFonts w:hint="eastAsia" w:ascii="仿宋_GB2312" w:hAnsi="仿宋_GB2312" w:eastAsia="仿宋_GB2312" w:cs="仿宋_GB2312"/>
                <w:sz w:val="24"/>
                <w:szCs w:val="24"/>
              </w:rPr>
              <w:t>元以上</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万元以下罚款。</w:t>
            </w:r>
          </w:p>
        </w:tc>
        <w:tc>
          <w:tcPr>
            <w:tcW w:w="2416"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《食用农产品市场销售质量安全监督管理办法》第五十一条</w:t>
            </w:r>
            <w:r>
              <w:rPr>
                <w:rFonts w:hint="eastAsia" w:ascii="仿宋_GB2312" w:hAnsi="仿宋_GB2312" w:eastAsia="仿宋_GB2312" w:cs="仿宋_GB2312"/>
                <w:sz w:val="24"/>
                <w:szCs w:val="24"/>
                <w:lang w:eastAsia="zh-CN"/>
              </w:rPr>
              <w:t>。</w:t>
            </w:r>
          </w:p>
        </w:tc>
      </w:tr>
      <w:tr>
        <w:tblPrEx>
          <w:tblLayout w:type="fixed"/>
          <w:tblCellMar>
            <w:top w:w="0" w:type="dxa"/>
            <w:left w:w="108" w:type="dxa"/>
            <w:bottom w:w="0" w:type="dxa"/>
            <w:right w:w="108" w:type="dxa"/>
          </w:tblCellMar>
        </w:tblPrEx>
        <w:trPr>
          <w:trHeight w:val="1930" w:hRule="atLeast"/>
        </w:trPr>
        <w:tc>
          <w:tcPr>
            <w:tcW w:w="149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000000"/>
                <w:sz w:val="24"/>
                <w:szCs w:val="24"/>
              </w:rPr>
            </w:pPr>
          </w:p>
        </w:tc>
        <w:tc>
          <w:tcPr>
            <w:tcW w:w="4616" w:type="dxa"/>
            <w:tcBorders>
              <w:top w:val="nil"/>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.定期检查库存食用农产品，发现销售者有违法行为的，应当及时制止并立即报告所在地县级食品监督管理部门。</w:t>
            </w:r>
          </w:p>
        </w:tc>
        <w:tc>
          <w:tcPr>
            <w:tcW w:w="2508"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3020"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c>
          <w:tcPr>
            <w:tcW w:w="2416"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p>
        </w:tc>
      </w:tr>
    </w:tbl>
    <w:tbl>
      <w:tblPr>
        <w:tblStyle w:val="6"/>
        <w:tblpPr w:leftFromText="180" w:rightFromText="180" w:vertAnchor="text" w:tblpX="-2562" w:tblpY="2907"/>
        <w:tblOverlap w:val="never"/>
        <w:tblW w:w="1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231" w:type="dxa"/>
          </w:tcPr>
          <w:p>
            <w:pPr>
              <w:rPr>
                <w:rFonts w:hint="eastAsia" w:ascii="仿宋_GB2312" w:hAnsi="仿宋_GB2312" w:eastAsia="仿宋_GB2312" w:cs="仿宋_GB2312"/>
                <w:bCs/>
                <w:color w:val="auto"/>
                <w:sz w:val="24"/>
                <w:szCs w:val="24"/>
                <w:vertAlign w:val="baseline"/>
                <w:lang w:val="en-US" w:eastAsia="zh-CN"/>
              </w:rPr>
            </w:pPr>
          </w:p>
        </w:tc>
      </w:tr>
    </w:tbl>
    <w:p>
      <w:pPr>
        <w:ind w:left="708" w:hanging="705" w:hangingChars="294"/>
        <w:rPr>
          <w:rFonts w:hint="eastAsia" w:ascii="仿宋_GB2312" w:hAnsi="仿宋_GB2312" w:eastAsia="仿宋_GB2312" w:cs="仿宋_GB2312"/>
          <w:bCs/>
          <w:color w:val="auto"/>
          <w:sz w:val="24"/>
          <w:szCs w:val="24"/>
          <w:lang w:val="en-US" w:eastAsia="zh-CN"/>
        </w:rPr>
      </w:pPr>
    </w:p>
    <w:p>
      <w:pPr>
        <w:ind w:left="708" w:hanging="705" w:hangingChars="294"/>
      </w:pPr>
      <w:r>
        <w:rPr>
          <w:rFonts w:hint="eastAsia" w:ascii="仿宋_GB2312" w:hAnsi="仿宋_GB2312" w:eastAsia="仿宋_GB2312" w:cs="仿宋_GB2312"/>
          <w:bCs/>
          <w:color w:val="auto"/>
          <w:sz w:val="24"/>
          <w:szCs w:val="24"/>
          <w:lang w:val="en-US" w:eastAsia="zh-CN"/>
        </w:rPr>
        <w:t>备注：销售者</w:t>
      </w:r>
      <w:r>
        <w:rPr>
          <w:rFonts w:hint="eastAsia" w:ascii="仿宋_GB2312" w:hAnsi="仿宋_GB2312" w:eastAsia="仿宋_GB2312" w:cs="仿宋_GB2312"/>
          <w:bCs/>
          <w:color w:val="auto"/>
          <w:sz w:val="24"/>
          <w:szCs w:val="24"/>
        </w:rPr>
        <w:t>责任清单共</w:t>
      </w:r>
      <w:r>
        <w:rPr>
          <w:rFonts w:hint="eastAsia" w:ascii="仿宋_GB2312" w:hAnsi="仿宋_GB2312" w:eastAsia="仿宋_GB2312" w:cs="仿宋_GB2312"/>
          <w:bCs/>
          <w:color w:val="auto"/>
          <w:sz w:val="24"/>
          <w:szCs w:val="24"/>
          <w:lang w:val="en-US" w:eastAsia="zh-CN"/>
        </w:rPr>
        <w:t>22</w:t>
      </w:r>
      <w:r>
        <w:rPr>
          <w:rFonts w:hint="eastAsia" w:ascii="仿宋_GB2312" w:hAnsi="仿宋_GB2312" w:eastAsia="仿宋_GB2312" w:cs="仿宋_GB2312"/>
          <w:bCs/>
          <w:color w:val="auto"/>
          <w:sz w:val="24"/>
          <w:szCs w:val="24"/>
        </w:rPr>
        <w:t>项</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 w:val="0"/>
          <w:bCs/>
          <w:color w:val="000000"/>
          <w:sz w:val="24"/>
          <w:szCs w:val="24"/>
        </w:rPr>
        <w:t>贮存服务提供者责任</w:t>
      </w:r>
      <w:r>
        <w:rPr>
          <w:rFonts w:hint="eastAsia" w:ascii="仿宋_GB2312" w:hAnsi="仿宋_GB2312" w:eastAsia="仿宋_GB2312" w:cs="仿宋_GB2312"/>
          <w:bCs/>
          <w:color w:val="auto"/>
          <w:sz w:val="24"/>
          <w:szCs w:val="24"/>
        </w:rPr>
        <w:t>清单共</w:t>
      </w:r>
      <w:r>
        <w:rPr>
          <w:rFonts w:hint="eastAsia" w:ascii="仿宋_GB2312" w:hAnsi="仿宋_GB2312" w:eastAsia="仿宋_GB2312" w:cs="仿宋_GB2312"/>
          <w:bCs/>
          <w:color w:val="auto"/>
          <w:sz w:val="24"/>
          <w:szCs w:val="24"/>
          <w:lang w:val="en-US" w:eastAsia="zh-CN"/>
        </w:rPr>
        <w:t>6</w:t>
      </w:r>
      <w:r>
        <w:rPr>
          <w:rFonts w:hint="eastAsia" w:ascii="仿宋_GB2312" w:hAnsi="仿宋_GB2312" w:eastAsia="仿宋_GB2312" w:cs="仿宋_GB2312"/>
          <w:bCs/>
          <w:color w:val="auto"/>
          <w:sz w:val="24"/>
          <w:szCs w:val="24"/>
        </w:rPr>
        <w:t>项</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本清单未涵盖的，依照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中华人民共和国食品安全法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i w:val="0"/>
          <w:caps w:val="0"/>
          <w:color w:val="auto"/>
          <w:spacing w:val="0"/>
          <w:sz w:val="24"/>
          <w:szCs w:val="24"/>
          <w:shd w:val="clear" w:fill="FFFFFF"/>
        </w:rPr>
        <w:t>《中华人民共和国食品安全法实施条例》</w:t>
      </w:r>
      <w:r>
        <w:rPr>
          <w:rFonts w:hint="eastAsia" w:ascii="仿宋_GB2312" w:hAnsi="仿宋_GB2312" w:eastAsia="仿宋_GB2312" w:cs="仿宋_GB2312"/>
          <w:bCs/>
          <w:color w:val="auto"/>
          <w:sz w:val="24"/>
          <w:szCs w:val="24"/>
        </w:rPr>
        <w:t>《食用农产品市场销售质量安全监督管理办法》《</w:t>
      </w:r>
      <w:r>
        <w:rPr>
          <w:rFonts w:hint="eastAsia" w:ascii="仿宋_GB2312" w:hAnsi="仿宋_GB2312" w:eastAsia="仿宋_GB2312" w:cs="仿宋_GB2312"/>
          <w:bCs/>
          <w:color w:val="auto"/>
          <w:sz w:val="24"/>
          <w:szCs w:val="24"/>
          <w:lang w:val="en-US" w:eastAsia="zh-CN"/>
        </w:rPr>
        <w:t>广西壮族自治区食品安全条例</w:t>
      </w:r>
      <w:r>
        <w:rPr>
          <w:rFonts w:hint="eastAsia" w:ascii="仿宋_GB2312" w:hAnsi="仿宋_GB2312" w:eastAsia="仿宋_GB2312" w:cs="仿宋_GB2312"/>
          <w:bCs/>
          <w:color w:val="auto"/>
          <w:sz w:val="24"/>
          <w:szCs w:val="24"/>
        </w:rPr>
        <w:t>条例》</w:t>
      </w:r>
      <w:r>
        <w:rPr>
          <w:rFonts w:hint="eastAsia" w:ascii="仿宋_GB2312" w:hAnsi="仿宋_GB2312" w:eastAsia="仿宋_GB2312" w:cs="仿宋_GB2312"/>
          <w:color w:val="auto"/>
          <w:kern w:val="0"/>
          <w:sz w:val="24"/>
        </w:rPr>
        <w:t>等相关法律、法规、规章、标准和技术规范</w:t>
      </w:r>
      <w:r>
        <w:rPr>
          <w:rFonts w:hint="eastAsia" w:ascii="仿宋_GB2312" w:hAnsi="仿宋_GB2312" w:eastAsia="仿宋_GB2312" w:cs="仿宋_GB2312"/>
          <w:b w:val="0"/>
          <w:bCs/>
          <w:color w:val="auto"/>
          <w:sz w:val="24"/>
          <w:szCs w:val="24"/>
        </w:rPr>
        <w:t>的规定执行</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color w:val="auto"/>
          <w:kern w:val="0"/>
          <w:sz w:val="24"/>
        </w:rPr>
        <w:t>全面履行食品安全主体责任。</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F3074"/>
    <w:rsid w:val="00CF259F"/>
    <w:rsid w:val="04656295"/>
    <w:rsid w:val="073154C4"/>
    <w:rsid w:val="080D7B90"/>
    <w:rsid w:val="08D020F2"/>
    <w:rsid w:val="099A2A00"/>
    <w:rsid w:val="0A495DF4"/>
    <w:rsid w:val="0B4F7A5F"/>
    <w:rsid w:val="0BF67B42"/>
    <w:rsid w:val="0CEA0FF7"/>
    <w:rsid w:val="19FD5B65"/>
    <w:rsid w:val="1BA232D9"/>
    <w:rsid w:val="1E1D1FD0"/>
    <w:rsid w:val="21C438AD"/>
    <w:rsid w:val="26A82D77"/>
    <w:rsid w:val="28DD5532"/>
    <w:rsid w:val="2A185B06"/>
    <w:rsid w:val="2A907D26"/>
    <w:rsid w:val="2ABE07E1"/>
    <w:rsid w:val="2DD14D3D"/>
    <w:rsid w:val="2E184015"/>
    <w:rsid w:val="2E202B97"/>
    <w:rsid w:val="2E52555E"/>
    <w:rsid w:val="2F3F3074"/>
    <w:rsid w:val="2FDD2747"/>
    <w:rsid w:val="32FA7F30"/>
    <w:rsid w:val="35BE5C6C"/>
    <w:rsid w:val="362D5642"/>
    <w:rsid w:val="36374087"/>
    <w:rsid w:val="36DC728B"/>
    <w:rsid w:val="389D6FAF"/>
    <w:rsid w:val="38BF6928"/>
    <w:rsid w:val="3A285DA9"/>
    <w:rsid w:val="3D134812"/>
    <w:rsid w:val="3D332E2D"/>
    <w:rsid w:val="3DBD4BD4"/>
    <w:rsid w:val="3E181626"/>
    <w:rsid w:val="3EE2769C"/>
    <w:rsid w:val="3FB445B6"/>
    <w:rsid w:val="4126448D"/>
    <w:rsid w:val="42682BB5"/>
    <w:rsid w:val="488958A1"/>
    <w:rsid w:val="49765754"/>
    <w:rsid w:val="4BEB3826"/>
    <w:rsid w:val="50EE2076"/>
    <w:rsid w:val="537677E8"/>
    <w:rsid w:val="54042F08"/>
    <w:rsid w:val="583831AF"/>
    <w:rsid w:val="58BC3808"/>
    <w:rsid w:val="5A7E35E8"/>
    <w:rsid w:val="5C83629F"/>
    <w:rsid w:val="5DBC634E"/>
    <w:rsid w:val="61606FAE"/>
    <w:rsid w:val="637E0886"/>
    <w:rsid w:val="64440FF4"/>
    <w:rsid w:val="69BE36A3"/>
    <w:rsid w:val="6CEE2759"/>
    <w:rsid w:val="6E9F32EA"/>
    <w:rsid w:val="6F5E03A8"/>
    <w:rsid w:val="737945D7"/>
    <w:rsid w:val="74E10EB3"/>
    <w:rsid w:val="759B055C"/>
    <w:rsid w:val="763668F6"/>
    <w:rsid w:val="788F5A8B"/>
    <w:rsid w:val="7BB71699"/>
    <w:rsid w:val="7BEB73F2"/>
    <w:rsid w:val="7C0D3E5C"/>
    <w:rsid w:val="7E6E1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3648</Words>
  <Characters>3689</Characters>
  <Lines>0</Lines>
  <Paragraphs>0</Paragraphs>
  <TotalTime>7</TotalTime>
  <ScaleCrop>false</ScaleCrop>
  <LinksUpToDate>false</LinksUpToDate>
  <CharactersWithSpaces>3689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2019-11-12T03:25:00Z</dcterms:created>
  <dc:creator>黎璧光</dc:creator>
  <cp:lastModifiedBy>马建旺</cp:lastModifiedBy>
  <cp:lastPrinted>2019-12-18T02:38:00Z</cp:lastPrinted>
  <dcterms:modified xsi:type="dcterms:W3CDTF">2019-12-25T08:00:32Z</dcterms:modified>
  <dc:title>广西壮族自治区食用农产品销售者责任清单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