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附表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水果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监测项目、检测依据和判定依据</w:t>
      </w:r>
    </w:p>
    <w:tbl>
      <w:tblPr>
        <w:tblStyle w:val="2"/>
        <w:tblW w:w="8818" w:type="dxa"/>
        <w:jc w:val="center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274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监测项目</w:t>
            </w:r>
          </w:p>
        </w:tc>
        <w:tc>
          <w:tcPr>
            <w:tcW w:w="27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检测依据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胺磷、氧乐果、敌敌畏、甲基对硫磷、水胺硫磷、毒死蜱、三唑磷、乙酰甲胺磷、马拉硫磷、丙溴磷、氯氰菊酯、氰戊菊酯、甲氰菊酯、氟氯氰菊酯、氯氟氰菊酯、联苯菊酯、氯菊酯、溴氰菊酯、百菌清、三唑酮、腐霉利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克百威、灭多威、涕灭威（包括涕灭威砜和涕灭威亚砜）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NY/T 7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61-2008</w:t>
            </w: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GB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763-20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食品安全国家标准 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甲拌磷（包括甲拌磷砜和甲拌磷亚砜）、噻嗪酮、苯醚甲环唑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GB 23200.8-2016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烯酰吗啉、吡虫啉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GB/T 20769-2008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氟虫腈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NY/T 1379-2007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对硫磷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GB/T 5009.145-2003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23200.19-2016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或GB 23200.20-2016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</w:rPr>
              <w:t>GB/T 20769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-2008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</w:rPr>
              <w:t>GB/T 23584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-2009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灭幼脲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</w:rPr>
              <w:t>GB/T 5009.135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-2003</w:t>
            </w: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55A62"/>
    <w:rsid w:val="7BE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2019-03-04T09:11:00Z</dcterms:created>
  <dc:creator>喵嘞个去</dc:creator>
  <cp:lastModifiedBy>喵嘞个去</cp:lastModifiedBy>
  <dcterms:modified xsi:type="dcterms:W3CDTF">2019-03-04T09:14:02Z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