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微软雅黑" w:eastAsia="仿宋_GB2312" w:cs="仿宋_GB2312"/>
          <w:i w:val="0"/>
          <w:caps w:val="0"/>
          <w:color w:val="0D0509"/>
          <w:spacing w:val="0"/>
          <w:kern w:val="0"/>
          <w:sz w:val="32"/>
          <w:szCs w:val="32"/>
          <w:lang w:val="en-US" w:eastAsia="zh-CN" w:bidi="ar"/>
        </w:r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附件1</w:t>
      </w:r>
    </w:p>
    <w:p>
      <w:pPr>
        <w:jc w:val="center"/>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省市场监督管理局行政规范性文件保留目录</w:t>
      </w:r>
    </w:p>
    <w:tbl>
      <w:tblPr>
        <w:tblStyle w:val="9"/>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664"/>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888" w:type="dxa"/>
            <w:vAlign w:val="center"/>
          </w:tcPr>
          <w:p>
            <w:pPr>
              <w:spacing w:line="360" w:lineRule="exact"/>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序号</w:t>
            </w:r>
          </w:p>
        </w:tc>
        <w:tc>
          <w:tcPr>
            <w:tcW w:w="9664" w:type="dxa"/>
            <w:vAlign w:val="center"/>
          </w:tcPr>
          <w:p>
            <w:pPr>
              <w:spacing w:line="360" w:lineRule="exact"/>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文件名称</w:t>
            </w:r>
          </w:p>
        </w:tc>
        <w:tc>
          <w:tcPr>
            <w:tcW w:w="3848" w:type="dxa"/>
            <w:vAlign w:val="center"/>
          </w:tcPr>
          <w:p>
            <w:pPr>
              <w:spacing w:line="360" w:lineRule="exact"/>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关于对住宅用“四表”实施首次安装强制检定的通知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黑质技监联发〔2001〕163号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黑龙江省物价局印发《黑龙江省实施&lt;关于商品和服务实行明码标价的规定&gt;细则》的通知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黑价检字〔2001〕142号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印发《黑龙江省计量员管理办法》的通知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黑质技监技发〔2001〕209号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黑龙江省物价局关于公布第一批明码标价标价方式的通知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黑价检字〔2002〕68号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黑龙江省物价局关于公布车辆通行费明码标价方式的通知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黑价检字〔2002〕218号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关于发布《关于强制检定的工作计量器具检定期限的规定》的通知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黑质技监技发〔2004〕236号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关于印发《强制检定的工作计量器具检定申请核准程序（试行）》的通知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黑质技监技发〔2004〕343号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黑龙江省物价局 黑龙江省建设厅转发《国家发展改革委、建设部关于印发&lt;物业服务收费明码标价规定&gt;的通知》的通知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黑价联字〔2004〕94号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黑龙江省物价局关于我省境内加油站实行统一标价方式的通知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黑价检监字〔2005〕281号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黑龙江省物价局关于印发旅店业、餐饮业、美容美发业、洗浴业明码标价规定的通知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黑价检监字〔2007〕7号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numPr>
                <w:ilvl w:val="0"/>
                <w:numId w:val="1"/>
              </w:numPr>
              <w:spacing w:line="360" w:lineRule="exact"/>
              <w:ind w:left="454" w:hanging="334"/>
              <w:jc w:val="center"/>
              <w:rPr>
                <w:rFonts w:hint="eastAsia" w:ascii="仿宋" w:hAnsi="仿宋" w:eastAsia="仿宋" w:cs="仿宋"/>
                <w:kern w:val="2"/>
                <w:sz w:val="28"/>
                <w:szCs w:val="28"/>
                <w:vertAlign w:val="baseline"/>
                <w:lang w:val="en-US" w:eastAsia="zh-CN" w:bidi="ar-SA"/>
              </w:rPr>
            </w:pPr>
          </w:p>
        </w:tc>
        <w:tc>
          <w:tcPr>
            <w:tcW w:w="9664" w:type="dxa"/>
            <w:vAlign w:val="center"/>
          </w:tcPr>
          <w:p>
            <w:pPr>
              <w:keepNext w:val="0"/>
              <w:keepLines w:val="0"/>
              <w:widowControl/>
              <w:suppressLineNumbers w:val="0"/>
              <w:spacing w:line="400" w:lineRule="exact"/>
              <w:jc w:val="left"/>
              <w:textAlignment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关于加强协作配合进一步开展打击传销工作的通知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黑工商发〔2007〕50号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黑龙江省物价局 黑龙江省烟草专卖局关于印发《黑龙江省卷烟零售业明码标价管理办法》的通知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黑价联字〔2007〕37号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关于转发《关于外商投资直销企业登记管理有关问题的指导意见》的通知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黑工商发〔2007〕139号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关于对全省公安交通管理部门执法使用的道路交通安全技术监控设备开展计量检定（检测）工作的通知</w:t>
            </w:r>
          </w:p>
        </w:tc>
        <w:tc>
          <w:tcPr>
            <w:tcW w:w="3848"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黑质技监联发〔2008〕51号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关于转发国家工商总局《关于加强直销监督管理工作的意见》的通知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黑工商发〔2008〕24号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关于有限责任公司能否成为合伙企业的普通合伙人问题的答复</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黑工商函〔2008〕50号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黑龙江省物价监督管理局关于在全省装修材料行业实行统一明码标价方式加强价格自律的通知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黑价检监字〔2009〕227号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关于认真贯彻实施《餐饮服务许可管理办法》《餐饮服务食品安全监督管理办法》的通知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黑龙江省工商行政管理局关于转发国家工商总局《合同违法行为监督处理办法》的通知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 〔2010〕263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黑龙江省物价监督管理局关于进一步规范和降低集贸市场摊位费和超市进场费的通知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黑价垄〔2010〕379号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关于印发餐饮服务食物中毒事故应急预案等6项工作制度的通知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关于进一步加强基层医疗卫生机构明码标价工作的通知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黑价垄〔2011〕100号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关于印发《黑龙江省餐饮服务环节采购、使用食品添加剂备案公示管理办法&gt;(试行)》的通知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黑食药监餐发〔2011〕162号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关于进一步加强学校食堂、幼儿园食堂和建筑工地食堂食品安全监管的通知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黑食药监餐发〔2011〕168号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关于加强餐饮单位餐饮具监督管理工作通知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关于印发《黑龙江省餐饮服务食品安全监督量化分级管理工作实施方案》的通知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关于有线（数字）电视收费统一明码标价方式的通知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黑价垄〔2012〕98号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关于开展黑龙江省餐饮服务单位食品安全信息统一公示的通知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黑食药监餐函〔2012〕5号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关于加强餐饮服务环节食品安全危害因素防控和监管工作的通知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黑食药监餐发〔2012〕146号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黑龙江省食品药品监督管理局关于加强餐饮服务环节食品安全工作的实施意见</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关于印发《黑龙江省食品药品监督管理局校外托餐机构餐饮服务许可管理办法（试行）》等4个办法的通知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关于印发《黑龙江省食品药品监督管理局餐饮服务食品安全事故应急预案》的通知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黑龙江省工商行政管理局关于印发《黑龙江省婚庆礼仪服务合同》示范文本的通知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 〔2013〕41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黑龙江省交通厅 黑龙江省物价监督管理局关于印发《黑龙江省汽车运价规则》和《黑龙江省道路运输价格管理规定》的通知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黑交发〔2013〕321号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关于加强餐饮消费环节酒类管理工作的通知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黑食药监餐发〔2014〕20号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关于转发《食品药品监管总局关于进一步加强婴幼儿配方乳粉销售监督管理工作的通知》的通知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黑食药监乳品发〔2014〕38号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关于印发我省《乳制品生产企业实施质量安全受权人制度指导意见（试行）》的通知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黑食药监乳品〔2014〕107号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关于印发黑龙江省婴幼儿配方乳粉生产企业检验管理制度指导意见（试行）的通知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黑食药监乳品〔2014〕125号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黑龙江省食品药品监督管理局关于下放食品生产许可审批权限的通知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黑食药监食生联〔2014〕143号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关于印发《黑龙江省乳制品质量安全监管飞行检查规定（试行）》的通知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黑食药监乳品〔2014〕167号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黑龙江省物价监督管理局 黑龙江省交通运输厅关于在全省统一道路货物运输行业明码标价方式的通知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黑价联〔2014〕68号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关于印发《黑龙江省食品生产加工企业质量安全追溯管理制度（试行）》的通知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黑食药监食生〔2014〕196号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关于印发白酒和肉制品生产企业实行食品生产质量安全授权制度指导意见的通知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黑食药监食生〔2014〕199号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关于印发黑龙江省乳制品生产企业约谈制度（试行）的通知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黑食药监乳品〔2014〕219号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黑龙江省物价监督管理局关于在全省统一汽车销售及维修行业明码标价方式的通知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黑价反垄〔2014〕299号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关于印发《黑龙江省婴幼儿配方乳粉生产企业质量安全追溯管理制度（试行）》的通知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黑食药监乳品〔2014〕273号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黑龙江省食品药品监督管理局关于做好食品生产加工环节国家和省级食品安全监督抽检相关工作的通知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关于印发黑龙江省食品药品监督管理局“食品安全抽检监测规范年”工作方案的通知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黑食药监应急〔2015〕76号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关于进一步加强乳制品质量安全监管工作的通知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黑食药监乳品〔2015〕130号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关于转发《食品药品监管总局关于严厉查处保健酒、配制酒违法添加行为加强酒类产品质量安全监管的通知》的通知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黑食药监食生〔2015〕176号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关于对重点抽检食品生产企业加强监管工作的通知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黑食药监食生函〔2015〕65号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关于加强对食用菌制品生产企业监管防范食品安全风险的通知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黑食药监食生函〔2015〕66号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关于进一步加强农村聚餐食品安全管理工作的通知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黑食药监餐饮〔2015〕192号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关于加强调味品生产加工企业监管工作的通知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黑食药监食生〔2015〕204号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关于转发《食品药品监管总局关于白酒生产企业建立质量安全追溯体系的指导意见》的通知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黑食药监食生〔2015〕239号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关于贯彻落实2015版食品生产许可证管理办法的通知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黑食药监食生〔2015〕255号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关于对使用转基因原料食品生产企业进一步加强监管的通知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黑食药监食生函〔2015〕71号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关于印发《黑龙江省食品经营许可（销售类）审查细则（试行）》《黑龙江省食品经营许可（餐饮类）审查细则（试行）》的通知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黑食药监食通〔2015〕307号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关于印发黑龙江省加强农村食品安全治理工作方案的通知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黑食安办〔2015〕319号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关于开展网络外卖餐饮单位食品安全监督检查工作的通知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黑食药监餐饮函〔2016〕4号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关于印发《黑龙江省食品召回工作实施细则（试行）》的通知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黑食药监食生〔2016〕86号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黑龙江省质量技术监督局关于印发《试点推行服务业诚信计量监督管理制度实施方案》的通知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黑质技监计发〔2016〕51号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关于贯彻实施《婴幼儿配方乳粉生产企业食品安全追溯信息记录规范》的通知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黑食药监乳品函〔2016〕9号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关于进一步加强餐饮服务食品安全监督量化分级管理工作的通知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黑食药监餐饮〔2016〕113号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关于校外托餐机构有关事项的通知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黑食药监餐饮函〔2016〕5号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关于印发其他食品（软冰淇淋预拌粉）等13类食品生产许可证审查细则（试行）的通知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黑食药监食生〔2016〕124号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黑龙江省质量技术监督局关于做好企业产品标准和服务标准自我声明公开和监督工作的通知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黑质技监标发〔2016〕97号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黑龙江省质量技术监督局关于印发《黑龙江省特种设备诚信体系建设实施方案》的通知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黑质技监特发〔2016〕100号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黑龙江省工商行政管理局关于加强直销监督管理工作的指导意见</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 〔2016〕61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关于印发《黑龙江省食品药品监督管理局加强白酒监管工作的指导意见》的通知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黑食药监食生〔2016〕173号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黑龙江省工商行政管理局关于切实维护我省边境口岸地区俄罗斯消费者合法权益的实施意见</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黑工商〔2016〕63号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省局关于印发黑龙江省乳制品与婴幼儿配方乳粉生产企业自查与报告工作管理办法的通知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黑食药监乳品〔2016〕194号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关于印发其他食品（牛初乳咀嚼片）等3类食品生产许可证审查细则的通知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黑食药监食生〔2016〕219号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黑龙江省工商行政管理局关于印发黑龙江省个体工商户简易注销暂行办法的通知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黑工商发〔2016〕75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黑龙江省工商行政管理局关于规范加油站油品标示工作的通知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 〔2016〕79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关于转发《食品药品监管总局办公厅关于加强食品销售者现场制售食品监管工作的通知》的通知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黑食药监办食通〔2016〕90号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黑龙江省质量技术监督局关于开展标杆锅炉房创建工作的通知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黑质技监特发〔2016〕147号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黑龙江省质量技术监督局关于配合做好10t/h及以下燃煤承压锅炉淘汰工作的通知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黑质技监特发〔2016〕168号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关于印发《关于实施个体工商户营业执照和税务登记证“两证整合”的实施方案》的通知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黑工商发〔2016〕94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黑龙江省质量技术监督局关于《牡丹江市质量技术监督局关于配合做好10t/h及以下燃煤承压锅炉淘汰工作有关问题的请示》的批复</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黑质技监特发〔2016〕199号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黑龙江省质量技术监督局关于加强电梯安全监管工作的意见</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黑质技监函发〔2016〕334号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黑龙江省质量技术监督局关于电梯安装改造维修单位实施分类监管的通知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黑质技监函发〔2016〕336号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关于进一步加强白酒质量监管工作的通知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黑食药监食生〔2016〕376号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关于转发《食品药品监督管理总局 教育部关于进一步加强中小学校和幼儿园食品安全监督管理工作的通知》的通知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关于取消酒类流通备案登记等事项的通知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黑龙江食品药品监督管理局关于明确保健食品生产许可有关事宜的通知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黑龙江省工商行政管理局关于印发《黑龙江省企业简易注销登记办法》的通知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黑工商规〔2017〕1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关于开展2017年春秋季校园餐饮食品安全专项检查的通知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黑食药监电〔2017〕2号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关于进一步做好全省食品和食用农产品监督抽检工作的通知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关于贯彻落实《黑龙江省食品安全条例》并依法做好食品生产加工小作坊核准工作的通知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关于印发黑龙江省食品生产经营风险分级管理工作规范（试行）的通知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黑食药监食生〔2017〕110号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关于落实《食品药品监管总局关于进一步监督大型食品生产企业落实食品安全主体责任的指导意见》的实施意见</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关于进一步加强学校校园食品安全监管工作的通知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关于进一步监督乳制品生产企业落实食品安全主体责任的通知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黑龙江省工商行政管理局关于印发《关于推进企业电子营业执照工作的实施方案》的通知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黑工商规〔2017〕3号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黑龙江省工商行政管理局关于印发《关于全面推行企业登记全程电子化工作的实施方案》的通知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黑工商规 〔2017〕4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关于印发黑龙江省创建“放心肉菜示范超市”活动工作方案和黑龙江省放心肉菜示范超市创建标准的通知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黑龙江省质量技术监督局关于印发《黑龙江省质量技术监督局危险化学品安全综合治理实施方案》的通知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黑质技监规发〔2017〕11号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关于落实转基因食用农产品和食品专柜专区销售相关规定的通知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关于印发乳制品生产企业食品安全追溯信息记录规范（试行）的通知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关于印发黑龙江食品药品监督管理局关于规范销售散装食品标注信息的指导意见的通知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关于开展餐饮服务环节食用油安全专项整治工作的通知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关于进一步加强转基因食品安全监管工作的通知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spacing w:val="-11"/>
                <w:kern w:val="0"/>
                <w:sz w:val="28"/>
                <w:szCs w:val="28"/>
                <w:u w:val="none"/>
                <w:lang w:val="en-US" w:eastAsia="zh-CN" w:bidi="ar"/>
              </w:rPr>
              <w:t>黑龙江食品药品监督管理局关于进一步明确及调整食品生产许可审批权限的通知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关于印发黑龙江省食品生产企业建立食品安全追溯体系实施意见的通知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关于印发《黑龙江省食用农产品批发市场质量安全管理办法（试行）》的通知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关于加强白酒小作坊和散装白酒生产经营规范管理的通知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关于转发国家发改委 国家粮食局 财政部 国家食药总局关于印发大米竞价销售试点方案的通知的通知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黑龙江省质量技术监督局关于转发《质检总局办公厅关于做好取消计量检定员资格许可后续工作的通知》的通知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黑质技监规发(2017)26号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黑龙江省质量技术监督局关于加强特种设备信息化工作的通知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黑质技监规发〔2017〕28号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关于进一步明确食品经营许可有关问题的通知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关于印发黑龙江省食品飞行检查实施办法（试行）的通知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黑食药监规〔2017〕49号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关于印发关于提升餐饮业质量安全水平的实施意见的通知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黑食安委规〔2017〕1号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黑龙江省质量技术监督局关于印发《黑龙江省工业产品生产许可证试行简化审批程序工作实施方案》的通知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黑质技监规发〔2017〕30号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关于印发黑龙江冬季省旅游市场食品药品综合监管专项工作方案的通知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关于进一步加强网络餐饮服务食品安全监督管理工作的通知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关于印发关于加强食用油全链条监管工作指导意见（试行）的通知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关于进一步加强保健食品销售场所日常监督检查的通知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关于印发黑龙江省乳制品监督管理工作制度的通知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关于加强2018年中高考期间餐饮食品安全监管工作的通知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关于印发黑龙江省食品生产者食品安全自查及报告管理办法（试行）的通知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黑食药监规备〔2018〕14号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黑龙江省工商行政管理局等十七部门关于加快推进“多证合一”改革有关事项的通知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黑工商规〔2018〕8号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top"/>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黑龙江省质量技术监督局关于进一步做好危险化学品相关特种设备隐患排查治理工作的通知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黑质技监规发〔2018〕12号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关于开展全省高校校园及周边食品安全专项治理的通知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黑食药监规〔2018〕17号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关于印发黑龙江省运动营养食品生产许可审查方案（试行）的通知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黑食药监规备〔2018〕18号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黑龙江省物价监督管理局 黑龙江省旅游发展委员会关于印发《黑龙江省旅游价格行为规则（试行）》的通知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黑价规〔2018〕7号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黑龙江省物价监督管理局关于印发黑龙江省旅游业明码标价规定（试行）的通知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黑价规〔2018〕8号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keepNext w:val="0"/>
              <w:keepLines w:val="0"/>
              <w:widowControl/>
              <w:numPr>
                <w:ilvl w:val="0"/>
                <w:numId w:val="1"/>
              </w:numPr>
              <w:suppressLineNumbers w:val="0"/>
              <w:spacing w:line="360" w:lineRule="exact"/>
              <w:ind w:left="454" w:hanging="334"/>
              <w:jc w:val="center"/>
              <w:textAlignment w:val="center"/>
              <w:rPr>
                <w:rFonts w:hint="eastAsia" w:ascii="仿宋" w:hAnsi="仿宋" w:eastAsia="仿宋" w:cs="仿宋"/>
                <w:i w:val="0"/>
                <w:color w:val="000000"/>
                <w:kern w:val="0"/>
                <w:sz w:val="28"/>
                <w:szCs w:val="28"/>
                <w:u w:val="none"/>
                <w:lang w:val="en-US" w:eastAsia="zh-CN" w:bidi="ar"/>
              </w:rPr>
            </w:pPr>
          </w:p>
        </w:tc>
        <w:tc>
          <w:tcPr>
            <w:tcW w:w="9664" w:type="dxa"/>
            <w:vAlign w:val="center"/>
          </w:tcPr>
          <w:p>
            <w:pPr>
              <w:keepNext w:val="0"/>
              <w:keepLines w:val="0"/>
              <w:widowControl/>
              <w:suppressLineNumbers w:val="0"/>
              <w:spacing w:line="400" w:lineRule="exact"/>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黑龙江省市场监管局关于印发《“民用水表、电能表、燃气表”计量专项整治行动实施方案》的通知</w:t>
            </w:r>
          </w:p>
        </w:tc>
        <w:tc>
          <w:tcPr>
            <w:tcW w:w="3848" w:type="dxa"/>
            <w:vAlign w:val="center"/>
          </w:tcPr>
          <w:p>
            <w:pPr>
              <w:keepNext w:val="0"/>
              <w:keepLines w:val="0"/>
              <w:widowControl/>
              <w:suppressLineNumbers w:val="0"/>
              <w:spacing w:line="400" w:lineRule="exact"/>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黑市监规〔2019〕2号</w:t>
            </w:r>
          </w:p>
        </w:tc>
      </w:tr>
    </w:tbl>
    <w:p>
      <w:pPr>
        <w:jc w:val="both"/>
        <w:rPr>
          <w:rFonts w:hint="eastAsia" w:ascii="黑体" w:hAnsi="黑体" w:eastAsia="黑体" w:cs="黑体"/>
          <w:b/>
          <w:bCs/>
          <w:kern w:val="2"/>
          <w:sz w:val="32"/>
          <w:szCs w:val="32"/>
          <w:lang w:val="en-US" w:eastAsia="zh-CN" w:bidi="ar-SA"/>
        </w:rPr>
      </w:pPr>
      <w:r>
        <w:rPr>
          <w:rFonts w:hint="eastAsia" w:ascii="黑体" w:hAnsi="黑体" w:eastAsia="黑体" w:cs="黑体"/>
          <w:kern w:val="2"/>
          <w:sz w:val="32"/>
          <w:szCs w:val="32"/>
          <w:lang w:val="en-US" w:eastAsia="zh-CN" w:bidi="ar-SA"/>
        </w:rPr>
        <w:br w:type="page"/>
      </w:r>
      <w:r>
        <w:rPr>
          <w:rFonts w:hint="eastAsia" w:ascii="黑体" w:hAnsi="黑体" w:eastAsia="黑体" w:cs="黑体"/>
          <w:b/>
          <w:bCs/>
          <w:kern w:val="2"/>
          <w:sz w:val="32"/>
          <w:szCs w:val="32"/>
          <w:lang w:val="en-US" w:eastAsia="zh-CN" w:bidi="ar-SA"/>
        </w:rPr>
        <w:t>附件2</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b/>
          <w:bCs/>
          <w:kern w:val="2"/>
          <w:sz w:val="44"/>
          <w:szCs w:val="44"/>
          <w:lang w:val="en-US" w:eastAsia="zh-CN" w:bidi="ar-SA"/>
        </w:rPr>
      </w:pPr>
      <w:r>
        <w:rPr>
          <w:rFonts w:hint="eastAsia"/>
          <w:b/>
          <w:bCs/>
          <w:lang w:val="en-US" w:eastAsia="zh-CN"/>
        </w:rPr>
        <w:t xml:space="preserve">                   </w:t>
      </w:r>
      <w:r>
        <w:rPr>
          <w:rFonts w:hint="eastAsia" w:ascii="黑体" w:hAnsi="黑体" w:eastAsia="黑体" w:cs="黑体"/>
          <w:b/>
          <w:bCs/>
          <w:kern w:val="2"/>
          <w:sz w:val="44"/>
          <w:szCs w:val="44"/>
          <w:lang w:val="en-US" w:eastAsia="zh-CN" w:bidi="ar-SA"/>
        </w:rPr>
        <w:t xml:space="preserve">    </w:t>
      </w:r>
      <w:r>
        <w:rPr>
          <w:rFonts w:hint="eastAsia" w:ascii="方正小标宋简体" w:hAnsi="方正小标宋简体" w:eastAsia="方正小标宋简体" w:cs="方正小标宋简体"/>
          <w:b/>
          <w:bCs/>
          <w:kern w:val="2"/>
          <w:sz w:val="44"/>
          <w:szCs w:val="44"/>
          <w:lang w:val="en-US" w:eastAsia="zh-CN" w:bidi="ar-SA"/>
        </w:rPr>
        <w:t xml:space="preserve">  省市场监督管理局行政规范性文件修改目录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kern w:val="2"/>
          <w:sz w:val="44"/>
          <w:szCs w:val="44"/>
          <w:lang w:val="en-US" w:eastAsia="zh-CN" w:bidi="ar-SA"/>
        </w:rPr>
      </w:pPr>
    </w:p>
    <w:tbl>
      <w:tblPr>
        <w:tblStyle w:val="9"/>
        <w:tblW w:w="14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130"/>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8" w:type="dxa"/>
            <w:vAlign w:val="center"/>
          </w:tcPr>
          <w:p>
            <w:pPr>
              <w:jc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b/>
                <w:bCs/>
                <w:kern w:val="2"/>
                <w:sz w:val="28"/>
                <w:szCs w:val="28"/>
                <w:vertAlign w:val="baseline"/>
                <w:lang w:val="en-US" w:eastAsia="zh-CN" w:bidi="ar-SA"/>
              </w:rPr>
              <w:t>序号</w:t>
            </w:r>
          </w:p>
        </w:tc>
        <w:tc>
          <w:tcPr>
            <w:tcW w:w="10130" w:type="dxa"/>
            <w:vAlign w:val="center"/>
          </w:tcPr>
          <w:p>
            <w:pPr>
              <w:jc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b/>
                <w:bCs/>
                <w:kern w:val="2"/>
                <w:sz w:val="28"/>
                <w:szCs w:val="28"/>
                <w:vertAlign w:val="baseline"/>
                <w:lang w:val="en-US" w:eastAsia="zh-CN" w:bidi="ar-SA"/>
              </w:rPr>
              <w:t>文件名称</w:t>
            </w:r>
          </w:p>
        </w:tc>
        <w:tc>
          <w:tcPr>
            <w:tcW w:w="3697" w:type="dxa"/>
            <w:vAlign w:val="center"/>
          </w:tcPr>
          <w:p>
            <w:pPr>
              <w:jc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b/>
                <w:bCs/>
                <w:kern w:val="2"/>
                <w:sz w:val="28"/>
                <w:szCs w:val="28"/>
                <w:vertAlign w:val="baseline"/>
                <w:lang w:val="en-US" w:eastAsia="zh-CN"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013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关于印发黑龙江省食品药品监督管理局保健食品化妆品安全突发事件应急预案（试行）的通知</w:t>
            </w:r>
          </w:p>
        </w:tc>
        <w:tc>
          <w:tcPr>
            <w:tcW w:w="369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黑食药监应急〔2015〕99号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013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关于印发《黑龙江省食品药品监督管理局行政处罚自由裁量权适用规则（试行）的通知》</w:t>
            </w:r>
          </w:p>
        </w:tc>
        <w:tc>
          <w:tcPr>
            <w:tcW w:w="369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黑食药监办法〔2015〕50号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color w:val="auto"/>
                <w:kern w:val="0"/>
                <w:sz w:val="28"/>
                <w:szCs w:val="28"/>
                <w:lang w:val="en-US" w:eastAsia="zh-CN"/>
              </w:rPr>
              <w:t>3</w:t>
            </w:r>
          </w:p>
        </w:tc>
        <w:tc>
          <w:tcPr>
            <w:tcW w:w="1013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黑龙江省质量技术监督局关于印发《黑龙江省质量技术监督行政处罚自由裁量权量化细化基准表》的通知</w:t>
            </w:r>
          </w:p>
        </w:tc>
        <w:tc>
          <w:tcPr>
            <w:tcW w:w="369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黑质技监法发〔2015〕178号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p>
        </w:tc>
        <w:tc>
          <w:tcPr>
            <w:tcW w:w="10130" w:type="dxa"/>
            <w:vAlign w:val="center"/>
          </w:tcPr>
          <w:p>
            <w:pPr>
              <w:widowControl/>
              <w:spacing w:line="280" w:lineRule="exact"/>
              <w:rPr>
                <w:rFonts w:hint="eastAsia" w:ascii="仿宋" w:hAnsi="仿宋" w:eastAsia="仿宋" w:cs="仿宋"/>
                <w:color w:val="auto"/>
                <w:kern w:val="0"/>
                <w:sz w:val="28"/>
                <w:szCs w:val="28"/>
                <w:lang w:val="en-US" w:eastAsia="zh-CN"/>
              </w:rPr>
            </w:pPr>
            <w:r>
              <w:rPr>
                <w:rFonts w:hint="eastAsia" w:ascii="仿宋" w:hAnsi="仿宋" w:eastAsia="仿宋" w:cs="仿宋"/>
                <w:b w:val="0"/>
                <w:bCs w:val="0"/>
                <w:color w:val="auto"/>
                <w:sz w:val="28"/>
                <w:szCs w:val="28"/>
                <w:lang w:val="en-US" w:eastAsia="zh-CN"/>
              </w:rPr>
              <w:t>关于印发《黑龙江省食品药品监督管理局行政复议工作制度（试行）的通知》</w:t>
            </w:r>
          </w:p>
        </w:tc>
        <w:tc>
          <w:tcPr>
            <w:tcW w:w="3697" w:type="dxa"/>
            <w:vAlign w:val="center"/>
          </w:tcPr>
          <w:p>
            <w:pPr>
              <w:widowControl/>
              <w:spacing w:line="280" w:lineRule="exact"/>
              <w:jc w:val="left"/>
              <w:rPr>
                <w:rFonts w:hint="eastAsia" w:ascii="仿宋" w:hAnsi="仿宋" w:eastAsia="仿宋" w:cs="仿宋"/>
                <w:color w:val="auto"/>
                <w:kern w:val="0"/>
                <w:sz w:val="28"/>
                <w:szCs w:val="28"/>
                <w:lang w:val="en-US" w:eastAsia="zh-CN"/>
              </w:rPr>
            </w:pPr>
            <w:r>
              <w:rPr>
                <w:rFonts w:hint="eastAsia" w:ascii="仿宋" w:hAnsi="仿宋" w:eastAsia="仿宋" w:cs="仿宋"/>
                <w:b w:val="0"/>
                <w:bCs w:val="0"/>
                <w:color w:val="auto"/>
                <w:sz w:val="28"/>
                <w:szCs w:val="28"/>
                <w:lang w:val="en-US" w:eastAsia="zh-CN"/>
              </w:rPr>
              <w:t>黑食药监法〔2016〕397号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8"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w:t>
            </w:r>
          </w:p>
        </w:tc>
        <w:tc>
          <w:tcPr>
            <w:tcW w:w="10130" w:type="dxa"/>
            <w:vAlign w:val="center"/>
          </w:tcPr>
          <w:p>
            <w:pPr>
              <w:widowControl/>
              <w:spacing w:line="28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color w:val="auto"/>
                <w:kern w:val="0"/>
                <w:sz w:val="28"/>
                <w:szCs w:val="28"/>
              </w:rPr>
              <w:t>关于印发黑龙江省食品生产许可工作规范（试行）的通知</w:t>
            </w:r>
          </w:p>
        </w:tc>
        <w:tc>
          <w:tcPr>
            <w:tcW w:w="3697" w:type="dxa"/>
            <w:vAlign w:val="center"/>
          </w:tcPr>
          <w:p>
            <w:pPr>
              <w:widowControl/>
              <w:spacing w:line="28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color w:val="auto"/>
                <w:kern w:val="0"/>
                <w:sz w:val="28"/>
                <w:szCs w:val="28"/>
              </w:rPr>
              <w:t>黑食药监规备</w:t>
            </w:r>
            <w:r>
              <w:rPr>
                <w:rFonts w:hint="eastAsia" w:ascii="仿宋" w:hAnsi="仿宋" w:eastAsia="仿宋" w:cs="仿宋"/>
                <w:color w:val="auto"/>
                <w:kern w:val="0"/>
                <w:sz w:val="28"/>
                <w:szCs w:val="28"/>
                <w:lang w:val="en-US" w:eastAsia="zh-CN"/>
              </w:rPr>
              <w:t>〔2018〕</w:t>
            </w:r>
            <w:r>
              <w:rPr>
                <w:rFonts w:hint="eastAsia" w:ascii="仿宋" w:hAnsi="仿宋" w:eastAsia="仿宋" w:cs="仿宋"/>
                <w:color w:val="auto"/>
                <w:kern w:val="0"/>
                <w:sz w:val="28"/>
                <w:szCs w:val="28"/>
              </w:rPr>
              <w:t>16号</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lang w:val="en-US" w:eastAsia="zh-CN"/>
        </w:rPr>
      </w:pPr>
    </w:p>
    <w:p>
      <w:pPr>
        <w:jc w:val="both"/>
        <w:rPr>
          <w:rFonts w:hint="eastAsia" w:ascii="黑体" w:hAnsi="黑体" w:eastAsia="黑体" w:cs="黑体"/>
          <w:b/>
          <w:bCs/>
          <w:kern w:val="2"/>
          <w:sz w:val="28"/>
          <w:szCs w:val="28"/>
          <w:lang w:val="en-US" w:eastAsia="zh-CN" w:bidi="ar-SA"/>
        </w:rPr>
      </w:pPr>
      <w:r>
        <w:rPr>
          <w:rFonts w:hint="eastAsia" w:ascii="黑体" w:hAnsi="黑体" w:eastAsia="黑体" w:cs="黑体"/>
          <w:kern w:val="2"/>
          <w:sz w:val="28"/>
          <w:szCs w:val="28"/>
          <w:lang w:val="en-US" w:eastAsia="zh-CN" w:bidi="ar-SA"/>
        </w:rPr>
        <w:br w:type="page"/>
      </w:r>
      <w:r>
        <w:rPr>
          <w:rFonts w:hint="eastAsia" w:ascii="黑体" w:hAnsi="黑体" w:eastAsia="黑体" w:cs="黑体"/>
          <w:b/>
          <w:bCs/>
          <w:kern w:val="2"/>
          <w:sz w:val="32"/>
          <w:szCs w:val="32"/>
          <w:lang w:val="en-US" w:eastAsia="zh-CN" w:bidi="ar-SA"/>
        </w:rPr>
        <w:t>附件3</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省市场监督管理局行政规范性文件废止目录</w:t>
      </w:r>
    </w:p>
    <w:tbl>
      <w:tblPr>
        <w:tblStyle w:val="9"/>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799"/>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888" w:type="dxa"/>
            <w:vAlign w:val="center"/>
          </w:tcPr>
          <w:p>
            <w:pPr>
              <w:numPr>
                <w:ilvl w:val="0"/>
                <w:numId w:val="0"/>
              </w:numPr>
              <w:spacing w:line="400" w:lineRule="exact"/>
              <w:ind w:left="0" w:firstLine="0"/>
              <w:jc w:val="both"/>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序号</w:t>
            </w:r>
          </w:p>
        </w:tc>
        <w:tc>
          <w:tcPr>
            <w:tcW w:w="9799" w:type="dxa"/>
            <w:vAlign w:val="center"/>
          </w:tcPr>
          <w:p>
            <w:pPr>
              <w:spacing w:line="400" w:lineRule="exact"/>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文件名称</w:t>
            </w:r>
          </w:p>
        </w:tc>
        <w:tc>
          <w:tcPr>
            <w:tcW w:w="3743" w:type="dxa"/>
            <w:vAlign w:val="center"/>
          </w:tcPr>
          <w:p>
            <w:pPr>
              <w:spacing w:line="400" w:lineRule="exact"/>
              <w:jc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kern w:val="2"/>
                <w:sz w:val="28"/>
                <w:szCs w:val="28"/>
                <w:vertAlign w:val="baseline"/>
                <w:lang w:val="en-US" w:eastAsia="zh-CN"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黑龙江省工商行政管理局关于贯彻《黑龙江省人民政府关于促进产权交易市场规范发展的意见》的实施意见</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黑工商发〔2010〕205号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黑龙江省食品药品监督管理局关于印发《黑龙江省经营领域食用农产品质量安全管理办法（试行）》的通知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黑食药监食通联〔2014〕116号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关于印发黑龙江省开展在药店试点销售婴幼儿配方乳粉工作方案的通知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黑食药监乳品〔2014〕122号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关于印发《黑龙江省关于改革毛绒纤维质量检验制度促进毛绒产业发展的实施意见》的通知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黑质技监联发〔2015〕3号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关于加强食用农产品质量安全监督管理工作的实施意见</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黑食药监食通〔2015〕43号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关于进一步加强食品加工企业抽样工作确保监督抽检全覆盖的通知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黑食药监〔2015〕124号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关于开展茶叶专项整治工作的通知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黑食药监食通〔2015〕194号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关于印发《黑龙江省食品药品监督管理局食品药品行政执法信息公开办法（试行）的通知》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黑食药监办法〔2015〕91号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关于印发黑龙江省肉制品兽药残留重点治理工作方案的通知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黑食药监食生〔2016〕112号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pacing w:val="-11"/>
                <w:sz w:val="28"/>
                <w:szCs w:val="28"/>
                <w:lang w:val="en-US" w:eastAsia="zh-CN"/>
              </w:rPr>
              <w:t>黑龙江省质量技术监督11局关于印发《进一步优化经济发展环境23条措施》的通知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黑质技监办发〔2016〕81号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关于转发食品药品监管总局办公厅关于进一步加强食品添加剂生产监管工作的通知的通知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黑食药监办食生〔2016〕93号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黑龙江省质量技术监督局、黑龙江省教育厅、黑龙江省纤维检验局关于对中小学生校服开展强制性标准监督检查的通知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黑质技监联发〔2016〕152号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黑龙江省工商行政管理局关于印发《黑龙江省工商行政管理局市场主体“双随机、一公开”抽查工作实施细则（试行）》的通知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黑工商发〔2016〕124号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关于印发黑龙江省开展学生饮用奶专项检查工作方案的通知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黑食药监规〔2017〕15号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关于印发《黑龙江省旅游食品安全整治工作方案》的通知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黑食药监规〔2017〕17号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黑龙江省质量技术监督局关于印发《黑龙江省2017—2018年标本兼治遏制特种设备重特大事故工作方案》的通知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关于对监督抽检中发现的假冒标称五大连池火山泉饮品有限公司生产的天然弱碱型矿泉水进行排查的通知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黑食药监规〔2017〕29号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关于印发《黑龙江省整治虚假违法广告联合执法专项行动实施方案》的通知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黑工商规〔2017〕9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关于进一步加强现场制售行为监管工作的通知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黑食药监规〔2017〕39号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黑龙江省工商行政管理局关于进一步加强成品油市场监管工作的通知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关于严格规范畜禽肉类市场销售行为的紧急通知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黑食药监规〔2017〕45号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关于印发食品保健食品欺诈和虚假宣传整治工作实施方案的通知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黑食药监规〔2017〕48号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关于印发酒类产品质量安全专项整治工作实施方案的通知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黑龙江省质量技术监督局关于转发《质检总局办公厅关于开展危险化学品及危险化学品包装物及容器产品生产许可获证企业专项监督检查的通知》的通知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黑龙江省工商行政管理局关于切实履行反不正当竞争执法职能维护公平竞争市场秩序的通知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黑龙江省工商行政管理局关于印发《2018年红盾护农工作方案》的通知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黑龙江省工商行政管理局关于开展互联网广告专项整治工作的通知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黑龙江省工商行政管理局关于贯彻落实《中共黑龙江省委 黑龙江省人民政府关于进一步优化全省发展环境的意见》的实施意见</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黑龙江省工商行政管理局关于进一步加强流通领域重要商品监管工作的通知   </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黑龙江省质量技术监督局关于开展起重机械及场（厂）内专用机动车辆专项整治“回头看”活动的通知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黑龙江省质量技术监督局关于开展2018年全省汽车衡专项监督检查的通知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黑龙江省质量技术监督局关于开展2018年加油站燃油加油机计量专项监督检查的通知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关于印发黑龙江省整治虚假违法广告联合执法专项行动实施方案的通知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黑工商规〔2018〕7号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关于印发黑龙江省食用农产品市场销售质量安全专项整治行动方案的通知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黑食药监规备〔2018〕11号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黑龙江省质量技术监督局关于印发《特种设备安全隐患集中排查治理工作方案》的通知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黑龙江省质量技术监督局关于开展2018年度检验检测机构资质认定监督检查工作的通知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黑质技监规发〔2018〕10号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黑龙江省质量技术监督局关于开展防爆电气、电线电缆、危险化学品和危险化学品包装物及容器等重点工业产品质量安全隐患排查的通知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黑质技监规发〔2018〕11号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黑龙江省市场监督管理局关于印发《开展依法打击整治向老年人欺诈销售保健产品违法行为专项行动工作方案》的通知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黑市监规〔2018〕1号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88" w:type="dxa"/>
            <w:vAlign w:val="center"/>
          </w:tcPr>
          <w:p>
            <w:pPr>
              <w:widowControl/>
              <w:numPr>
                <w:ilvl w:val="0"/>
                <w:numId w:val="2"/>
              </w:numPr>
              <w:tabs>
                <w:tab w:val="left" w:pos="397"/>
              </w:tabs>
              <w:spacing w:line="400" w:lineRule="exact"/>
              <w:ind w:left="425" w:hanging="425"/>
              <w:jc w:val="center"/>
              <w:rPr>
                <w:rFonts w:hint="eastAsia" w:ascii="仿宋" w:hAnsi="仿宋" w:eastAsia="仿宋" w:cs="仿宋"/>
                <w:b w:val="0"/>
                <w:bCs w:val="0"/>
                <w:color w:val="auto"/>
                <w:sz w:val="28"/>
                <w:szCs w:val="28"/>
                <w:lang w:val="en-US" w:eastAsia="zh-CN"/>
              </w:rPr>
            </w:pPr>
          </w:p>
        </w:tc>
        <w:tc>
          <w:tcPr>
            <w:tcW w:w="9799" w:type="dxa"/>
            <w:vAlign w:val="center"/>
          </w:tcPr>
          <w:p>
            <w:pPr>
              <w:widowControl/>
              <w:spacing w:line="400" w:lineRule="exac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黑龙江省市场监督管理局关于进一步加强“两会”期间市场安全监管工作的紧急通知</w:t>
            </w:r>
          </w:p>
        </w:tc>
        <w:tc>
          <w:tcPr>
            <w:tcW w:w="3743" w:type="dxa"/>
            <w:vAlign w:val="center"/>
          </w:tcPr>
          <w:p>
            <w:pPr>
              <w:widowControl/>
              <w:spacing w:line="400" w:lineRule="exact"/>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黑市监规〔2019〕1号</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lang w:val="en-US" w:eastAsia="zh-CN"/>
        </w:rPr>
      </w:pPr>
    </w:p>
    <w:p>
      <w:pPr>
        <w:pStyle w:val="10"/>
        <w:tabs>
          <w:tab w:val="clear" w:pos="6237"/>
        </w:tabs>
        <w:adjustRightInd/>
        <w:spacing w:line="700" w:lineRule="exact"/>
        <w:rPr>
          <w:rFonts w:hint="eastAsia"/>
          <w:lang w:val="en-US" w:eastAsia="zh-CN"/>
        </w:rPr>
      </w:pPr>
    </w:p>
    <w:p/>
    <w:sectPr>
      <w:footerReference r:id="rId4" w:type="default"/>
      <w:pgSz w:w="16838" w:h="11906" w:orient="landscape"/>
      <w:pgMar w:top="1588" w:right="2098" w:bottom="1474" w:left="1984" w:header="851" w:footer="1587" w:gutter="0"/>
      <w:pgNumType w:fmt="numberInDash" w:start="3"/>
      <w:cols w:space="720" w:num="1"/>
      <w:rtlGutter w:val="0"/>
      <w:docGrid w:type="linesAndChars" w:linePitch="579"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4"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6.25pt" linestyle="thickThin"/>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w:pict>
        <v:shape id="文本框 5"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6.25pt" linestyle="thickThin"/>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- 1 -</w:t>
                </w:r>
                <w:r>
                  <w:rPr>
                    <w:rFonts w:hint="eastAsia" w:ascii="宋体" w:hAnsi="宋体" w:eastAsia="宋体" w:cs="宋体"/>
                    <w:b/>
                    <w:bCs/>
                    <w:sz w:val="28"/>
                    <w:szCs w:val="28"/>
                    <w:lang w:eastAsia="zh-CN"/>
                  </w:rPr>
                  <w:fldChar w:fldCharType="end"/>
                </w: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739E7"/>
    <w:multiLevelType w:val="singleLevel"/>
    <w:tmpl w:val="FF2739E7"/>
    <w:lvl w:ilvl="0" w:tentative="0">
      <w:start w:val="1"/>
      <w:numFmt w:val="decimal"/>
      <w:lvlText w:val="%1"/>
      <w:lvlJc w:val="left"/>
      <w:pPr>
        <w:tabs>
          <w:tab w:val="left" w:pos="397"/>
        </w:tabs>
        <w:ind w:left="454" w:hanging="334"/>
      </w:pPr>
      <w:rPr>
        <w:rFonts w:hint="default"/>
      </w:rPr>
    </w:lvl>
  </w:abstractNum>
  <w:abstractNum w:abstractNumId="1">
    <w:nsid w:val="2873A2E1"/>
    <w:multiLevelType w:val="singleLevel"/>
    <w:tmpl w:val="2873A2E1"/>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93A89"/>
    <w:rsid w:val="0116684D"/>
    <w:rsid w:val="03B93A89"/>
    <w:rsid w:val="05F23EDC"/>
    <w:rsid w:val="0BAE0681"/>
    <w:rsid w:val="0CFD15EB"/>
    <w:rsid w:val="126D1C04"/>
    <w:rsid w:val="1A3C5358"/>
    <w:rsid w:val="1B2E2296"/>
    <w:rsid w:val="1D382F97"/>
    <w:rsid w:val="1E811AD8"/>
    <w:rsid w:val="20E94778"/>
    <w:rsid w:val="2293185D"/>
    <w:rsid w:val="27FD5B53"/>
    <w:rsid w:val="2AD66C52"/>
    <w:rsid w:val="2B61667B"/>
    <w:rsid w:val="2DF54EAA"/>
    <w:rsid w:val="30B85AF5"/>
    <w:rsid w:val="310B3B5D"/>
    <w:rsid w:val="36380AAB"/>
    <w:rsid w:val="3D42214A"/>
    <w:rsid w:val="3F7D51F3"/>
    <w:rsid w:val="42763AA4"/>
    <w:rsid w:val="4527381D"/>
    <w:rsid w:val="4716588C"/>
    <w:rsid w:val="4744048E"/>
    <w:rsid w:val="493D66E6"/>
    <w:rsid w:val="4B45484D"/>
    <w:rsid w:val="50063833"/>
    <w:rsid w:val="58E74AAB"/>
    <w:rsid w:val="5A342577"/>
    <w:rsid w:val="5C6305F9"/>
    <w:rsid w:val="5EB115A8"/>
    <w:rsid w:val="5F4E09A5"/>
    <w:rsid w:val="5FFC0D16"/>
    <w:rsid w:val="6232721B"/>
    <w:rsid w:val="646D03A0"/>
    <w:rsid w:val="67291DBF"/>
    <w:rsid w:val="69677307"/>
    <w:rsid w:val="6AB71BBA"/>
    <w:rsid w:val="6CD239FA"/>
    <w:rsid w:val="6EB857EF"/>
    <w:rsid w:val="6F08685C"/>
    <w:rsid w:val="71115ED0"/>
    <w:rsid w:val="7CEE2058"/>
    <w:rsid w:val="7F83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rFonts w:ascii="Times New Roman" w:hAnsi="Times New Roman" w:eastAsia="宋体" w:cs="Times New Roman"/>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落款"/>
    <w:basedOn w:val="1"/>
    <w:qFormat/>
    <w:uiPriority w:val="99"/>
    <w:pPr>
      <w:tabs>
        <w:tab w:val="center" w:pos="6237"/>
      </w:tabs>
      <w:adjustRightInd w:val="0"/>
    </w:pPr>
    <w:rPr>
      <w:rFonts w:ascii="Times New Roman" w:hAnsi="Times New Roman" w:eastAsia="仿宋_GB2312"/>
      <w:sz w:val="32"/>
      <w:szCs w:val="20"/>
    </w:rPr>
  </w:style>
  <w:style w:type="character" w:customStyle="1" w:styleId="11">
    <w:name w:val="日期 Char"/>
    <w:link w:val="2"/>
    <w:semiHidden/>
    <w:qFormat/>
    <w:uiPriority w:val="99"/>
    <w:rPr>
      <w:rFonts w:ascii="Times New Roman" w:hAnsi="Times New Roman" w:eastAsia="宋体" w:cs="Times New Roman"/>
    </w:rPr>
  </w:style>
  <w:style w:type="character" w:customStyle="1" w:styleId="12">
    <w:name w:val="页眉 Char"/>
    <w:link w:val="5"/>
    <w:semiHidden/>
    <w:qFormat/>
    <w:uiPriority w:val="99"/>
    <w:rPr>
      <w:rFonts w:ascii="Times New Roman" w:hAnsi="Times New Roman" w:eastAsia="宋体" w:cs="Times New Roman"/>
      <w:sz w:val="18"/>
      <w:szCs w:val="18"/>
    </w:rPr>
  </w:style>
  <w:style w:type="character" w:customStyle="1" w:styleId="13">
    <w:name w:val="页脚 Char"/>
    <w:link w:val="4"/>
    <w:qFormat/>
    <w:uiPriority w:val="99"/>
    <w:rPr>
      <w:rFonts w:ascii="Times New Roman" w:hAnsi="Times New Roman" w:eastAsia="宋体" w:cs="Times New Roman"/>
      <w:sz w:val="18"/>
      <w:szCs w:val="18"/>
    </w:rPr>
  </w:style>
  <w:style w:type="character" w:customStyle="1" w:styleId="14">
    <w:name w:val="批注框文本 Char"/>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2019-11-18T02:11:00Z</dcterms:created>
  <dc:creator>Administrator</dc:creator>
  <cp:lastModifiedBy>Administrator</cp:lastModifiedBy>
  <dcterms:modified xsi:type="dcterms:W3CDTF">2019-11-18T02:17:58Z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