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300" w:rsidRPr="009479EF" w:rsidRDefault="008C0300" w:rsidP="008C0300">
      <w:pPr>
        <w:widowControl/>
        <w:shd w:val="clear" w:color="auto" w:fill="FFFFFF"/>
        <w:spacing w:line="390" w:lineRule="atLeast"/>
        <w:rPr>
          <w:rFonts w:ascii="方正小标宋简体" w:eastAsia="方正小标宋简体" w:hAnsi="仿宋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Ansi="仿宋" w:hint="eastAsia"/>
          <w:color w:val="000000" w:themeColor="text1"/>
          <w:kern w:val="0"/>
          <w:sz w:val="32"/>
          <w:szCs w:val="32"/>
        </w:rPr>
        <w:t>附件2</w:t>
      </w:r>
    </w:p>
    <w:p w:rsidR="008C0300" w:rsidRPr="009479EF" w:rsidRDefault="008C0300" w:rsidP="008C0300">
      <w:pPr>
        <w:widowControl/>
        <w:shd w:val="clear" w:color="auto" w:fill="FFFFFF"/>
        <w:spacing w:line="400" w:lineRule="exact"/>
        <w:jc w:val="center"/>
        <w:rPr>
          <w:rFonts w:ascii="方正小标宋简体" w:eastAsia="方正小标宋简体" w:hAnsi="仿宋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Ansi="仿宋" w:hint="eastAsia"/>
          <w:color w:val="000000" w:themeColor="text1"/>
          <w:kern w:val="0"/>
          <w:sz w:val="32"/>
          <w:szCs w:val="32"/>
        </w:rPr>
        <w:t>集中交易市场开办者静态风险因素量化分值表</w:t>
      </w:r>
    </w:p>
    <w:p w:rsidR="008C0300" w:rsidRPr="009479EF" w:rsidRDefault="008C0300" w:rsidP="008C0300">
      <w:pPr>
        <w:spacing w:line="240" w:lineRule="exact"/>
        <w:rPr>
          <w:rFonts w:ascii="仿宋" w:eastAsia="仿宋" w:hAnsi="仿宋"/>
          <w:color w:val="000000" w:themeColor="text1"/>
          <w:sz w:val="20"/>
          <w:szCs w:val="20"/>
        </w:rPr>
      </w:pPr>
    </w:p>
    <w:tbl>
      <w:tblPr>
        <w:tblW w:w="10109" w:type="dxa"/>
        <w:jc w:val="center"/>
        <w:tblLayout w:type="fixed"/>
        <w:tblLook w:val="0000" w:firstRow="0" w:lastRow="0" w:firstColumn="0" w:lastColumn="0" w:noHBand="0" w:noVBand="0"/>
      </w:tblPr>
      <w:tblGrid>
        <w:gridCol w:w="632"/>
        <w:gridCol w:w="1699"/>
        <w:gridCol w:w="851"/>
        <w:gridCol w:w="992"/>
        <w:gridCol w:w="763"/>
        <w:gridCol w:w="727"/>
        <w:gridCol w:w="1193"/>
        <w:gridCol w:w="596"/>
        <w:gridCol w:w="597"/>
        <w:gridCol w:w="1193"/>
        <w:gridCol w:w="866"/>
      </w:tblGrid>
      <w:tr w:rsidR="008C0300" w:rsidRPr="009479EF" w:rsidTr="000B10A3">
        <w:trPr>
          <w:trHeight w:val="456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0300" w:rsidRPr="009479EF" w:rsidRDefault="008C0300" w:rsidP="000B10A3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序号</w:t>
            </w:r>
          </w:p>
        </w:tc>
        <w:tc>
          <w:tcPr>
            <w:tcW w:w="4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0300" w:rsidRPr="009479EF" w:rsidRDefault="008C0300" w:rsidP="000B10A3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评分项（共40分）</w:t>
            </w:r>
          </w:p>
        </w:tc>
        <w:tc>
          <w:tcPr>
            <w:tcW w:w="4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参考分值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得分</w:t>
            </w:r>
          </w:p>
        </w:tc>
      </w:tr>
      <w:tr w:rsidR="008C0300" w:rsidRPr="009479EF" w:rsidTr="000B10A3">
        <w:trPr>
          <w:trHeight w:val="78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43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集中交易市场类型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10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类型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批发市场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零售市场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C0300" w:rsidRPr="009479EF" w:rsidTr="000B10A3">
        <w:trPr>
          <w:trHeight w:val="146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3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入场销售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者数量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（5分）</w:t>
            </w:r>
          </w:p>
        </w:tc>
        <w:tc>
          <w:tcPr>
            <w:tcW w:w="260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批发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（3分）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60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60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零售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（2分）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60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入场销售者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在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售食品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种类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进口　（5分）</w:t>
            </w: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预包装食品</w:t>
            </w:r>
          </w:p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（1.5分）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　</w:t>
            </w: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散装食品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（1.5分）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特殊食品</w:t>
            </w:r>
          </w:p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（2分）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国产　（5分）</w:t>
            </w: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预包装食品</w:t>
            </w:r>
          </w:p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（1.5分）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散装食品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（1.5分）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特殊食品</w:t>
            </w:r>
          </w:p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（2分）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入场食用农产品销售者数量</w:t>
            </w:r>
          </w:p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（15分）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进口　　（9分）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畜禽</w:t>
            </w:r>
          </w:p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产品</w:t>
            </w:r>
          </w:p>
          <w:p w:rsidR="008C0300" w:rsidRPr="009479EF" w:rsidRDefault="008C0300" w:rsidP="000B10A3">
            <w:pPr>
              <w:spacing w:line="240" w:lineRule="exac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（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5分）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11"/>
                <w:szCs w:val="11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11"/>
                <w:szCs w:val="11"/>
              </w:rPr>
              <w:t>冷藏冷冻（4分）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11以上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　</w:t>
            </w:r>
          </w:p>
        </w:tc>
      </w:tr>
      <w:tr w:rsidR="008C0300" w:rsidRPr="009479EF" w:rsidTr="000B10A3">
        <w:trPr>
          <w:trHeight w:val="239"/>
          <w:jc w:val="center"/>
        </w:trPr>
        <w:tc>
          <w:tcPr>
            <w:tcW w:w="6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13"/>
                <w:szCs w:val="13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13"/>
                <w:szCs w:val="13"/>
              </w:rPr>
              <w:t>常温</w:t>
            </w:r>
          </w:p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13"/>
                <w:szCs w:val="13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13"/>
                <w:szCs w:val="13"/>
              </w:rPr>
              <w:t>（1分）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11以上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水产品　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（2.5分）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2.5</w:t>
            </w: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果蔬类　　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（1.5分）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国产　（6分）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畜禽</w:t>
            </w:r>
          </w:p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产品</w:t>
            </w:r>
          </w:p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（3分）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13"/>
                <w:szCs w:val="13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11"/>
                <w:szCs w:val="11"/>
              </w:rPr>
              <w:t>冷藏冷冻（2分）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11以上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C0300" w:rsidRPr="009479EF" w:rsidTr="000B10A3">
        <w:trPr>
          <w:trHeight w:val="145"/>
          <w:jc w:val="center"/>
        </w:trPr>
        <w:tc>
          <w:tcPr>
            <w:tcW w:w="6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b/>
                <w:color w:val="000000" w:themeColor="text1"/>
                <w:kern w:val="0"/>
                <w:sz w:val="13"/>
                <w:szCs w:val="13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13"/>
                <w:szCs w:val="13"/>
              </w:rPr>
              <w:t>常温</w:t>
            </w:r>
          </w:p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13"/>
                <w:szCs w:val="13"/>
              </w:rPr>
              <w:t>（1分）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11以上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254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水产品　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（2分）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果蔬　　</w:t>
            </w:r>
          </w:p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（1分）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户数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10以下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11－50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70"/>
          <w:jc w:val="center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分值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0.5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0.8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0300" w:rsidRPr="009479EF" w:rsidTr="000B10A3">
        <w:trPr>
          <w:trHeight w:val="435"/>
          <w:jc w:val="center"/>
        </w:trPr>
        <w:tc>
          <w:tcPr>
            <w:tcW w:w="4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得分总和</w:t>
            </w:r>
          </w:p>
        </w:tc>
        <w:tc>
          <w:tcPr>
            <w:tcW w:w="5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8C0300" w:rsidRPr="009479EF" w:rsidTr="000B10A3">
        <w:trPr>
          <w:trHeight w:val="1785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widowControl/>
              <w:spacing w:line="20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  <w:p w:rsidR="008C0300" w:rsidRPr="009479EF" w:rsidRDefault="008C0300" w:rsidP="000B10A3">
            <w:pPr>
              <w:widowControl/>
              <w:spacing w:line="20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  <w:p w:rsidR="008C0300" w:rsidRPr="009479EF" w:rsidRDefault="008C0300" w:rsidP="000B10A3">
            <w:pPr>
              <w:widowControl/>
              <w:spacing w:line="20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备</w:t>
            </w:r>
          </w:p>
          <w:p w:rsidR="008C0300" w:rsidRPr="009479EF" w:rsidRDefault="008C0300" w:rsidP="000B10A3">
            <w:pPr>
              <w:widowControl/>
              <w:spacing w:line="20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注</w:t>
            </w:r>
          </w:p>
          <w:p w:rsidR="008C0300" w:rsidRPr="009479EF" w:rsidRDefault="008C0300" w:rsidP="000B10A3">
            <w:pPr>
              <w:widowControl/>
              <w:spacing w:line="200" w:lineRule="exact"/>
              <w:ind w:leftChars="286" w:left="801" w:hangingChars="100" w:hanging="200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  <w:p w:rsidR="008C0300" w:rsidRPr="009479EF" w:rsidRDefault="008C0300" w:rsidP="000B10A3">
            <w:pPr>
              <w:widowControl/>
              <w:spacing w:line="200" w:lineRule="exact"/>
              <w:ind w:leftChars="286" w:left="801" w:hangingChars="100" w:hanging="200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  <w:p w:rsidR="008C0300" w:rsidRPr="009479EF" w:rsidRDefault="008C0300" w:rsidP="000B10A3">
            <w:pPr>
              <w:widowControl/>
              <w:spacing w:line="200" w:lineRule="exact"/>
              <w:ind w:leftChars="286" w:left="801" w:hangingChars="100" w:hanging="200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  <w:p w:rsidR="008C0300" w:rsidRPr="009479EF" w:rsidRDefault="008C0300" w:rsidP="000B10A3">
            <w:pPr>
              <w:widowControl/>
              <w:spacing w:line="200" w:lineRule="exact"/>
              <w:ind w:leftChars="286" w:left="801" w:hangingChars="100" w:hanging="200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  <w:p w:rsidR="008C0300" w:rsidRPr="009479EF" w:rsidRDefault="008C0300" w:rsidP="000B10A3">
            <w:pPr>
              <w:widowControl/>
              <w:spacing w:line="200" w:lineRule="exact"/>
              <w:ind w:leftChars="287" w:left="803" w:hangingChars="100" w:hanging="200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</w:p>
          <w:p w:rsidR="008C0300" w:rsidRPr="009479EF" w:rsidRDefault="008C0300" w:rsidP="000B10A3">
            <w:pPr>
              <w:widowControl/>
              <w:spacing w:line="20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94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00" w:rsidRPr="009479EF" w:rsidRDefault="008C0300" w:rsidP="000B10A3">
            <w:pPr>
              <w:spacing w:line="200" w:lineRule="exact"/>
              <w:ind w:left="200" w:hangingChars="100" w:hanging="200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1.集中交易市场开办者是指依法设立、为食用农产品（食品）交易提供平台、场地、设施、服务以及日常管理的企业法人或者其他组织。</w:t>
            </w:r>
          </w:p>
          <w:p w:rsidR="008C0300" w:rsidRPr="009479EF" w:rsidRDefault="008C0300" w:rsidP="000B10A3">
            <w:pPr>
              <w:spacing w:line="200" w:lineRule="exact"/>
              <w:ind w:left="200" w:hangingChars="100" w:hanging="200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2.集中交易市场是指由集中交易市场开办者经营管理、多个场内经营者集中进行现货食用农产品（食品）交易的固定场所。</w:t>
            </w:r>
          </w:p>
          <w:p w:rsidR="008C0300" w:rsidRPr="009479EF" w:rsidRDefault="008C0300" w:rsidP="000B10A3">
            <w:pPr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3.属于一家市场开办者开办多个市场的情形的，将具体市场作为实施风险分级的工作对象。</w:t>
            </w:r>
          </w:p>
          <w:p w:rsidR="008C0300" w:rsidRPr="009479EF" w:rsidRDefault="008C0300" w:rsidP="000B10A3">
            <w:pPr>
              <w:spacing w:line="200" w:lineRule="exact"/>
              <w:ind w:left="200" w:hangingChars="100" w:hanging="200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4.各评分总和为40分，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评分项因实际情况评分项因实际情况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同时存在多种选项的，得分为累加分；缺项的，得分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为“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0”。</w:t>
            </w:r>
          </w:p>
          <w:p w:rsidR="008C0300" w:rsidRPr="009479EF" w:rsidRDefault="008C0300" w:rsidP="000B10A3">
            <w:pPr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5.“得分”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栏各项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得分按实际分值填写，可以有小数，但得分总和，应四舍五入取整。</w:t>
            </w:r>
          </w:p>
          <w:p w:rsidR="008C0300" w:rsidRPr="009479EF" w:rsidRDefault="008C0300" w:rsidP="000B10A3">
            <w:pPr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  <w:highlight w:val="yellow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6.“以上”、“以下”均包含本数。</w:t>
            </w:r>
          </w:p>
        </w:tc>
      </w:tr>
    </w:tbl>
    <w:p w:rsidR="006952D3" w:rsidRPr="008C0300" w:rsidRDefault="006952D3">
      <w:bookmarkStart w:id="0" w:name="_GoBack"/>
      <w:bookmarkEnd w:id="0"/>
    </w:p>
    <w:sectPr w:rsidR="006952D3" w:rsidRPr="008C03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F73" w:rsidRDefault="00167F73" w:rsidP="008C0300">
      <w:r>
        <w:separator/>
      </w:r>
    </w:p>
  </w:endnote>
  <w:endnote w:type="continuationSeparator" w:id="0">
    <w:p w:rsidR="00167F73" w:rsidRDefault="00167F73" w:rsidP="008C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F73" w:rsidRDefault="00167F73" w:rsidP="008C0300">
      <w:r>
        <w:separator/>
      </w:r>
    </w:p>
  </w:footnote>
  <w:footnote w:type="continuationSeparator" w:id="0">
    <w:p w:rsidR="00167F73" w:rsidRDefault="00167F73" w:rsidP="008C0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E5"/>
    <w:rsid w:val="0001197F"/>
    <w:rsid w:val="00035797"/>
    <w:rsid w:val="00055714"/>
    <w:rsid w:val="000A466E"/>
    <w:rsid w:val="000C03F9"/>
    <w:rsid w:val="000C2F8B"/>
    <w:rsid w:val="000D2429"/>
    <w:rsid w:val="00102020"/>
    <w:rsid w:val="00107AE5"/>
    <w:rsid w:val="00121C06"/>
    <w:rsid w:val="00137B49"/>
    <w:rsid w:val="00140AF3"/>
    <w:rsid w:val="00163019"/>
    <w:rsid w:val="00167F73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C0300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00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3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00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3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647</Words>
  <Characters>655</Characters>
  <Application>Microsoft Office Word</Application>
  <DocSecurity>0</DocSecurity>
  <Lines>31</Lines>
  <Paragraphs>19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2020-03-31T07:18:00Z</dcterms:created>
  <dcterms:modified xsi:type="dcterms:W3CDTF">2020-03-31T07:19:00Z</dcterms:modified>
</cp:coreProperties>
</file>