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027" w:rsidRPr="009479EF" w:rsidRDefault="00125027" w:rsidP="00125027">
      <w:pPr>
        <w:widowControl/>
        <w:shd w:val="clear" w:color="auto" w:fill="FFFFFF"/>
        <w:spacing w:line="360" w:lineRule="exact"/>
        <w:rPr>
          <w:rFonts w:ascii="方正小标宋简体" w:eastAsia="方正小标宋简体" w:hAnsi="黑体"/>
          <w:color w:val="000000" w:themeColor="text1"/>
          <w:kern w:val="0"/>
          <w:sz w:val="32"/>
          <w:szCs w:val="32"/>
        </w:rPr>
      </w:pPr>
      <w:r w:rsidRPr="009479EF">
        <w:rPr>
          <w:rFonts w:ascii="方正小标宋简体" w:eastAsia="方正小标宋简体" w:hAnsi="黑体" w:hint="eastAsia"/>
          <w:color w:val="000000" w:themeColor="text1"/>
          <w:kern w:val="0"/>
          <w:sz w:val="32"/>
          <w:szCs w:val="32"/>
        </w:rPr>
        <w:t>附件13</w:t>
      </w:r>
    </w:p>
    <w:p w:rsidR="00125027" w:rsidRPr="009479EF" w:rsidRDefault="00125027" w:rsidP="00125027">
      <w:pPr>
        <w:widowControl/>
        <w:shd w:val="clear" w:color="auto" w:fill="FFFFFF"/>
        <w:spacing w:line="360" w:lineRule="exact"/>
        <w:jc w:val="center"/>
        <w:rPr>
          <w:rFonts w:ascii="方正小标宋简体" w:eastAsia="方正小标宋简体" w:hAnsi="Times New Roman"/>
          <w:color w:val="000000" w:themeColor="text1"/>
          <w:kern w:val="0"/>
          <w:sz w:val="32"/>
          <w:szCs w:val="32"/>
        </w:rPr>
      </w:pPr>
      <w:r w:rsidRPr="009479EF">
        <w:rPr>
          <w:rFonts w:ascii="方正小标宋简体" w:eastAsia="方正小标宋简体" w:hAnsi="Times New Roman" w:hint="eastAsia"/>
          <w:color w:val="000000" w:themeColor="text1"/>
          <w:kern w:val="0"/>
          <w:sz w:val="32"/>
          <w:szCs w:val="32"/>
        </w:rPr>
        <w:t>网络食品交易（含网络餐饮服务）第三方平台提供者</w:t>
      </w:r>
    </w:p>
    <w:p w:rsidR="00125027" w:rsidRPr="009479EF" w:rsidRDefault="00125027" w:rsidP="00125027">
      <w:pPr>
        <w:spacing w:line="360" w:lineRule="exact"/>
        <w:jc w:val="center"/>
        <w:rPr>
          <w:rFonts w:ascii="方正小标宋简体" w:eastAsia="方正小标宋简体" w:hAnsi="Times New Roman"/>
          <w:color w:val="000000" w:themeColor="text1"/>
          <w:kern w:val="0"/>
          <w:sz w:val="32"/>
          <w:szCs w:val="32"/>
        </w:rPr>
      </w:pPr>
      <w:r w:rsidRPr="009479EF">
        <w:rPr>
          <w:rFonts w:ascii="方正小标宋简体" w:eastAsia="方正小标宋简体" w:hAnsi="Times New Roman" w:hint="eastAsia"/>
          <w:color w:val="000000" w:themeColor="text1"/>
          <w:kern w:val="0"/>
          <w:sz w:val="32"/>
          <w:szCs w:val="32"/>
        </w:rPr>
        <w:t>动态风险因素量化分值表</w:t>
      </w:r>
      <w:bookmarkStart w:id="0" w:name="_GoBack"/>
      <w:bookmarkEnd w:id="0"/>
      <w:r w:rsidRPr="009479EF">
        <w:rPr>
          <w:rFonts w:ascii="方正小标宋简体" w:eastAsia="方正小标宋简体" w:hAnsi="Times New Roman" w:hint="eastAsia"/>
          <w:color w:val="000000" w:themeColor="text1"/>
          <w:kern w:val="0"/>
          <w:sz w:val="32"/>
          <w:szCs w:val="32"/>
        </w:rPr>
        <w:t>（</w:t>
      </w:r>
      <w:r w:rsidRPr="00125027">
        <w:rPr>
          <w:rFonts w:ascii="方正小标宋简体" w:eastAsia="方正小标宋简体" w:hAnsi="Times New Roman" w:hint="eastAsia"/>
          <w:color w:val="000000" w:themeColor="text1"/>
          <w:kern w:val="0"/>
          <w:sz w:val="32"/>
          <w:szCs w:val="32"/>
        </w:rPr>
        <w:t>网络食品交易（含网络餐饮服务）第三方平台提供者</w:t>
      </w:r>
      <w:r w:rsidRPr="009479EF">
        <w:rPr>
          <w:rFonts w:ascii="方正小标宋简体" w:eastAsia="方正小标宋简体" w:hint="eastAsia"/>
          <w:color w:val="000000" w:themeColor="text1"/>
          <w:kern w:val="0"/>
          <w:sz w:val="32"/>
          <w:szCs w:val="32"/>
        </w:rPr>
        <w:t>日常监督检查要点表</w:t>
      </w:r>
      <w:r w:rsidRPr="009479EF">
        <w:rPr>
          <w:rFonts w:ascii="方正小标宋简体" w:eastAsia="方正小标宋简体" w:hAnsi="Times New Roman" w:hint="eastAsia"/>
          <w:color w:val="000000" w:themeColor="text1"/>
          <w:kern w:val="0"/>
          <w:sz w:val="32"/>
          <w:szCs w:val="32"/>
        </w:rPr>
        <w:t>）</w:t>
      </w:r>
    </w:p>
    <w:p w:rsidR="00125027" w:rsidRPr="009479EF" w:rsidRDefault="00125027" w:rsidP="00125027">
      <w:pPr>
        <w:tabs>
          <w:tab w:val="left" w:pos="142"/>
        </w:tabs>
        <w:spacing w:line="360" w:lineRule="exact"/>
        <w:ind w:leftChars="-405" w:left="-850" w:firstLineChars="150" w:firstLine="300"/>
        <w:rPr>
          <w:rFonts w:ascii="方正小标宋简体" w:eastAsia="方正小标宋简体" w:hAnsi="Times New Roman"/>
          <w:color w:val="000000" w:themeColor="text1"/>
          <w:kern w:val="0"/>
          <w:sz w:val="32"/>
          <w:szCs w:val="32"/>
        </w:rPr>
      </w:pPr>
      <w:r w:rsidRPr="009479EF">
        <w:rPr>
          <w:rFonts w:hAnsi="宋体" w:hint="eastAsia"/>
          <w:color w:val="000000" w:themeColor="text1"/>
          <w:sz w:val="20"/>
          <w:szCs w:val="20"/>
        </w:rPr>
        <w:t>被评定人：　　　　　　　　　　　　　　　　　　　　　　　　　　　　评定时间：</w:t>
      </w:r>
    </w:p>
    <w:tbl>
      <w:tblPr>
        <w:tblW w:w="10277" w:type="dxa"/>
        <w:jc w:val="center"/>
        <w:tblLayout w:type="fixed"/>
        <w:tblLook w:val="0000" w:firstRow="0" w:lastRow="0" w:firstColumn="0" w:lastColumn="0" w:noHBand="0" w:noVBand="0"/>
      </w:tblPr>
      <w:tblGrid>
        <w:gridCol w:w="1270"/>
        <w:gridCol w:w="799"/>
        <w:gridCol w:w="6095"/>
        <w:gridCol w:w="1418"/>
        <w:gridCol w:w="695"/>
      </w:tblGrid>
      <w:tr w:rsidR="00125027" w:rsidRPr="009479EF" w:rsidTr="000B10A3">
        <w:trPr>
          <w:trHeight w:val="201"/>
          <w:jc w:val="center"/>
        </w:trPr>
        <w:tc>
          <w:tcPr>
            <w:tcW w:w="1270" w:type="dxa"/>
            <w:tcBorders>
              <w:top w:val="single" w:sz="4" w:space="0" w:color="auto"/>
              <w:left w:val="single" w:sz="4" w:space="0" w:color="auto"/>
              <w:bottom w:val="single" w:sz="4" w:space="0" w:color="auto"/>
              <w:right w:val="single" w:sz="4" w:space="0" w:color="auto"/>
            </w:tcBorders>
            <w:vAlign w:val="center"/>
          </w:tcPr>
          <w:p w:rsidR="00125027" w:rsidRPr="009479EF" w:rsidRDefault="00125027" w:rsidP="000B10A3">
            <w:pPr>
              <w:widowControl/>
              <w:jc w:val="center"/>
              <w:rPr>
                <w:rFonts w:hAnsi="宋体"/>
                <w:b/>
                <w:color w:val="000000" w:themeColor="text1"/>
                <w:kern w:val="0"/>
                <w:szCs w:val="21"/>
              </w:rPr>
            </w:pPr>
            <w:r w:rsidRPr="009479EF">
              <w:rPr>
                <w:rFonts w:hAnsi="宋体" w:hint="eastAsia"/>
                <w:b/>
                <w:color w:val="000000" w:themeColor="text1"/>
                <w:kern w:val="0"/>
                <w:szCs w:val="21"/>
              </w:rPr>
              <w:t>检查项目</w:t>
            </w:r>
          </w:p>
        </w:tc>
        <w:tc>
          <w:tcPr>
            <w:tcW w:w="799" w:type="dxa"/>
            <w:tcBorders>
              <w:top w:val="single" w:sz="4" w:space="0" w:color="auto"/>
              <w:left w:val="nil"/>
              <w:bottom w:val="single" w:sz="4" w:space="0" w:color="auto"/>
              <w:right w:val="single" w:sz="4" w:space="0" w:color="auto"/>
            </w:tcBorders>
            <w:vAlign w:val="center"/>
          </w:tcPr>
          <w:p w:rsidR="00125027" w:rsidRPr="009479EF" w:rsidRDefault="00125027" w:rsidP="000B10A3">
            <w:pPr>
              <w:widowControl/>
              <w:jc w:val="center"/>
              <w:rPr>
                <w:rFonts w:hAnsi="宋体"/>
                <w:b/>
                <w:color w:val="000000" w:themeColor="text1"/>
                <w:kern w:val="0"/>
                <w:szCs w:val="21"/>
              </w:rPr>
            </w:pPr>
            <w:r w:rsidRPr="009479EF">
              <w:rPr>
                <w:rFonts w:hAnsi="宋体" w:hint="eastAsia"/>
                <w:b/>
                <w:color w:val="000000" w:themeColor="text1"/>
                <w:kern w:val="0"/>
                <w:szCs w:val="21"/>
              </w:rPr>
              <w:t>序号</w:t>
            </w:r>
          </w:p>
        </w:tc>
        <w:tc>
          <w:tcPr>
            <w:tcW w:w="6095" w:type="dxa"/>
            <w:tcBorders>
              <w:top w:val="single" w:sz="4" w:space="0" w:color="auto"/>
              <w:left w:val="nil"/>
              <w:bottom w:val="single" w:sz="4" w:space="0" w:color="auto"/>
              <w:right w:val="single" w:sz="4" w:space="0" w:color="auto"/>
            </w:tcBorders>
            <w:vAlign w:val="center"/>
          </w:tcPr>
          <w:p w:rsidR="00125027" w:rsidRPr="009479EF" w:rsidRDefault="00125027" w:rsidP="000B10A3">
            <w:pPr>
              <w:widowControl/>
              <w:jc w:val="center"/>
              <w:rPr>
                <w:rFonts w:hAnsi="宋体"/>
                <w:b/>
                <w:color w:val="000000" w:themeColor="text1"/>
                <w:kern w:val="0"/>
                <w:szCs w:val="21"/>
              </w:rPr>
            </w:pPr>
            <w:r w:rsidRPr="009479EF">
              <w:rPr>
                <w:rFonts w:hAnsi="宋体" w:hint="eastAsia"/>
                <w:b/>
                <w:color w:val="000000" w:themeColor="text1"/>
                <w:kern w:val="0"/>
                <w:szCs w:val="21"/>
              </w:rPr>
              <w:t>检查内容</w:t>
            </w:r>
          </w:p>
        </w:tc>
        <w:tc>
          <w:tcPr>
            <w:tcW w:w="1418" w:type="dxa"/>
            <w:tcBorders>
              <w:top w:val="single" w:sz="4" w:space="0" w:color="auto"/>
              <w:left w:val="nil"/>
              <w:bottom w:val="single" w:sz="4" w:space="0" w:color="auto"/>
              <w:right w:val="single" w:sz="4" w:space="0" w:color="auto"/>
            </w:tcBorders>
            <w:vAlign w:val="center"/>
          </w:tcPr>
          <w:p w:rsidR="00125027" w:rsidRPr="009479EF" w:rsidRDefault="00125027" w:rsidP="000B10A3">
            <w:pPr>
              <w:widowControl/>
              <w:jc w:val="center"/>
              <w:rPr>
                <w:rFonts w:hAnsi="宋体"/>
                <w:b/>
                <w:color w:val="000000" w:themeColor="text1"/>
                <w:kern w:val="0"/>
                <w:szCs w:val="21"/>
              </w:rPr>
            </w:pPr>
            <w:r w:rsidRPr="009479EF">
              <w:rPr>
                <w:rFonts w:hAnsi="宋体" w:hint="eastAsia"/>
                <w:b/>
                <w:color w:val="000000" w:themeColor="text1"/>
                <w:kern w:val="0"/>
                <w:szCs w:val="21"/>
              </w:rPr>
              <w:t>检查结果</w:t>
            </w:r>
          </w:p>
        </w:tc>
        <w:tc>
          <w:tcPr>
            <w:tcW w:w="695" w:type="dxa"/>
            <w:tcBorders>
              <w:top w:val="single" w:sz="4" w:space="0" w:color="auto"/>
              <w:left w:val="nil"/>
              <w:bottom w:val="single" w:sz="4" w:space="0" w:color="auto"/>
              <w:right w:val="single" w:sz="4" w:space="0" w:color="auto"/>
            </w:tcBorders>
            <w:vAlign w:val="center"/>
          </w:tcPr>
          <w:p w:rsidR="00125027" w:rsidRPr="009479EF" w:rsidRDefault="00125027" w:rsidP="000B10A3">
            <w:pPr>
              <w:widowControl/>
              <w:jc w:val="center"/>
              <w:rPr>
                <w:rFonts w:hAnsi="宋体"/>
                <w:b/>
                <w:color w:val="000000" w:themeColor="text1"/>
                <w:kern w:val="0"/>
                <w:szCs w:val="21"/>
              </w:rPr>
            </w:pPr>
            <w:r w:rsidRPr="009479EF">
              <w:rPr>
                <w:rFonts w:hAnsi="宋体" w:hint="eastAsia"/>
                <w:b/>
                <w:color w:val="000000" w:themeColor="text1"/>
                <w:kern w:val="0"/>
                <w:szCs w:val="21"/>
              </w:rPr>
              <w:t>分值</w:t>
            </w:r>
          </w:p>
        </w:tc>
      </w:tr>
      <w:tr w:rsidR="00125027" w:rsidRPr="009479EF" w:rsidTr="000B10A3">
        <w:trPr>
          <w:trHeight w:val="293"/>
          <w:jc w:val="center"/>
        </w:trPr>
        <w:tc>
          <w:tcPr>
            <w:tcW w:w="1270" w:type="dxa"/>
            <w:vMerge w:val="restart"/>
            <w:tcBorders>
              <w:top w:val="nil"/>
              <w:left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1.主体资质</w:t>
            </w: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仿宋" w:hint="eastAsia"/>
                <w:color w:val="000000" w:themeColor="text1"/>
                <w:szCs w:val="21"/>
              </w:rPr>
              <w:t>★1</w:t>
            </w:r>
            <w:r w:rsidRPr="009479EF">
              <w:rPr>
                <w:rFonts w:hAnsi="宋体" w:hint="eastAsia"/>
                <w:color w:val="000000" w:themeColor="text1"/>
                <w:kern w:val="0"/>
                <w:szCs w:val="21"/>
              </w:rPr>
              <w:t>.1</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r w:rsidRPr="009479EF">
              <w:rPr>
                <w:rFonts w:hAnsi="宋体" w:hint="eastAsia"/>
                <w:color w:val="000000" w:themeColor="text1"/>
                <w:kern w:val="0"/>
                <w:szCs w:val="21"/>
              </w:rPr>
              <w:t>依法取得营业执照并在有效期限内。</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4</w:t>
            </w:r>
          </w:p>
        </w:tc>
      </w:tr>
      <w:tr w:rsidR="00125027" w:rsidRPr="009479EF" w:rsidTr="000B10A3">
        <w:trPr>
          <w:trHeight w:val="383"/>
          <w:jc w:val="center"/>
        </w:trPr>
        <w:tc>
          <w:tcPr>
            <w:tcW w:w="1270" w:type="dxa"/>
            <w:vMerge/>
            <w:tcBorders>
              <w:left w:val="single" w:sz="4" w:space="0" w:color="auto"/>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仿宋" w:hint="eastAsia"/>
                <w:color w:val="000000" w:themeColor="text1"/>
                <w:szCs w:val="21"/>
              </w:rPr>
              <w:t>★</w:t>
            </w:r>
            <w:r w:rsidRPr="009479EF">
              <w:rPr>
                <w:rFonts w:hAnsi="宋体" w:hint="eastAsia"/>
                <w:color w:val="000000" w:themeColor="text1"/>
                <w:kern w:val="0"/>
                <w:szCs w:val="21"/>
              </w:rPr>
              <w:t>1.2</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r w:rsidRPr="009479EF">
              <w:rPr>
                <w:rFonts w:hAnsi="宋体" w:hint="eastAsia"/>
                <w:color w:val="000000" w:themeColor="text1"/>
                <w:kern w:val="0"/>
                <w:szCs w:val="21"/>
              </w:rPr>
              <w:t>平台在通信主管部门批准后30个工作日内，向天津市市场监督管理委员会备案，网络餐饮服务第三方平台提供者分支机构，在设立后30个工作日内，向所在地市场监督管理部门备案。</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4</w:t>
            </w:r>
          </w:p>
        </w:tc>
      </w:tr>
      <w:tr w:rsidR="00125027" w:rsidRPr="009479EF" w:rsidTr="000B10A3">
        <w:trPr>
          <w:trHeight w:val="645"/>
          <w:jc w:val="center"/>
        </w:trPr>
        <w:tc>
          <w:tcPr>
            <w:tcW w:w="1270" w:type="dxa"/>
            <w:vMerge w:val="restart"/>
            <w:tcBorders>
              <w:top w:val="nil"/>
              <w:left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2.食品安</w:t>
            </w:r>
          </w:p>
          <w:p w:rsidR="00125027" w:rsidRPr="009479EF" w:rsidRDefault="00125027" w:rsidP="000B10A3">
            <w:pPr>
              <w:widowControl/>
              <w:spacing w:line="240" w:lineRule="exact"/>
              <w:jc w:val="center"/>
              <w:rPr>
                <w:rFonts w:hAnsi="宋体"/>
                <w:color w:val="000000" w:themeColor="text1"/>
                <w:kern w:val="0"/>
                <w:szCs w:val="21"/>
              </w:rPr>
            </w:pPr>
            <w:proofErr w:type="gramStart"/>
            <w:r w:rsidRPr="009479EF">
              <w:rPr>
                <w:rFonts w:hAnsi="宋体" w:hint="eastAsia"/>
                <w:color w:val="000000" w:themeColor="text1"/>
                <w:kern w:val="0"/>
                <w:szCs w:val="21"/>
              </w:rPr>
              <w:t>全责任</w:t>
            </w:r>
            <w:proofErr w:type="gramEnd"/>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仿宋" w:hint="eastAsia"/>
                <w:color w:val="000000" w:themeColor="text1"/>
                <w:szCs w:val="21"/>
              </w:rPr>
              <w:t>★</w:t>
            </w:r>
            <w:r w:rsidRPr="009479EF">
              <w:rPr>
                <w:rFonts w:hAnsi="宋体" w:hint="eastAsia"/>
                <w:color w:val="000000" w:themeColor="text1"/>
                <w:kern w:val="0"/>
                <w:szCs w:val="21"/>
              </w:rPr>
              <w:t>2.1</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r w:rsidRPr="009479EF">
              <w:rPr>
                <w:rFonts w:hAnsi="宋体" w:hint="eastAsia"/>
                <w:color w:val="000000" w:themeColor="text1"/>
                <w:kern w:val="0"/>
                <w:szCs w:val="21"/>
              </w:rPr>
              <w:t>建立入网食品经营者审查登记、食品安全自查、食品安全违法行为制止及报告、严重违法行为平台服务停止、食品安全投诉举报处理等相应制度，网络餐饮服务第三方平台提供者还建立食品安全事故处置制度；在网络平台上公开相关制度和投诉举报方式。</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4</w:t>
            </w:r>
          </w:p>
        </w:tc>
      </w:tr>
      <w:tr w:rsidR="00125027" w:rsidRPr="009479EF" w:rsidTr="000B10A3">
        <w:trPr>
          <w:trHeight w:val="576"/>
          <w:jc w:val="center"/>
        </w:trPr>
        <w:tc>
          <w:tcPr>
            <w:tcW w:w="1270" w:type="dxa"/>
            <w:vMerge/>
            <w:tcBorders>
              <w:top w:val="nil"/>
              <w:left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仿宋" w:hint="eastAsia"/>
                <w:color w:val="000000" w:themeColor="text1"/>
                <w:szCs w:val="21"/>
              </w:rPr>
              <w:t>★</w:t>
            </w:r>
            <w:r w:rsidRPr="009479EF">
              <w:rPr>
                <w:rFonts w:hAnsi="宋体" w:hint="eastAsia"/>
                <w:color w:val="000000" w:themeColor="text1"/>
                <w:kern w:val="0"/>
                <w:szCs w:val="21"/>
              </w:rPr>
              <w:t>2.2</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widowControl/>
              <w:numPr>
                <w:ilvl w:val="255"/>
                <w:numId w:val="0"/>
              </w:numPr>
              <w:adjustRightInd w:val="0"/>
              <w:snapToGrid w:val="0"/>
              <w:spacing w:line="240" w:lineRule="exact"/>
              <w:rPr>
                <w:rFonts w:hAnsi="宋体"/>
                <w:color w:val="000000" w:themeColor="text1"/>
                <w:kern w:val="0"/>
                <w:szCs w:val="21"/>
              </w:rPr>
            </w:pPr>
            <w:r w:rsidRPr="009479EF">
              <w:rPr>
                <w:rFonts w:hAnsi="宋体" w:hint="eastAsia"/>
                <w:color w:val="000000" w:themeColor="text1"/>
                <w:kern w:val="0"/>
                <w:szCs w:val="21"/>
              </w:rPr>
              <w:t>设置专门的网络食品安全管理机构或者指定专职食品安全管理人员，对平台上的食品经营行为及信息进行检查。</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4</w:t>
            </w:r>
          </w:p>
        </w:tc>
      </w:tr>
      <w:tr w:rsidR="00125027" w:rsidRPr="009479EF" w:rsidTr="000B10A3">
        <w:trPr>
          <w:trHeight w:val="518"/>
          <w:jc w:val="center"/>
        </w:trPr>
        <w:tc>
          <w:tcPr>
            <w:tcW w:w="1270" w:type="dxa"/>
            <w:vMerge/>
            <w:tcBorders>
              <w:left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2.3</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r w:rsidRPr="009479EF">
              <w:rPr>
                <w:rFonts w:hAnsi="宋体" w:hint="eastAsia"/>
                <w:color w:val="000000" w:themeColor="text1"/>
                <w:kern w:val="0"/>
                <w:szCs w:val="21"/>
              </w:rPr>
              <w:t>对平台上食品经营者开展食品安全法律、法规以及食品安全标准和食品安全知识的教育培训工作，且有培训记录。</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3</w:t>
            </w:r>
          </w:p>
        </w:tc>
      </w:tr>
      <w:tr w:rsidR="00125027" w:rsidRPr="009479EF" w:rsidTr="000B10A3">
        <w:trPr>
          <w:trHeight w:val="448"/>
          <w:jc w:val="center"/>
        </w:trPr>
        <w:tc>
          <w:tcPr>
            <w:tcW w:w="1270" w:type="dxa"/>
            <w:vMerge/>
            <w:tcBorders>
              <w:left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仿宋" w:hint="eastAsia"/>
                <w:color w:val="000000" w:themeColor="text1"/>
                <w:szCs w:val="21"/>
              </w:rPr>
              <w:t>★</w:t>
            </w:r>
            <w:r w:rsidRPr="009479EF">
              <w:rPr>
                <w:rFonts w:hAnsi="宋体" w:hint="eastAsia"/>
                <w:color w:val="000000" w:themeColor="text1"/>
                <w:kern w:val="0"/>
                <w:szCs w:val="21"/>
              </w:rPr>
              <w:t>2.4</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r w:rsidRPr="009479EF">
              <w:rPr>
                <w:rFonts w:hAnsi="宋体" w:hint="eastAsia"/>
                <w:color w:val="000000" w:themeColor="text1"/>
                <w:kern w:val="0"/>
                <w:szCs w:val="21"/>
              </w:rPr>
              <w:t>建立入网食品经营者档案，记录入网食品经营者的基本情况、食品安全管理人员等信息。</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4</w:t>
            </w:r>
          </w:p>
        </w:tc>
      </w:tr>
      <w:tr w:rsidR="00125027" w:rsidRPr="009479EF" w:rsidTr="000B10A3">
        <w:trPr>
          <w:trHeight w:val="573"/>
          <w:jc w:val="center"/>
        </w:trPr>
        <w:tc>
          <w:tcPr>
            <w:tcW w:w="1270" w:type="dxa"/>
            <w:vMerge/>
            <w:tcBorders>
              <w:left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仿宋" w:hint="eastAsia"/>
                <w:color w:val="000000" w:themeColor="text1"/>
                <w:szCs w:val="21"/>
              </w:rPr>
              <w:t>★</w:t>
            </w:r>
            <w:r w:rsidRPr="009479EF">
              <w:rPr>
                <w:rFonts w:hAnsi="宋体" w:hint="eastAsia"/>
                <w:color w:val="000000" w:themeColor="text1"/>
                <w:kern w:val="0"/>
                <w:szCs w:val="21"/>
              </w:rPr>
              <w:t>2.5</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r w:rsidRPr="009479EF">
              <w:rPr>
                <w:rFonts w:hAnsi="宋体" w:hint="eastAsia"/>
                <w:color w:val="000000" w:themeColor="text1"/>
                <w:kern w:val="0"/>
                <w:szCs w:val="21"/>
              </w:rPr>
              <w:t>记录、保存食品交易信息，保存时间不得少于产品保质期满后6个月；没有明确保质期的，保存时间不少于2年；网络订餐的订单信息保存时间不少于6个月。</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4</w:t>
            </w:r>
          </w:p>
        </w:tc>
      </w:tr>
      <w:tr w:rsidR="00125027" w:rsidRPr="009479EF" w:rsidTr="000B10A3">
        <w:trPr>
          <w:trHeight w:val="477"/>
          <w:jc w:val="center"/>
        </w:trPr>
        <w:tc>
          <w:tcPr>
            <w:tcW w:w="1270" w:type="dxa"/>
            <w:vMerge/>
            <w:tcBorders>
              <w:left w:val="single" w:sz="4" w:space="0" w:color="auto"/>
              <w:bottom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仿宋" w:hint="eastAsia"/>
                <w:color w:val="000000" w:themeColor="text1"/>
                <w:szCs w:val="21"/>
              </w:rPr>
              <w:t>★</w:t>
            </w:r>
            <w:r w:rsidRPr="009479EF">
              <w:rPr>
                <w:rFonts w:hAnsi="宋体" w:hint="eastAsia"/>
                <w:color w:val="000000" w:themeColor="text1"/>
                <w:kern w:val="0"/>
                <w:szCs w:val="21"/>
              </w:rPr>
              <w:t>2.6</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r w:rsidRPr="009479EF">
              <w:rPr>
                <w:rFonts w:hAnsi="宋体" w:hint="eastAsia"/>
                <w:color w:val="000000" w:themeColor="text1"/>
                <w:kern w:val="0"/>
                <w:szCs w:val="21"/>
              </w:rPr>
              <w:t>网络餐饮服务第三方平台提供者对送餐人员进行食品安全培训和管理，培训记录保存期限不少于两年。</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□合理缺项</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3</w:t>
            </w:r>
          </w:p>
        </w:tc>
      </w:tr>
      <w:tr w:rsidR="00125027" w:rsidRPr="009479EF" w:rsidTr="000B10A3">
        <w:trPr>
          <w:trHeight w:val="514"/>
          <w:jc w:val="center"/>
        </w:trPr>
        <w:tc>
          <w:tcPr>
            <w:tcW w:w="1270" w:type="dxa"/>
            <w:vMerge w:val="restart"/>
            <w:tcBorders>
              <w:top w:val="nil"/>
              <w:left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3.对入网食品经营者的管理</w:t>
            </w: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仿宋" w:hint="eastAsia"/>
                <w:color w:val="000000" w:themeColor="text1"/>
                <w:szCs w:val="21"/>
              </w:rPr>
              <w:t>★</w:t>
            </w:r>
            <w:r w:rsidRPr="009479EF">
              <w:rPr>
                <w:rFonts w:hAnsi="宋体" w:hint="eastAsia"/>
                <w:color w:val="000000" w:themeColor="text1"/>
                <w:kern w:val="0"/>
                <w:szCs w:val="21"/>
              </w:rPr>
              <w:t>3.1</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spacing w:line="240" w:lineRule="exact"/>
              <w:jc w:val="left"/>
              <w:rPr>
                <w:rFonts w:hAnsi="宋体"/>
                <w:color w:val="000000" w:themeColor="text1"/>
                <w:kern w:val="0"/>
                <w:szCs w:val="21"/>
              </w:rPr>
            </w:pPr>
            <w:r w:rsidRPr="009479EF">
              <w:rPr>
                <w:rFonts w:hAnsi="宋体" w:hint="eastAsia"/>
                <w:color w:val="000000" w:themeColor="text1"/>
                <w:kern w:val="0"/>
                <w:szCs w:val="21"/>
              </w:rPr>
              <w:t>对入网食品经营者食品生产经营许可证等材料进行审查，如实记录并及时更新。</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□合理缺项</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3</w:t>
            </w:r>
          </w:p>
        </w:tc>
      </w:tr>
      <w:tr w:rsidR="00125027" w:rsidRPr="009479EF" w:rsidTr="000B10A3">
        <w:trPr>
          <w:trHeight w:val="500"/>
          <w:jc w:val="center"/>
        </w:trPr>
        <w:tc>
          <w:tcPr>
            <w:tcW w:w="1270" w:type="dxa"/>
            <w:vMerge/>
            <w:tcBorders>
              <w:top w:val="nil"/>
              <w:left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仿宋" w:hint="eastAsia"/>
                <w:color w:val="000000" w:themeColor="text1"/>
                <w:szCs w:val="21"/>
              </w:rPr>
              <w:t>★</w:t>
            </w:r>
            <w:r w:rsidRPr="009479EF">
              <w:rPr>
                <w:rFonts w:hAnsi="宋体" w:hint="eastAsia"/>
                <w:color w:val="000000" w:themeColor="text1"/>
                <w:kern w:val="0"/>
                <w:szCs w:val="21"/>
              </w:rPr>
              <w:t>3.2</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widowControl/>
              <w:numPr>
                <w:ilvl w:val="255"/>
                <w:numId w:val="0"/>
              </w:numPr>
              <w:adjustRightInd w:val="0"/>
              <w:snapToGrid w:val="0"/>
              <w:spacing w:line="240" w:lineRule="exact"/>
              <w:rPr>
                <w:rFonts w:hAnsi="宋体"/>
                <w:color w:val="000000" w:themeColor="text1"/>
                <w:kern w:val="0"/>
                <w:szCs w:val="21"/>
              </w:rPr>
            </w:pPr>
            <w:r w:rsidRPr="009479EF">
              <w:rPr>
                <w:rFonts w:hAnsi="宋体" w:hint="eastAsia"/>
                <w:color w:val="000000" w:themeColor="text1"/>
                <w:kern w:val="0"/>
                <w:szCs w:val="21"/>
              </w:rPr>
              <w:t>对入网食用农产品生产经营者营业执照、入网交易食用农产品的个人的身份证号码、住址、联系方式等信息如实记录并及时更新。</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□合理缺项</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3</w:t>
            </w:r>
          </w:p>
        </w:tc>
      </w:tr>
      <w:tr w:rsidR="00125027" w:rsidRPr="009479EF" w:rsidTr="000B10A3">
        <w:trPr>
          <w:trHeight w:val="500"/>
          <w:jc w:val="center"/>
        </w:trPr>
        <w:tc>
          <w:tcPr>
            <w:tcW w:w="1270" w:type="dxa"/>
            <w:vMerge/>
            <w:tcBorders>
              <w:top w:val="nil"/>
              <w:left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仿宋"/>
                <w:color w:val="000000" w:themeColor="text1"/>
                <w:szCs w:val="21"/>
              </w:rPr>
            </w:pPr>
            <w:r w:rsidRPr="009479EF">
              <w:rPr>
                <w:rFonts w:hAnsi="仿宋" w:hint="eastAsia"/>
                <w:color w:val="000000" w:themeColor="text1"/>
                <w:szCs w:val="21"/>
              </w:rPr>
              <w:t>★3.3</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widowControl/>
              <w:numPr>
                <w:ilvl w:val="255"/>
                <w:numId w:val="0"/>
              </w:numPr>
              <w:adjustRightInd w:val="0"/>
              <w:snapToGrid w:val="0"/>
              <w:spacing w:line="240" w:lineRule="exact"/>
              <w:rPr>
                <w:rFonts w:hAnsi="宋体"/>
                <w:color w:val="000000" w:themeColor="text1"/>
                <w:kern w:val="0"/>
                <w:szCs w:val="21"/>
              </w:rPr>
            </w:pPr>
            <w:r w:rsidRPr="009479EF">
              <w:rPr>
                <w:rFonts w:hAnsi="宋体" w:hint="eastAsia"/>
                <w:color w:val="000000" w:themeColor="text1"/>
                <w:kern w:val="0"/>
                <w:szCs w:val="21"/>
              </w:rPr>
              <w:t>网络餐饮服务第三方平台提供者与入网餐饮服务提供者签订食品安全协议。</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□合理缺项</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3</w:t>
            </w:r>
          </w:p>
        </w:tc>
      </w:tr>
      <w:tr w:rsidR="00125027" w:rsidRPr="009479EF" w:rsidTr="000B10A3">
        <w:trPr>
          <w:trHeight w:val="237"/>
          <w:jc w:val="center"/>
        </w:trPr>
        <w:tc>
          <w:tcPr>
            <w:tcW w:w="1270" w:type="dxa"/>
            <w:vMerge/>
            <w:tcBorders>
              <w:top w:val="nil"/>
              <w:left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3.4</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spacing w:line="240" w:lineRule="exact"/>
              <w:jc w:val="left"/>
              <w:rPr>
                <w:rFonts w:hAnsi="宋体"/>
                <w:color w:val="000000" w:themeColor="text1"/>
                <w:kern w:val="0"/>
                <w:szCs w:val="21"/>
              </w:rPr>
            </w:pPr>
            <w:r w:rsidRPr="009479EF">
              <w:rPr>
                <w:rFonts w:hAnsi="宋体" w:hint="eastAsia"/>
                <w:color w:val="000000" w:themeColor="text1"/>
                <w:kern w:val="0"/>
                <w:szCs w:val="21"/>
              </w:rPr>
              <w:t>明确入网食品经营者食品安全管理责任。</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3</w:t>
            </w:r>
          </w:p>
        </w:tc>
      </w:tr>
      <w:tr w:rsidR="00125027" w:rsidRPr="009479EF" w:rsidTr="000B10A3">
        <w:trPr>
          <w:trHeight w:val="621"/>
          <w:jc w:val="center"/>
        </w:trPr>
        <w:tc>
          <w:tcPr>
            <w:tcW w:w="1270" w:type="dxa"/>
            <w:vMerge/>
            <w:tcBorders>
              <w:top w:val="nil"/>
              <w:left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仿宋" w:hint="eastAsia"/>
                <w:color w:val="000000" w:themeColor="text1"/>
                <w:szCs w:val="21"/>
              </w:rPr>
              <w:t>★</w:t>
            </w:r>
            <w:r w:rsidRPr="009479EF">
              <w:rPr>
                <w:rFonts w:hAnsi="宋体" w:hint="eastAsia"/>
                <w:color w:val="000000" w:themeColor="text1"/>
                <w:kern w:val="0"/>
                <w:szCs w:val="21"/>
              </w:rPr>
              <w:t>3.5</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spacing w:line="240" w:lineRule="exact"/>
              <w:jc w:val="left"/>
              <w:rPr>
                <w:rFonts w:hAnsi="宋体"/>
                <w:color w:val="000000" w:themeColor="text1"/>
                <w:kern w:val="0"/>
                <w:szCs w:val="21"/>
              </w:rPr>
            </w:pPr>
            <w:r w:rsidRPr="009479EF">
              <w:rPr>
                <w:rFonts w:hAnsi="宋体" w:hint="eastAsia"/>
                <w:color w:val="000000" w:themeColor="text1"/>
                <w:kern w:val="0"/>
                <w:szCs w:val="21"/>
              </w:rPr>
              <w:t>入网食品经营者在其经营活动主页</w:t>
            </w:r>
            <w:proofErr w:type="gramStart"/>
            <w:r w:rsidRPr="009479EF">
              <w:rPr>
                <w:rFonts w:hAnsi="宋体" w:hint="eastAsia"/>
                <w:color w:val="000000" w:themeColor="text1"/>
                <w:kern w:val="0"/>
                <w:szCs w:val="21"/>
              </w:rPr>
              <w:t>面显著</w:t>
            </w:r>
            <w:proofErr w:type="gramEnd"/>
            <w:r w:rsidRPr="009479EF">
              <w:rPr>
                <w:rFonts w:hAnsi="宋体" w:hint="eastAsia"/>
                <w:color w:val="000000" w:themeColor="text1"/>
                <w:kern w:val="0"/>
                <w:szCs w:val="21"/>
              </w:rPr>
              <w:t>位置公示其食品生产经营许可证。餐饮服务经营活动主页面公示餐饮服务经营者的食品经营许可证、名称、地址。</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□合理缺项</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3</w:t>
            </w:r>
          </w:p>
        </w:tc>
      </w:tr>
      <w:tr w:rsidR="00125027" w:rsidRPr="009479EF" w:rsidTr="000B10A3">
        <w:trPr>
          <w:trHeight w:val="467"/>
          <w:jc w:val="center"/>
        </w:trPr>
        <w:tc>
          <w:tcPr>
            <w:tcW w:w="1270" w:type="dxa"/>
            <w:vMerge/>
            <w:tcBorders>
              <w:top w:val="nil"/>
              <w:left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仿宋" w:hint="eastAsia"/>
                <w:color w:val="000000" w:themeColor="text1"/>
                <w:szCs w:val="21"/>
              </w:rPr>
              <w:t>★</w:t>
            </w:r>
            <w:r w:rsidRPr="009479EF">
              <w:rPr>
                <w:rFonts w:hAnsi="宋体" w:hint="eastAsia"/>
                <w:color w:val="000000" w:themeColor="text1"/>
                <w:kern w:val="0"/>
                <w:szCs w:val="21"/>
              </w:rPr>
              <w:t>3.6</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spacing w:line="240" w:lineRule="exact"/>
              <w:jc w:val="left"/>
              <w:rPr>
                <w:rFonts w:hAnsi="宋体"/>
                <w:color w:val="000000" w:themeColor="text1"/>
                <w:kern w:val="0"/>
                <w:szCs w:val="21"/>
              </w:rPr>
            </w:pPr>
            <w:r w:rsidRPr="009479EF">
              <w:rPr>
                <w:rFonts w:hAnsi="宋体" w:hint="eastAsia"/>
                <w:color w:val="000000" w:themeColor="text1"/>
                <w:kern w:val="0"/>
                <w:szCs w:val="21"/>
              </w:rPr>
              <w:t>网络餐饮服务第三方平台提供者对入网餐饮服务经营者的经营行为进行抽查和监测。</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□合理缺项</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4</w:t>
            </w:r>
          </w:p>
        </w:tc>
      </w:tr>
      <w:tr w:rsidR="00125027" w:rsidRPr="009479EF" w:rsidTr="000B10A3">
        <w:trPr>
          <w:trHeight w:val="531"/>
          <w:jc w:val="center"/>
        </w:trPr>
        <w:tc>
          <w:tcPr>
            <w:tcW w:w="1270" w:type="dxa"/>
            <w:vMerge/>
            <w:tcBorders>
              <w:left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p>
        </w:tc>
        <w:tc>
          <w:tcPr>
            <w:tcW w:w="799" w:type="dxa"/>
            <w:tcBorders>
              <w:top w:val="single" w:sz="4" w:space="0" w:color="auto"/>
              <w:left w:val="single" w:sz="4" w:space="0" w:color="auto"/>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仿宋" w:hint="eastAsia"/>
                <w:color w:val="000000" w:themeColor="text1"/>
                <w:szCs w:val="21"/>
              </w:rPr>
              <w:t>★</w:t>
            </w:r>
            <w:r w:rsidRPr="009479EF">
              <w:rPr>
                <w:rFonts w:hAnsi="宋体" w:hint="eastAsia"/>
                <w:color w:val="000000" w:themeColor="text1"/>
                <w:kern w:val="0"/>
                <w:szCs w:val="21"/>
              </w:rPr>
              <w:t>3.7</w:t>
            </w:r>
          </w:p>
        </w:tc>
        <w:tc>
          <w:tcPr>
            <w:tcW w:w="6095" w:type="dxa"/>
            <w:tcBorders>
              <w:top w:val="single" w:sz="4" w:space="0" w:color="auto"/>
              <w:left w:val="nil"/>
              <w:bottom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r w:rsidRPr="009479EF">
              <w:rPr>
                <w:rFonts w:hAnsi="宋体" w:hint="eastAsia"/>
                <w:color w:val="000000" w:themeColor="text1"/>
                <w:kern w:val="0"/>
                <w:szCs w:val="21"/>
              </w:rPr>
              <w:t>发现入网食品经营者存在食品安全违法行为的，及时制止，并及时向所在地市场监督管理部门报告。</w:t>
            </w:r>
          </w:p>
        </w:tc>
        <w:tc>
          <w:tcPr>
            <w:tcW w:w="1418" w:type="dxa"/>
            <w:tcBorders>
              <w:top w:val="single" w:sz="4" w:space="0" w:color="auto"/>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□合理缺项</w:t>
            </w:r>
          </w:p>
        </w:tc>
        <w:tc>
          <w:tcPr>
            <w:tcW w:w="695" w:type="dxa"/>
            <w:tcBorders>
              <w:top w:val="single" w:sz="4" w:space="0" w:color="auto"/>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4</w:t>
            </w:r>
          </w:p>
        </w:tc>
      </w:tr>
      <w:tr w:rsidR="00125027" w:rsidRPr="009479EF" w:rsidTr="000B10A3">
        <w:trPr>
          <w:trHeight w:val="405"/>
          <w:jc w:val="center"/>
        </w:trPr>
        <w:tc>
          <w:tcPr>
            <w:tcW w:w="1270" w:type="dxa"/>
            <w:vMerge/>
            <w:tcBorders>
              <w:left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p>
        </w:tc>
        <w:tc>
          <w:tcPr>
            <w:tcW w:w="799" w:type="dxa"/>
            <w:tcBorders>
              <w:top w:val="single" w:sz="4" w:space="0" w:color="auto"/>
              <w:left w:val="single" w:sz="4" w:space="0" w:color="auto"/>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仿宋" w:hint="eastAsia"/>
                <w:color w:val="000000" w:themeColor="text1"/>
                <w:szCs w:val="21"/>
              </w:rPr>
              <w:t>★</w:t>
            </w:r>
            <w:r w:rsidRPr="009479EF">
              <w:rPr>
                <w:rFonts w:hAnsi="宋体" w:hint="eastAsia"/>
                <w:color w:val="000000" w:themeColor="text1"/>
                <w:kern w:val="0"/>
                <w:szCs w:val="21"/>
              </w:rPr>
              <w:t>3.8</w:t>
            </w:r>
          </w:p>
        </w:tc>
        <w:tc>
          <w:tcPr>
            <w:tcW w:w="6095" w:type="dxa"/>
            <w:tcBorders>
              <w:top w:val="single" w:sz="4" w:space="0" w:color="auto"/>
              <w:left w:val="nil"/>
              <w:bottom w:val="single" w:sz="4" w:space="0" w:color="auto"/>
              <w:right w:val="single" w:sz="4" w:space="0" w:color="auto"/>
            </w:tcBorders>
            <w:vAlign w:val="center"/>
          </w:tcPr>
          <w:p w:rsidR="00125027" w:rsidRPr="009479EF" w:rsidRDefault="00125027" w:rsidP="000B10A3">
            <w:pPr>
              <w:widowControl/>
              <w:spacing w:line="240" w:lineRule="exact"/>
              <w:jc w:val="left"/>
              <w:rPr>
                <w:rFonts w:hAnsi="宋体"/>
                <w:color w:val="000000" w:themeColor="text1"/>
                <w:kern w:val="0"/>
                <w:szCs w:val="21"/>
              </w:rPr>
            </w:pPr>
            <w:r w:rsidRPr="009479EF">
              <w:rPr>
                <w:rFonts w:hAnsi="宋体" w:hint="eastAsia"/>
                <w:color w:val="000000" w:themeColor="text1"/>
                <w:kern w:val="0"/>
                <w:szCs w:val="21"/>
              </w:rPr>
              <w:t>对出现严重违法行为的入网食品经营者停止提供网络交易平台服务。</w:t>
            </w:r>
          </w:p>
        </w:tc>
        <w:tc>
          <w:tcPr>
            <w:tcW w:w="1418" w:type="dxa"/>
            <w:tcBorders>
              <w:top w:val="single" w:sz="4" w:space="0" w:color="auto"/>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□合理缺项</w:t>
            </w:r>
          </w:p>
        </w:tc>
        <w:tc>
          <w:tcPr>
            <w:tcW w:w="695" w:type="dxa"/>
            <w:tcBorders>
              <w:top w:val="single" w:sz="4" w:space="0" w:color="auto"/>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4</w:t>
            </w:r>
          </w:p>
        </w:tc>
      </w:tr>
      <w:tr w:rsidR="00125027" w:rsidRPr="009479EF" w:rsidTr="000B10A3">
        <w:trPr>
          <w:trHeight w:val="483"/>
          <w:jc w:val="center"/>
        </w:trPr>
        <w:tc>
          <w:tcPr>
            <w:tcW w:w="1270" w:type="dxa"/>
            <w:tcBorders>
              <w:top w:val="nil"/>
              <w:left w:val="single" w:sz="4" w:space="0" w:color="auto"/>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p>
        </w:tc>
        <w:tc>
          <w:tcPr>
            <w:tcW w:w="799"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3.9</w:t>
            </w:r>
          </w:p>
        </w:tc>
        <w:tc>
          <w:tcPr>
            <w:tcW w:w="6095" w:type="dxa"/>
            <w:tcBorders>
              <w:top w:val="nil"/>
              <w:left w:val="nil"/>
              <w:bottom w:val="single" w:sz="4" w:space="0" w:color="auto"/>
              <w:right w:val="single" w:sz="4" w:space="0" w:color="auto"/>
            </w:tcBorders>
            <w:vAlign w:val="center"/>
          </w:tcPr>
          <w:p w:rsidR="00125027" w:rsidRPr="009479EF" w:rsidRDefault="00125027" w:rsidP="000B10A3">
            <w:pPr>
              <w:widowControl/>
              <w:numPr>
                <w:ilvl w:val="255"/>
                <w:numId w:val="0"/>
              </w:numPr>
              <w:adjustRightInd w:val="0"/>
              <w:snapToGrid w:val="0"/>
              <w:spacing w:line="240" w:lineRule="exact"/>
              <w:rPr>
                <w:rFonts w:hAnsi="宋体"/>
                <w:color w:val="000000" w:themeColor="text1"/>
                <w:kern w:val="0"/>
                <w:szCs w:val="21"/>
              </w:rPr>
            </w:pPr>
            <w:r w:rsidRPr="009479EF">
              <w:rPr>
                <w:rFonts w:hAnsi="宋体" w:hint="eastAsia"/>
                <w:color w:val="000000" w:themeColor="text1"/>
                <w:kern w:val="0"/>
                <w:szCs w:val="21"/>
              </w:rPr>
              <w:t>配合市场监督管理部门对网络食品安全违法行为的查处，并按照相关要求提供网络食品交易相关数据和信息。</w:t>
            </w:r>
          </w:p>
        </w:tc>
        <w:tc>
          <w:tcPr>
            <w:tcW w:w="1418"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□是  □否</w:t>
            </w:r>
          </w:p>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□合理缺项</w:t>
            </w:r>
          </w:p>
        </w:tc>
        <w:tc>
          <w:tcPr>
            <w:tcW w:w="695" w:type="dxa"/>
            <w:tcBorders>
              <w:top w:val="nil"/>
              <w:left w:val="nil"/>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3</w:t>
            </w:r>
          </w:p>
        </w:tc>
      </w:tr>
      <w:tr w:rsidR="00125027" w:rsidRPr="009479EF" w:rsidTr="000B10A3">
        <w:trPr>
          <w:trHeight w:val="259"/>
          <w:jc w:val="center"/>
        </w:trPr>
        <w:tc>
          <w:tcPr>
            <w:tcW w:w="1270" w:type="dxa"/>
            <w:tcBorders>
              <w:left w:val="single" w:sz="4" w:space="0" w:color="auto"/>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Cs w:val="21"/>
              </w:rPr>
              <w:t>得分总和（</w:t>
            </w:r>
            <w:r w:rsidRPr="009479EF">
              <w:rPr>
                <w:rFonts w:hAnsi="宋体"/>
                <w:color w:val="000000" w:themeColor="text1"/>
                <w:kern w:val="0"/>
                <w:szCs w:val="21"/>
              </w:rPr>
              <w:t>60分）</w:t>
            </w:r>
          </w:p>
        </w:tc>
        <w:tc>
          <w:tcPr>
            <w:tcW w:w="9007" w:type="dxa"/>
            <w:gridSpan w:val="4"/>
            <w:tcBorders>
              <w:top w:val="single" w:sz="4" w:space="0" w:color="auto"/>
              <w:left w:val="nil"/>
              <w:bottom w:val="single" w:sz="4" w:space="0" w:color="auto"/>
              <w:right w:val="single" w:sz="4" w:space="0" w:color="auto"/>
            </w:tcBorders>
            <w:vAlign w:val="center"/>
          </w:tcPr>
          <w:p w:rsidR="00125027" w:rsidRPr="009479EF" w:rsidRDefault="00125027" w:rsidP="000B10A3">
            <w:pPr>
              <w:widowControl/>
              <w:jc w:val="center"/>
              <w:rPr>
                <w:rFonts w:hAnsi="宋体"/>
                <w:color w:val="000000" w:themeColor="text1"/>
                <w:kern w:val="0"/>
                <w:szCs w:val="21"/>
              </w:rPr>
            </w:pPr>
          </w:p>
        </w:tc>
      </w:tr>
      <w:tr w:rsidR="00125027" w:rsidRPr="009479EF" w:rsidTr="000B10A3">
        <w:trPr>
          <w:trHeight w:val="1058"/>
          <w:jc w:val="center"/>
        </w:trPr>
        <w:tc>
          <w:tcPr>
            <w:tcW w:w="1270" w:type="dxa"/>
            <w:tcBorders>
              <w:left w:val="single" w:sz="4" w:space="0" w:color="auto"/>
              <w:bottom w:val="single" w:sz="4" w:space="0" w:color="auto"/>
              <w:right w:val="single" w:sz="4" w:space="0" w:color="auto"/>
            </w:tcBorders>
            <w:vAlign w:val="center"/>
          </w:tcPr>
          <w:p w:rsidR="00125027" w:rsidRPr="009479EF" w:rsidRDefault="00125027" w:rsidP="000B10A3">
            <w:pPr>
              <w:widowControl/>
              <w:spacing w:line="240" w:lineRule="exact"/>
              <w:jc w:val="center"/>
              <w:rPr>
                <w:rFonts w:hAnsi="宋体"/>
                <w:color w:val="000000" w:themeColor="text1"/>
                <w:kern w:val="0"/>
                <w:sz w:val="20"/>
                <w:szCs w:val="20"/>
              </w:rPr>
            </w:pPr>
            <w:r w:rsidRPr="009479EF">
              <w:rPr>
                <w:rFonts w:hAnsi="宋体" w:hint="eastAsia"/>
                <w:color w:val="000000" w:themeColor="text1"/>
                <w:kern w:val="0"/>
                <w:sz w:val="20"/>
                <w:szCs w:val="20"/>
              </w:rPr>
              <w:t>备</w:t>
            </w:r>
          </w:p>
          <w:p w:rsidR="00125027" w:rsidRPr="009479EF" w:rsidRDefault="00125027" w:rsidP="000B10A3">
            <w:pPr>
              <w:widowControl/>
              <w:spacing w:line="240" w:lineRule="exact"/>
              <w:jc w:val="center"/>
              <w:rPr>
                <w:rFonts w:hAnsi="宋体"/>
                <w:color w:val="000000" w:themeColor="text1"/>
                <w:kern w:val="0"/>
                <w:szCs w:val="21"/>
              </w:rPr>
            </w:pPr>
            <w:r w:rsidRPr="009479EF">
              <w:rPr>
                <w:rFonts w:hAnsi="宋体" w:hint="eastAsia"/>
                <w:color w:val="000000" w:themeColor="text1"/>
                <w:kern w:val="0"/>
                <w:sz w:val="20"/>
                <w:szCs w:val="20"/>
              </w:rPr>
              <w:t>注</w:t>
            </w:r>
          </w:p>
        </w:tc>
        <w:tc>
          <w:tcPr>
            <w:tcW w:w="9007" w:type="dxa"/>
            <w:gridSpan w:val="4"/>
            <w:tcBorders>
              <w:top w:val="single" w:sz="4" w:space="0" w:color="auto"/>
              <w:left w:val="nil"/>
              <w:bottom w:val="single" w:sz="4" w:space="0" w:color="auto"/>
              <w:right w:val="single" w:sz="4" w:space="0" w:color="auto"/>
            </w:tcBorders>
          </w:tcPr>
          <w:p w:rsidR="00125027" w:rsidRPr="009479EF" w:rsidRDefault="00125027" w:rsidP="000B10A3">
            <w:pPr>
              <w:widowControl/>
              <w:spacing w:line="240" w:lineRule="exact"/>
              <w:rPr>
                <w:rFonts w:hAnsi="宋体"/>
                <w:color w:val="000000" w:themeColor="text1"/>
                <w:kern w:val="0"/>
                <w:sz w:val="20"/>
                <w:szCs w:val="20"/>
              </w:rPr>
            </w:pPr>
            <w:r w:rsidRPr="009479EF">
              <w:rPr>
                <w:rFonts w:hAnsi="宋体" w:hint="eastAsia"/>
                <w:color w:val="000000" w:themeColor="text1"/>
                <w:kern w:val="0"/>
                <w:sz w:val="20"/>
                <w:szCs w:val="20"/>
              </w:rPr>
              <w:t>1.各项分值总和为60分，选择“否”，得分，选择“是”或者“合理缺项”，不得分。</w:t>
            </w:r>
          </w:p>
          <w:p w:rsidR="00125027" w:rsidRPr="009479EF" w:rsidRDefault="00125027" w:rsidP="000B10A3">
            <w:pPr>
              <w:widowControl/>
              <w:spacing w:line="240" w:lineRule="exact"/>
              <w:rPr>
                <w:rFonts w:hAnsi="宋体"/>
                <w:color w:val="000000" w:themeColor="text1"/>
                <w:kern w:val="0"/>
                <w:sz w:val="20"/>
                <w:szCs w:val="20"/>
              </w:rPr>
            </w:pPr>
            <w:r w:rsidRPr="009479EF">
              <w:rPr>
                <w:rFonts w:hAnsi="宋体" w:hint="eastAsia"/>
                <w:color w:val="000000" w:themeColor="text1"/>
                <w:kern w:val="0"/>
                <w:sz w:val="20"/>
                <w:szCs w:val="20"/>
              </w:rPr>
              <w:t>2.日常监督检查共17项检查内容，其中重点项（检查序号中打★号项）14项，一般项3项。</w:t>
            </w:r>
          </w:p>
          <w:p w:rsidR="00125027" w:rsidRPr="009479EF" w:rsidRDefault="00125027" w:rsidP="000B10A3">
            <w:pPr>
              <w:widowControl/>
              <w:spacing w:line="240" w:lineRule="exact"/>
              <w:ind w:left="200" w:hangingChars="100" w:hanging="200"/>
              <w:rPr>
                <w:rFonts w:hAnsi="宋体"/>
                <w:color w:val="000000" w:themeColor="text1"/>
                <w:kern w:val="0"/>
                <w:szCs w:val="21"/>
              </w:rPr>
            </w:pPr>
            <w:r w:rsidRPr="009479EF">
              <w:rPr>
                <w:rFonts w:hAnsi="宋体" w:hint="eastAsia"/>
                <w:color w:val="000000" w:themeColor="text1"/>
                <w:kern w:val="0"/>
                <w:sz w:val="20"/>
                <w:szCs w:val="20"/>
              </w:rPr>
              <w:t>3.检查结果判定方法：①符合，检查中未发现问题；②基本符合，一般项</w:t>
            </w:r>
            <w:r w:rsidRPr="009479EF">
              <w:rPr>
                <w:rFonts w:hAnsi="宋体"/>
                <w:color w:val="000000" w:themeColor="text1"/>
                <w:kern w:val="0"/>
                <w:sz w:val="20"/>
                <w:szCs w:val="20"/>
              </w:rPr>
              <w:t>1项</w:t>
            </w:r>
            <w:r w:rsidRPr="009479EF">
              <w:rPr>
                <w:rFonts w:hAnsi="宋体" w:hint="eastAsia"/>
                <w:color w:val="000000" w:themeColor="text1"/>
                <w:kern w:val="0"/>
                <w:sz w:val="20"/>
                <w:szCs w:val="20"/>
              </w:rPr>
              <w:t>不合格；③不符合，重点项1项（含）以上不合格，或一般项2项以上不合格。</w:t>
            </w:r>
          </w:p>
        </w:tc>
      </w:tr>
    </w:tbl>
    <w:p w:rsidR="006952D3" w:rsidRPr="00125027" w:rsidRDefault="006952D3"/>
    <w:sectPr w:rsidR="006952D3" w:rsidRPr="001250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F5C" w:rsidRDefault="00B70F5C" w:rsidP="00125027">
      <w:r>
        <w:separator/>
      </w:r>
    </w:p>
  </w:endnote>
  <w:endnote w:type="continuationSeparator" w:id="0">
    <w:p w:rsidR="00B70F5C" w:rsidRDefault="00B70F5C" w:rsidP="00125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F5C" w:rsidRDefault="00B70F5C" w:rsidP="00125027">
      <w:r>
        <w:separator/>
      </w:r>
    </w:p>
  </w:footnote>
  <w:footnote w:type="continuationSeparator" w:id="0">
    <w:p w:rsidR="00B70F5C" w:rsidRDefault="00B70F5C" w:rsidP="001250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4BF"/>
    <w:rsid w:val="0001197F"/>
    <w:rsid w:val="00035797"/>
    <w:rsid w:val="00055714"/>
    <w:rsid w:val="000A466E"/>
    <w:rsid w:val="000C03F9"/>
    <w:rsid w:val="000C2F8B"/>
    <w:rsid w:val="000D2429"/>
    <w:rsid w:val="00102020"/>
    <w:rsid w:val="00121C06"/>
    <w:rsid w:val="00125027"/>
    <w:rsid w:val="00137B49"/>
    <w:rsid w:val="00140AF3"/>
    <w:rsid w:val="00163019"/>
    <w:rsid w:val="001D00EF"/>
    <w:rsid w:val="001F3B9F"/>
    <w:rsid w:val="0021105F"/>
    <w:rsid w:val="00223BB6"/>
    <w:rsid w:val="00271697"/>
    <w:rsid w:val="002800B6"/>
    <w:rsid w:val="0028099E"/>
    <w:rsid w:val="002D03AB"/>
    <w:rsid w:val="003129EA"/>
    <w:rsid w:val="00333545"/>
    <w:rsid w:val="00391378"/>
    <w:rsid w:val="003A19FC"/>
    <w:rsid w:val="003E78BC"/>
    <w:rsid w:val="003E7F9B"/>
    <w:rsid w:val="00412AC6"/>
    <w:rsid w:val="004311C3"/>
    <w:rsid w:val="004379EF"/>
    <w:rsid w:val="00444E51"/>
    <w:rsid w:val="00477BB0"/>
    <w:rsid w:val="004A4B92"/>
    <w:rsid w:val="004F1717"/>
    <w:rsid w:val="00502CD0"/>
    <w:rsid w:val="00522384"/>
    <w:rsid w:val="00526338"/>
    <w:rsid w:val="00540041"/>
    <w:rsid w:val="00553A0B"/>
    <w:rsid w:val="0058039C"/>
    <w:rsid w:val="00594AA2"/>
    <w:rsid w:val="005E2238"/>
    <w:rsid w:val="005E3E22"/>
    <w:rsid w:val="00616EF7"/>
    <w:rsid w:val="00624121"/>
    <w:rsid w:val="00625E8F"/>
    <w:rsid w:val="006374F3"/>
    <w:rsid w:val="00652EC3"/>
    <w:rsid w:val="0066430A"/>
    <w:rsid w:val="006952D3"/>
    <w:rsid w:val="006B4AED"/>
    <w:rsid w:val="006E0996"/>
    <w:rsid w:val="006F51FB"/>
    <w:rsid w:val="007042A2"/>
    <w:rsid w:val="00720D7D"/>
    <w:rsid w:val="00732F0D"/>
    <w:rsid w:val="00772C04"/>
    <w:rsid w:val="0078015F"/>
    <w:rsid w:val="00793A37"/>
    <w:rsid w:val="00794C0A"/>
    <w:rsid w:val="007C0155"/>
    <w:rsid w:val="007D0A86"/>
    <w:rsid w:val="007E4CF9"/>
    <w:rsid w:val="00862ABC"/>
    <w:rsid w:val="00873F20"/>
    <w:rsid w:val="00896794"/>
    <w:rsid w:val="008A3EB0"/>
    <w:rsid w:val="008B77B4"/>
    <w:rsid w:val="008F7381"/>
    <w:rsid w:val="008F7547"/>
    <w:rsid w:val="00934AC9"/>
    <w:rsid w:val="00961620"/>
    <w:rsid w:val="00963D12"/>
    <w:rsid w:val="009766A6"/>
    <w:rsid w:val="009C6CBC"/>
    <w:rsid w:val="009E7CA2"/>
    <w:rsid w:val="009F1AE6"/>
    <w:rsid w:val="00A37923"/>
    <w:rsid w:val="00A64903"/>
    <w:rsid w:val="00A7720F"/>
    <w:rsid w:val="00AA3D30"/>
    <w:rsid w:val="00AD68BE"/>
    <w:rsid w:val="00AF7EAA"/>
    <w:rsid w:val="00B1198F"/>
    <w:rsid w:val="00B2626F"/>
    <w:rsid w:val="00B70F5C"/>
    <w:rsid w:val="00B900C1"/>
    <w:rsid w:val="00B972BE"/>
    <w:rsid w:val="00BD7F8B"/>
    <w:rsid w:val="00C048EE"/>
    <w:rsid w:val="00C061D8"/>
    <w:rsid w:val="00C12994"/>
    <w:rsid w:val="00C3571D"/>
    <w:rsid w:val="00C42C9F"/>
    <w:rsid w:val="00C44F99"/>
    <w:rsid w:val="00C4553A"/>
    <w:rsid w:val="00C860D7"/>
    <w:rsid w:val="00C926E6"/>
    <w:rsid w:val="00CA3165"/>
    <w:rsid w:val="00CA76B6"/>
    <w:rsid w:val="00CB7E07"/>
    <w:rsid w:val="00CE1A24"/>
    <w:rsid w:val="00CE6089"/>
    <w:rsid w:val="00D13D10"/>
    <w:rsid w:val="00D404BF"/>
    <w:rsid w:val="00D72537"/>
    <w:rsid w:val="00DF247C"/>
    <w:rsid w:val="00DF3D42"/>
    <w:rsid w:val="00E06AD6"/>
    <w:rsid w:val="00E17D16"/>
    <w:rsid w:val="00E41E3E"/>
    <w:rsid w:val="00EA15F3"/>
    <w:rsid w:val="00F125BA"/>
    <w:rsid w:val="00F44B71"/>
    <w:rsid w:val="00F5557F"/>
    <w:rsid w:val="00FB5EA5"/>
    <w:rsid w:val="00FE74A0"/>
    <w:rsid w:val="00FE7648"/>
    <w:rsid w:val="00FF7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027"/>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2502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25027"/>
    <w:rPr>
      <w:sz w:val="18"/>
      <w:szCs w:val="18"/>
    </w:rPr>
  </w:style>
  <w:style w:type="paragraph" w:styleId="a4">
    <w:name w:val="footer"/>
    <w:basedOn w:val="a"/>
    <w:link w:val="Char0"/>
    <w:uiPriority w:val="99"/>
    <w:unhideWhenUsed/>
    <w:rsid w:val="0012502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2502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027"/>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2502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25027"/>
    <w:rPr>
      <w:sz w:val="18"/>
      <w:szCs w:val="18"/>
    </w:rPr>
  </w:style>
  <w:style w:type="paragraph" w:styleId="a4">
    <w:name w:val="footer"/>
    <w:basedOn w:val="a"/>
    <w:link w:val="Char0"/>
    <w:uiPriority w:val="99"/>
    <w:unhideWhenUsed/>
    <w:rsid w:val="0012502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250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Words>
  <Characters>760</Characters>
  <Application>Microsoft Office Word</Application>
  <DocSecurity>0</DocSecurity>
  <Lines>36</Lines>
  <Paragraphs>22</Paragraphs>
  <ScaleCrop>false</ScaleCrop>
  <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霍廉</dc:creator>
  <cp:keywords/>
  <dc:description/>
  <cp:lastModifiedBy>霍廉</cp:lastModifiedBy>
  <cp:revision>2</cp:revision>
  <dcterms:created xsi:type="dcterms:W3CDTF">2020-03-31T07:01:00Z</dcterms:created>
  <dcterms:modified xsi:type="dcterms:W3CDTF">2020-03-31T07:01:00Z</dcterms:modified>
</cp:coreProperties>
</file>