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144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1101"/>
        <w:gridCol w:w="650"/>
        <w:gridCol w:w="1192"/>
        <w:gridCol w:w="851"/>
        <w:gridCol w:w="5062"/>
        <w:gridCol w:w="1335"/>
        <w:gridCol w:w="690"/>
      </w:tblGrid>
      <w:tr w:rsidR="0015129A" w:rsidRPr="009479EF" w:rsidTr="000B10A3">
        <w:trPr>
          <w:trHeight w:val="557"/>
        </w:trPr>
        <w:tc>
          <w:tcPr>
            <w:tcW w:w="10881" w:type="dxa"/>
            <w:gridSpan w:val="7"/>
            <w:tcBorders>
              <w:top w:val="nil"/>
              <w:left w:val="nil"/>
              <w:right w:val="nil"/>
            </w:tcBorders>
            <w:vAlign w:val="center"/>
          </w:tcPr>
          <w:p w:rsidR="0015129A" w:rsidRPr="009479EF" w:rsidRDefault="0015129A" w:rsidP="000B10A3">
            <w:pPr>
              <w:tabs>
                <w:tab w:val="left" w:pos="420"/>
              </w:tabs>
              <w:spacing w:line="400" w:lineRule="exact"/>
              <w:ind w:firstLineChars="300" w:firstLine="960"/>
              <w:jc w:val="left"/>
              <w:rPr>
                <w:rFonts w:ascii="方正小标宋简体" w:eastAsia="方正小标宋简体" w:hAnsi="仿宋"/>
                <w:bCs/>
                <w:color w:val="000000" w:themeColor="text1"/>
                <w:sz w:val="32"/>
                <w:szCs w:val="32"/>
              </w:rPr>
            </w:pPr>
          </w:p>
          <w:p w:rsidR="0015129A" w:rsidRPr="009479EF" w:rsidRDefault="0015129A" w:rsidP="000B10A3">
            <w:pPr>
              <w:tabs>
                <w:tab w:val="left" w:pos="420"/>
              </w:tabs>
              <w:spacing w:line="400" w:lineRule="exact"/>
              <w:ind w:firstLineChars="300" w:firstLine="960"/>
              <w:jc w:val="left"/>
              <w:rPr>
                <w:rFonts w:ascii="方正小标宋简体" w:eastAsia="方正小标宋简体" w:hAnsi="仿宋"/>
                <w:bCs/>
                <w:color w:val="000000" w:themeColor="text1"/>
                <w:sz w:val="32"/>
                <w:szCs w:val="32"/>
              </w:rPr>
            </w:pPr>
          </w:p>
          <w:p w:rsidR="0015129A" w:rsidRPr="009479EF" w:rsidRDefault="0015129A" w:rsidP="000B10A3">
            <w:pPr>
              <w:tabs>
                <w:tab w:val="left" w:pos="420"/>
              </w:tabs>
              <w:spacing w:line="400" w:lineRule="exact"/>
              <w:ind w:firstLineChars="300" w:firstLine="960"/>
              <w:jc w:val="left"/>
              <w:rPr>
                <w:rFonts w:ascii="方正小标宋简体" w:eastAsia="方正小标宋简体" w:hAnsi="仿宋"/>
                <w:bCs/>
                <w:color w:val="000000" w:themeColor="text1"/>
                <w:sz w:val="32"/>
                <w:szCs w:val="32"/>
              </w:rPr>
            </w:pPr>
          </w:p>
          <w:p w:rsidR="0015129A" w:rsidRPr="009479EF" w:rsidRDefault="0015129A" w:rsidP="000B10A3">
            <w:pPr>
              <w:tabs>
                <w:tab w:val="left" w:pos="420"/>
              </w:tabs>
              <w:spacing w:line="400" w:lineRule="exact"/>
              <w:ind w:firstLineChars="300" w:firstLine="960"/>
              <w:jc w:val="left"/>
              <w:rPr>
                <w:rFonts w:ascii="方正小标宋简体" w:eastAsia="方正小标宋简体" w:hAnsi="仿宋"/>
                <w:bCs/>
                <w:color w:val="000000" w:themeColor="text1"/>
                <w:sz w:val="32"/>
                <w:szCs w:val="32"/>
              </w:rPr>
            </w:pPr>
            <w:r w:rsidRPr="009479EF">
              <w:rPr>
                <w:rFonts w:ascii="方正小标宋简体" w:eastAsia="方正小标宋简体" w:hAnsi="仿宋" w:hint="eastAsia"/>
                <w:bCs/>
                <w:color w:val="000000" w:themeColor="text1"/>
                <w:sz w:val="32"/>
                <w:szCs w:val="32"/>
              </w:rPr>
              <w:t>附件18</w:t>
            </w:r>
          </w:p>
          <w:p w:rsidR="0015129A" w:rsidRPr="009479EF" w:rsidRDefault="0015129A" w:rsidP="000B10A3">
            <w:pPr>
              <w:spacing w:line="400" w:lineRule="exact"/>
              <w:jc w:val="center"/>
              <w:rPr>
                <w:rFonts w:ascii="方正小标宋简体" w:eastAsia="方正小标宋简体" w:hAnsi="仿宋" w:cs="宋体"/>
                <w:color w:val="000000" w:themeColor="text1"/>
                <w:kern w:val="0"/>
                <w:sz w:val="32"/>
                <w:szCs w:val="32"/>
              </w:rPr>
            </w:pPr>
            <w:r w:rsidRPr="009479EF">
              <w:rPr>
                <w:rFonts w:ascii="方正小标宋简体" w:eastAsia="方正小标宋简体" w:hAnsi="仿宋" w:cs="宋体" w:hint="eastAsia"/>
                <w:color w:val="000000" w:themeColor="text1"/>
                <w:kern w:val="0"/>
                <w:sz w:val="32"/>
                <w:szCs w:val="32"/>
              </w:rPr>
              <w:t>单位食堂(学校食堂)动态风险因素量化分值表</w:t>
            </w:r>
          </w:p>
          <w:p w:rsidR="0015129A" w:rsidRPr="009479EF" w:rsidRDefault="0015129A" w:rsidP="000B10A3">
            <w:pPr>
              <w:spacing w:line="400" w:lineRule="exact"/>
              <w:jc w:val="center"/>
              <w:rPr>
                <w:rFonts w:ascii="方正小标宋简体" w:eastAsia="方正小标宋简体" w:hAnsi="仿宋" w:cs="宋体"/>
                <w:color w:val="000000" w:themeColor="text1"/>
                <w:kern w:val="0"/>
                <w:sz w:val="32"/>
                <w:szCs w:val="32"/>
              </w:rPr>
            </w:pPr>
            <w:r w:rsidRPr="009479EF">
              <w:rPr>
                <w:rFonts w:ascii="方正小标宋简体" w:eastAsia="方正小标宋简体" w:hAnsi="仿宋" w:cs="宋体" w:hint="eastAsia"/>
                <w:color w:val="000000" w:themeColor="text1"/>
                <w:kern w:val="0"/>
                <w:sz w:val="32"/>
                <w:szCs w:val="32"/>
              </w:rPr>
              <w:t>（单位食堂(学校食堂)日常监督检查表）</w:t>
            </w:r>
          </w:p>
          <w:p w:rsidR="0015129A" w:rsidRPr="009479EF" w:rsidRDefault="0015129A" w:rsidP="000B10A3">
            <w:pPr>
              <w:spacing w:line="400" w:lineRule="exact"/>
              <w:rPr>
                <w:rFonts w:ascii="仿宋" w:eastAsia="仿宋" w:hAnsi="仿宋" w:cs="宋体"/>
                <w:b/>
                <w:color w:val="000000" w:themeColor="text1"/>
                <w:kern w:val="0"/>
                <w:sz w:val="32"/>
                <w:szCs w:val="32"/>
              </w:rPr>
            </w:pPr>
            <w:r w:rsidRPr="009479EF">
              <w:rPr>
                <w:rFonts w:ascii="仿宋" w:eastAsia="仿宋" w:hAnsi="仿宋" w:hint="eastAsia"/>
                <w:bCs/>
                <w:color w:val="000000" w:themeColor="text1"/>
                <w:szCs w:val="21"/>
              </w:rPr>
              <w:t>被评定人：　　　　　　　　　　　　　　　　　　　　　　　　　　　　评定时间：</w:t>
            </w:r>
          </w:p>
        </w:tc>
      </w:tr>
      <w:tr w:rsidR="0015129A" w:rsidRPr="009479EF" w:rsidTr="000B10A3">
        <w:trPr>
          <w:trHeight w:val="615"/>
        </w:trPr>
        <w:tc>
          <w:tcPr>
            <w:tcW w:w="1101" w:type="dxa"/>
            <w:vAlign w:val="center"/>
          </w:tcPr>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重点检查</w:t>
            </w:r>
          </w:p>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点位</w:t>
            </w:r>
          </w:p>
        </w:tc>
        <w:tc>
          <w:tcPr>
            <w:tcW w:w="650" w:type="dxa"/>
            <w:vAlign w:val="center"/>
          </w:tcPr>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项目</w:t>
            </w:r>
          </w:p>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序号</w:t>
            </w:r>
          </w:p>
        </w:tc>
        <w:tc>
          <w:tcPr>
            <w:tcW w:w="1192" w:type="dxa"/>
            <w:vAlign w:val="center"/>
          </w:tcPr>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检查</w:t>
            </w:r>
          </w:p>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项目</w:t>
            </w:r>
          </w:p>
        </w:tc>
        <w:tc>
          <w:tcPr>
            <w:tcW w:w="851" w:type="dxa"/>
            <w:vAlign w:val="center"/>
          </w:tcPr>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检查</w:t>
            </w:r>
          </w:p>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序号</w:t>
            </w:r>
          </w:p>
        </w:tc>
        <w:tc>
          <w:tcPr>
            <w:tcW w:w="5062" w:type="dxa"/>
            <w:vAlign w:val="center"/>
          </w:tcPr>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检查内容</w:t>
            </w:r>
          </w:p>
        </w:tc>
        <w:tc>
          <w:tcPr>
            <w:tcW w:w="1335" w:type="dxa"/>
            <w:vAlign w:val="center"/>
          </w:tcPr>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检查结果</w:t>
            </w:r>
          </w:p>
        </w:tc>
        <w:tc>
          <w:tcPr>
            <w:tcW w:w="690" w:type="dxa"/>
            <w:vAlign w:val="center"/>
          </w:tcPr>
          <w:p w:rsidR="0015129A" w:rsidRPr="009479EF" w:rsidRDefault="0015129A"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分值</w:t>
            </w:r>
          </w:p>
        </w:tc>
      </w:tr>
      <w:tr w:rsidR="0015129A" w:rsidRPr="009479EF" w:rsidTr="000B10A3">
        <w:trPr>
          <w:trHeight w:val="773"/>
        </w:trPr>
        <w:tc>
          <w:tcPr>
            <w:tcW w:w="1101"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信息</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公示区</w:t>
            </w:r>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信息公示</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在经营场所醒目位置公示食品经营许可证、上一次日常监督检查结果记录表、食品安全负责人和管理员信息</w:t>
            </w:r>
            <w:r w:rsidRPr="009479EF">
              <w:rPr>
                <w:rFonts w:ascii="仿宋" w:eastAsia="仿宋" w:hAnsi="仿宋" w:cs="仿宋" w:hint="eastAsia"/>
                <w:color w:val="000000" w:themeColor="text1"/>
                <w:kern w:val="0"/>
                <w:sz w:val="20"/>
                <w:szCs w:val="20"/>
              </w:rPr>
              <w:t>。</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17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1.2</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kern w:val="0"/>
                <w:szCs w:val="21"/>
              </w:rPr>
              <w:t>公示食品添加剂使用情况。</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519"/>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1.3</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学校食堂公示从事接触直接入口食品工作的从业人员健康证明等。</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75"/>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1.4</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学校食堂公示食品原料进货来源、供餐单位等信息。</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468"/>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食品经营</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许可</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食品经营许可证合法有效，经营地址、经营项目等事项与食品经营许可证一致。</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w:t>
            </w:r>
          </w:p>
        </w:tc>
      </w:tr>
      <w:tr w:rsidR="0015129A" w:rsidRPr="009479EF" w:rsidTr="000B10A3">
        <w:trPr>
          <w:trHeight w:val="231"/>
        </w:trPr>
        <w:tc>
          <w:tcPr>
            <w:tcW w:w="1101"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原料</w:t>
            </w:r>
          </w:p>
          <w:p w:rsidR="0015129A" w:rsidRPr="009479EF" w:rsidRDefault="0015129A" w:rsidP="000B10A3">
            <w:pPr>
              <w:spacing w:line="240" w:lineRule="exact"/>
              <w:jc w:val="center"/>
              <w:rPr>
                <w:rFonts w:ascii="仿宋" w:eastAsia="仿宋" w:hAnsi="仿宋" w:cs="仿宋"/>
                <w:color w:val="000000" w:themeColor="text1"/>
                <w:szCs w:val="21"/>
              </w:rPr>
            </w:pPr>
            <w:proofErr w:type="gramStart"/>
            <w:r w:rsidRPr="009479EF">
              <w:rPr>
                <w:rFonts w:ascii="仿宋" w:eastAsia="仿宋" w:hAnsi="仿宋" w:cs="仿宋" w:hint="eastAsia"/>
                <w:color w:val="000000" w:themeColor="text1"/>
                <w:szCs w:val="21"/>
              </w:rPr>
              <w:t>贮存区</w:t>
            </w:r>
            <w:proofErr w:type="gramEnd"/>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原料贮存</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食品库房和非食品库房分开设置。</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195"/>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3.2</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bCs/>
                <w:color w:val="000000" w:themeColor="text1"/>
                <w:szCs w:val="21"/>
              </w:rPr>
              <w:t>同一库房内贮存不同类别的食品和非食品（如食品包装材料等），分设存放区域，不同区域有明显的区分标识,</w:t>
            </w:r>
            <w:r w:rsidRPr="009479EF">
              <w:rPr>
                <w:rFonts w:ascii="仿宋" w:eastAsia="仿宋" w:hAnsi="仿宋" w:cs="仿宋" w:hint="eastAsia"/>
                <w:color w:val="000000" w:themeColor="text1"/>
                <w:szCs w:val="21"/>
              </w:rPr>
              <w:t>贮存的食品和物品离墙离地。散装食品有食品储物箱，并标明名称、使用期限等内容。</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652"/>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3.3</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冷冻（藏）设施正常运转，有正确显示设施内部温度的温度计或温度显示装置，设施内部温度符合规定。冷冻（藏）</w:t>
            </w:r>
            <w:proofErr w:type="gramStart"/>
            <w:r w:rsidRPr="009479EF">
              <w:rPr>
                <w:rFonts w:ascii="仿宋" w:eastAsia="仿宋" w:hAnsi="仿宋" w:cs="仿宋" w:hint="eastAsia"/>
                <w:color w:val="000000" w:themeColor="text1"/>
                <w:szCs w:val="21"/>
              </w:rPr>
              <w:t>库使用</w:t>
            </w:r>
            <w:proofErr w:type="gramEnd"/>
            <w:r w:rsidRPr="009479EF">
              <w:rPr>
                <w:rFonts w:ascii="仿宋" w:eastAsia="仿宋" w:hAnsi="仿宋" w:cs="仿宋" w:hint="eastAsia"/>
                <w:color w:val="000000" w:themeColor="text1"/>
                <w:szCs w:val="21"/>
              </w:rPr>
              <w:t>防爆灯。</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1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3.4</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冷冻（藏）设施中贮存的原料、半成品、成品分开存放，并有明显区分标识。</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64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★3.5</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设有存放食品添加剂的专柜（位），并标注“食品添加剂”字样。食品添加剂的标签上标注有使用范围、用量、使用方法等内容。</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523"/>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★3.6</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中小学、幼儿园食堂未采购、贮存四季豆、鲜黄花菜、野生蘑菇、发芽土豆等高风险食品原料。</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w:t>
            </w:r>
          </w:p>
        </w:tc>
      </w:tr>
      <w:tr w:rsidR="0015129A" w:rsidRPr="009479EF" w:rsidTr="000B10A3">
        <w:trPr>
          <w:trHeight w:val="24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★3.7</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无禁用物质、无明确标识和无法说明来源的物质。</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0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3.8</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食品库房设有通风、防潮及防止有害生物侵入的装置。</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75"/>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4</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原料质量</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检查</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★4.1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食品具有正常的感官性状，</w:t>
            </w:r>
            <w:proofErr w:type="gramStart"/>
            <w:r w:rsidRPr="009479EF">
              <w:rPr>
                <w:rFonts w:ascii="仿宋" w:eastAsia="仿宋" w:hAnsi="仿宋" w:cs="仿宋" w:hint="eastAsia"/>
                <w:color w:val="000000" w:themeColor="text1"/>
                <w:szCs w:val="21"/>
              </w:rPr>
              <w:t>无超过</w:t>
            </w:r>
            <w:proofErr w:type="gramEnd"/>
            <w:r w:rsidRPr="009479EF">
              <w:rPr>
                <w:rFonts w:ascii="仿宋" w:eastAsia="仿宋" w:hAnsi="仿宋" w:cs="仿宋" w:hint="eastAsia"/>
                <w:color w:val="000000" w:themeColor="text1"/>
                <w:szCs w:val="21"/>
              </w:rPr>
              <w:t>保质期、无腐败变质等异常情形。</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w:t>
            </w:r>
          </w:p>
        </w:tc>
      </w:tr>
      <w:tr w:rsidR="0015129A" w:rsidRPr="009479EF" w:rsidTr="000B10A3">
        <w:trPr>
          <w:trHeight w:val="706"/>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4.2</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对变质、超过保质期或者回收的食品进行显著标示或者单独存放在有明确标志的场所，及时采取无害化处理、销毁等措施并如实记录。</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1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t>4.3</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4"/>
              </w:rPr>
            </w:pPr>
            <w:r w:rsidRPr="009479EF">
              <w:rPr>
                <w:rFonts w:ascii="仿宋" w:eastAsia="仿宋" w:hAnsi="仿宋" w:cs="仿宋" w:hint="eastAsia"/>
                <w:color w:val="000000" w:themeColor="text1"/>
                <w:szCs w:val="24"/>
              </w:rPr>
              <w:t>食品的包装和标签符合要求，并按照要求的条件和规</w:t>
            </w:r>
            <w:r w:rsidRPr="009479EF">
              <w:rPr>
                <w:rFonts w:ascii="仿宋" w:eastAsia="仿宋" w:hAnsi="仿宋" w:cs="仿宋" w:hint="eastAsia"/>
                <w:color w:val="000000" w:themeColor="text1"/>
                <w:szCs w:val="24"/>
              </w:rPr>
              <w:lastRenderedPageBreak/>
              <w:t>范贮存。</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lastRenderedPageBreak/>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55"/>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t>★4.4</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4"/>
              </w:rPr>
            </w:pPr>
            <w:r w:rsidRPr="009479EF">
              <w:rPr>
                <w:rFonts w:ascii="仿宋" w:eastAsia="仿宋" w:hAnsi="仿宋" w:cs="仿宋" w:hint="eastAsia"/>
                <w:color w:val="000000" w:themeColor="text1"/>
                <w:szCs w:val="24"/>
              </w:rPr>
              <w:t>食品加工用水符合生活饮用水卫生标准。加工制作现</w:t>
            </w:r>
            <w:proofErr w:type="gramStart"/>
            <w:r w:rsidRPr="009479EF">
              <w:rPr>
                <w:rFonts w:ascii="仿宋" w:eastAsia="仿宋" w:hAnsi="仿宋" w:cs="仿宋" w:hint="eastAsia"/>
                <w:color w:val="000000" w:themeColor="text1"/>
                <w:szCs w:val="24"/>
              </w:rPr>
              <w:t>榨</w:t>
            </w:r>
            <w:proofErr w:type="gramEnd"/>
            <w:r w:rsidRPr="009479EF">
              <w:rPr>
                <w:rFonts w:ascii="仿宋" w:eastAsia="仿宋" w:hAnsi="仿宋" w:cs="仿宋" w:hint="eastAsia"/>
                <w:color w:val="000000" w:themeColor="text1"/>
                <w:szCs w:val="24"/>
              </w:rPr>
              <w:t>果蔬汁和食用冰等直接入口食品的用水安装净水设施或使用煮沸冷却后的生活饮用水。</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408"/>
        </w:trPr>
        <w:tc>
          <w:tcPr>
            <w:tcW w:w="1101"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粗加工区</w:t>
            </w: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5</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场所卫生</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5.1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场所内保持清洁卫生，环境整洁、无异味，无苍蝇、老鼠、蟑螂，无污染源和活禽，地面、墙壁、门窗、天花板等无霉斑、污垢、积油、积水等情形。</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37"/>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6</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粗加工</w:t>
            </w:r>
            <w:r w:rsidRPr="009479EF">
              <w:rPr>
                <w:rFonts w:ascii="仿宋" w:eastAsia="仿宋" w:hAnsi="仿宋" w:cs="仿宋" w:hint="eastAsia"/>
                <w:color w:val="000000" w:themeColor="text1"/>
                <w:szCs w:val="21"/>
              </w:rPr>
              <w:br/>
              <w:t>与切配</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6.1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设有粗加工和切配区域。</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15"/>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6.2</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盛放或加工制作动物性、植物性、水产品等食品原料的工用具和容器分开使用，并有明显区分标识。</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43"/>
        </w:trPr>
        <w:tc>
          <w:tcPr>
            <w:tcW w:w="1101"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w:t>
            </w:r>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7</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场所布局</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7.1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各专间有明显的标识，并标明用途。</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38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7.2</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专间的门自动闭合，窗户为封闭式（用于传递食品的除外），专间的门和食品传递窗口及时关闭。</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432"/>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8</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设施设备</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★8.1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专间内设有空气消毒、冷冻（藏）、独立的空调等设施，专间内温度不高于25℃。</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01"/>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8.2</w:t>
            </w:r>
          </w:p>
        </w:tc>
        <w:tc>
          <w:tcPr>
            <w:tcW w:w="5062" w:type="dxa"/>
            <w:vAlign w:val="center"/>
          </w:tcPr>
          <w:p w:rsidR="0015129A" w:rsidRPr="009479EF" w:rsidRDefault="0015129A" w:rsidP="000B10A3">
            <w:pPr>
              <w:tabs>
                <w:tab w:val="left" w:pos="960"/>
              </w:tabs>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w:t>
            </w:r>
            <w:proofErr w:type="gramStart"/>
            <w:r w:rsidRPr="009479EF">
              <w:rPr>
                <w:rFonts w:ascii="仿宋" w:eastAsia="仿宋" w:hAnsi="仿宋" w:cs="仿宋" w:hint="eastAsia"/>
                <w:color w:val="000000" w:themeColor="text1"/>
                <w:szCs w:val="21"/>
              </w:rPr>
              <w:t>间内工用具</w:t>
            </w:r>
            <w:proofErr w:type="gramEnd"/>
            <w:r w:rsidRPr="009479EF">
              <w:rPr>
                <w:rFonts w:ascii="仿宋" w:eastAsia="仿宋" w:hAnsi="仿宋" w:cs="仿宋" w:hint="eastAsia"/>
                <w:color w:val="000000" w:themeColor="text1"/>
                <w:szCs w:val="21"/>
              </w:rPr>
              <w:t>专用并独立存放。</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16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8.3</w:t>
            </w:r>
          </w:p>
        </w:tc>
        <w:tc>
          <w:tcPr>
            <w:tcW w:w="5062" w:type="dxa"/>
            <w:vAlign w:val="center"/>
          </w:tcPr>
          <w:p w:rsidR="0015129A" w:rsidRPr="009479EF" w:rsidRDefault="0015129A" w:rsidP="000B10A3">
            <w:pPr>
              <w:tabs>
                <w:tab w:val="left" w:pos="960"/>
              </w:tabs>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专间入口处设有二次更衣设施，以及独立的非接触洗手、消毒、干手设施。</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8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9</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人员</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9.1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pacing w:val="-8"/>
                <w:szCs w:val="21"/>
              </w:rPr>
            </w:pPr>
            <w:r w:rsidRPr="009479EF">
              <w:rPr>
                <w:rFonts w:ascii="仿宋" w:eastAsia="仿宋" w:hAnsi="仿宋" w:cs="仿宋" w:hint="eastAsia"/>
                <w:color w:val="000000" w:themeColor="text1"/>
                <w:spacing w:val="-8"/>
                <w:szCs w:val="21"/>
              </w:rPr>
              <w:t>专间内由专人加工制作。加工制作人员穿戴专用的工作衣帽、佩戴口罩并严格清洗消毒手部后进入专间。</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60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10</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加工制作</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★10.1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生食类食品、裱花蛋糕、冷食类食品等的加工在专间内进行（可不在专间加工的情形除外）。</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445"/>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★10.2</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中小学、幼儿园食堂未制售冷荤类食品、生食类食品、裱花蛋糕。</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76"/>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10.3</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学校食堂制定并在显著位置公示人员操作规范。</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38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11</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废弃物</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要求</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11.1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专间内的废弃物容器的盖子为非手动开启式。</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380"/>
        </w:trPr>
        <w:tc>
          <w:tcPr>
            <w:tcW w:w="1101"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专用</w:t>
            </w:r>
          </w:p>
          <w:p w:rsidR="0015129A" w:rsidRPr="009479EF" w:rsidRDefault="0015129A" w:rsidP="000B10A3">
            <w:pPr>
              <w:spacing w:line="240" w:lineRule="exact"/>
              <w:jc w:val="center"/>
              <w:rPr>
                <w:rFonts w:ascii="仿宋" w:eastAsia="仿宋" w:hAnsi="仿宋" w:cs="仿宋"/>
                <w:color w:val="000000" w:themeColor="text1"/>
                <w:szCs w:val="21"/>
              </w:rPr>
            </w:pPr>
            <w:proofErr w:type="gramStart"/>
            <w:r w:rsidRPr="009479EF">
              <w:rPr>
                <w:rFonts w:ascii="仿宋" w:eastAsia="仿宋" w:hAnsi="仿宋" w:cs="仿宋" w:hint="eastAsia"/>
                <w:color w:val="000000" w:themeColor="text1"/>
                <w:szCs w:val="21"/>
              </w:rPr>
              <w:t>操作区</w:t>
            </w:r>
            <w:proofErr w:type="gramEnd"/>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12</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加工制作</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szCs w:val="21"/>
              </w:rPr>
              <w:t>12.1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在专用操作区内从事备餐、制作现</w:t>
            </w:r>
            <w:proofErr w:type="gramStart"/>
            <w:r w:rsidRPr="009479EF">
              <w:rPr>
                <w:rFonts w:ascii="仿宋" w:eastAsia="仿宋" w:hAnsi="仿宋" w:cs="仿宋" w:hint="eastAsia"/>
                <w:color w:val="000000" w:themeColor="text1"/>
                <w:szCs w:val="21"/>
              </w:rPr>
              <w:t>榨</w:t>
            </w:r>
            <w:proofErr w:type="gramEnd"/>
            <w:r w:rsidRPr="009479EF">
              <w:rPr>
                <w:rFonts w:ascii="仿宋" w:eastAsia="仿宋" w:hAnsi="仿宋" w:cs="仿宋" w:hint="eastAsia"/>
                <w:color w:val="000000" w:themeColor="text1"/>
                <w:szCs w:val="21"/>
              </w:rPr>
              <w:t>果蔬汁或果蔬拼盘、制作植物性冷食类食品（不含非发酵豆制品）及预包装食品的拆封、装盘、调味等加工制作。</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105"/>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jc w:val="center"/>
              <w:rPr>
                <w:rFonts w:ascii="仿宋" w:eastAsia="仿宋" w:hAnsi="仿宋" w:cs="仿宋"/>
                <w:color w:val="000000" w:themeColor="text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rPr>
              <w:t>12.2</w:t>
            </w:r>
          </w:p>
        </w:tc>
        <w:tc>
          <w:tcPr>
            <w:tcW w:w="5062" w:type="dxa"/>
            <w:vAlign w:val="center"/>
          </w:tcPr>
          <w:p w:rsidR="0015129A" w:rsidRPr="009479EF" w:rsidRDefault="0015129A" w:rsidP="000B10A3">
            <w:pPr>
              <w:jc w:val="left"/>
              <w:rPr>
                <w:rFonts w:ascii="仿宋" w:eastAsia="仿宋" w:hAnsi="仿宋" w:cs="仿宋"/>
                <w:color w:val="000000" w:themeColor="text1"/>
              </w:rPr>
            </w:pPr>
            <w:r w:rsidRPr="009479EF">
              <w:rPr>
                <w:rFonts w:ascii="仿宋" w:eastAsia="仿宋" w:hAnsi="仿宋" w:cs="仿宋" w:hint="eastAsia"/>
                <w:color w:val="000000" w:themeColor="text1"/>
                <w:szCs w:val="21"/>
              </w:rPr>
              <w:t>学校食堂设置专用的备餐间或者备餐操作区。</w:t>
            </w:r>
          </w:p>
        </w:tc>
        <w:tc>
          <w:tcPr>
            <w:tcW w:w="1335" w:type="dxa"/>
            <w:vAlign w:val="center"/>
          </w:tcPr>
          <w:p w:rsidR="0015129A" w:rsidRPr="009479EF" w:rsidRDefault="0015129A" w:rsidP="000B10A3">
            <w:pPr>
              <w:jc w:val="center"/>
              <w:rPr>
                <w:rFonts w:ascii="仿宋" w:eastAsia="仿宋" w:hAnsi="仿宋" w:cs="仿宋"/>
                <w:color w:val="000000" w:themeColor="text1"/>
              </w:rPr>
            </w:pPr>
            <w:r w:rsidRPr="009479EF">
              <w:rPr>
                <w:rFonts w:ascii="仿宋" w:eastAsia="仿宋" w:hAnsi="仿宋" w:cs="仿宋" w:hint="eastAsia"/>
                <w:color w:val="000000" w:themeColor="text1"/>
              </w:rPr>
              <w:t>□是□否</w:t>
            </w:r>
          </w:p>
          <w:p w:rsidR="0015129A" w:rsidRPr="009479EF" w:rsidRDefault="0015129A" w:rsidP="000B10A3">
            <w:pPr>
              <w:jc w:val="center"/>
              <w:rPr>
                <w:rFonts w:ascii="仿宋" w:eastAsia="仿宋" w:hAnsi="仿宋" w:cs="仿宋"/>
                <w:color w:val="000000" w:themeColor="text1"/>
              </w:rPr>
            </w:pPr>
            <w:r w:rsidRPr="009479EF">
              <w:rPr>
                <w:rFonts w:ascii="仿宋" w:eastAsia="仿宋" w:hAnsi="仿宋" w:cs="仿宋" w:hint="eastAsia"/>
                <w:color w:val="000000" w:themeColor="text1"/>
              </w:rPr>
              <w:t>□合理缺项</w:t>
            </w:r>
          </w:p>
        </w:tc>
        <w:tc>
          <w:tcPr>
            <w:tcW w:w="690" w:type="dxa"/>
            <w:vAlign w:val="center"/>
          </w:tcPr>
          <w:p w:rsidR="0015129A" w:rsidRPr="009479EF" w:rsidRDefault="0015129A" w:rsidP="000B10A3">
            <w:pPr>
              <w:jc w:val="center"/>
              <w:rPr>
                <w:rFonts w:ascii="仿宋" w:eastAsia="仿宋" w:hAnsi="仿宋" w:cs="仿宋"/>
                <w:color w:val="000000" w:themeColor="text1"/>
              </w:rPr>
            </w:pPr>
            <w:r w:rsidRPr="009479EF">
              <w:rPr>
                <w:rFonts w:ascii="仿宋" w:eastAsia="仿宋" w:hAnsi="仿宋" w:cs="仿宋" w:hint="eastAsia"/>
                <w:color w:val="000000" w:themeColor="text1"/>
              </w:rPr>
              <w:t>1</w:t>
            </w:r>
          </w:p>
        </w:tc>
      </w:tr>
      <w:tr w:rsidR="0015129A" w:rsidRPr="009479EF" w:rsidTr="000B10A3">
        <w:trPr>
          <w:trHeight w:val="36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12.3</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rPr>
              <w:t>各专间有明显的标识，并标明用途。</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428"/>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12.4</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学校食堂制定并在显著位置公示人员操作规范。</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185"/>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12.5</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专用操作区内工用具专用并独立存放。</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380"/>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13</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人员</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13.1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加工制作人员穿戴专用的工作衣帽、佩戴口罩，加工制作前严格清洗消毒手部。</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75"/>
        </w:trPr>
        <w:tc>
          <w:tcPr>
            <w:tcW w:w="1101"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烹饪区</w:t>
            </w:r>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14</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工具容器</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14.1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盛放调味料的容器表面清洁，加盖存放。</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576"/>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14.2</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用于加工动物性、植物性、水产品等食品原料的容器、工用具分开使用，并有明显区分标识。</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472"/>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15</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防尘、防有害生物</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设施</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15.1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配备防尘、防蝇、防鼠、防虫等设施设备，能够出具有害生物消杀记录。</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519"/>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16</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照明、通风排烟设施</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16.1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配备通风、排烟、充足的自然光或人工照明设施，定期清洁，光源不改变食品的感官颜色。</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697"/>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17</w:t>
            </w:r>
          </w:p>
        </w:tc>
        <w:tc>
          <w:tcPr>
            <w:tcW w:w="1192" w:type="dxa"/>
            <w:vMerge w:val="restart"/>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加工制作</w:t>
            </w:r>
          </w:p>
        </w:tc>
        <w:tc>
          <w:tcPr>
            <w:tcW w:w="851" w:type="dxa"/>
            <w:vAlign w:val="center"/>
          </w:tcPr>
          <w:p w:rsidR="0015129A" w:rsidRPr="009479EF" w:rsidRDefault="0015129A" w:rsidP="000B10A3">
            <w:pPr>
              <w:tabs>
                <w:tab w:val="center" w:pos="317"/>
              </w:tabs>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★17.1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未在餐饮加工场所贮存和添加由国务院食品安全监督管理部门会同国务院卫生行政等部门发布的非食品用化学物质和其他可能危害人体健康的物质。</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193"/>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★17.2</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油炸类食品、烧烤类食品、糕点类食品、自制饮品等加工过程符合要求。</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567"/>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★17.3</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未超范围、超限量使用食品添加剂，准确称量和记录有“最大使用量”规定的食品添加剂。</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48"/>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★17.4</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未采购、贮存、使用亚硝酸盐（包括亚硝酸钠、亚硝酸钾）。</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472"/>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18</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食品留样</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18.1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对加工制作的每餐次食品成品进行留样，每个品种留样量不少于125克，并有留样记录。</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586"/>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19</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废弃物</w:t>
            </w: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要求</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19.1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餐厨废弃物存放容器配有盖子，与食品加工制作容器有明显的区分标识，并及时清理，餐厨废弃物未溢出存放容器。</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454"/>
        </w:trPr>
        <w:tc>
          <w:tcPr>
            <w:tcW w:w="1101" w:type="dxa"/>
            <w:vMerge/>
            <w:vAlign w:val="center"/>
          </w:tcPr>
          <w:p w:rsidR="0015129A" w:rsidRPr="009479EF" w:rsidRDefault="0015129A" w:rsidP="000B10A3">
            <w:pPr>
              <w:spacing w:line="240" w:lineRule="exact"/>
              <w:jc w:val="center"/>
              <w:rPr>
                <w:rFonts w:ascii="仿宋" w:eastAsia="仿宋" w:hAnsi="仿宋" w:cs="仿宋"/>
                <w:color w:val="000000" w:themeColor="text1"/>
                <w:szCs w:val="21"/>
              </w:rPr>
            </w:pPr>
          </w:p>
        </w:tc>
        <w:tc>
          <w:tcPr>
            <w:tcW w:w="65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20</w:t>
            </w:r>
          </w:p>
        </w:tc>
        <w:tc>
          <w:tcPr>
            <w:tcW w:w="1192"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人员卫生</w:t>
            </w:r>
          </w:p>
        </w:tc>
        <w:tc>
          <w:tcPr>
            <w:tcW w:w="851"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20.1</w:t>
            </w:r>
          </w:p>
        </w:tc>
        <w:tc>
          <w:tcPr>
            <w:tcW w:w="5062" w:type="dxa"/>
            <w:vAlign w:val="center"/>
          </w:tcPr>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从事接触直接入口食品工作的从业人员，加工制作食品前对手部进行清洗消毒。</w:t>
            </w:r>
          </w:p>
        </w:tc>
        <w:tc>
          <w:tcPr>
            <w:tcW w:w="1335"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38"/>
        </w:trPr>
        <w:tc>
          <w:tcPr>
            <w:tcW w:w="1101"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就餐区</w:t>
            </w:r>
          </w:p>
        </w:tc>
        <w:tc>
          <w:tcPr>
            <w:tcW w:w="650"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w:t>
            </w:r>
          </w:p>
        </w:tc>
        <w:tc>
          <w:tcPr>
            <w:tcW w:w="1192"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场所卫生</w:t>
            </w:r>
          </w:p>
        </w:tc>
        <w:tc>
          <w:tcPr>
            <w:tcW w:w="851"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21.1</w:t>
            </w:r>
          </w:p>
        </w:tc>
        <w:tc>
          <w:tcPr>
            <w:tcW w:w="5062" w:type="dxa"/>
            <w:vAlign w:val="center"/>
          </w:tcPr>
          <w:p w:rsidR="0015129A" w:rsidRPr="009479EF" w:rsidRDefault="0015129A"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就餐场所卫生清洁。</w:t>
            </w:r>
          </w:p>
        </w:tc>
        <w:tc>
          <w:tcPr>
            <w:tcW w:w="1335"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40"/>
        </w:trPr>
        <w:tc>
          <w:tcPr>
            <w:tcW w:w="1101"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21.2</w:t>
            </w:r>
          </w:p>
        </w:tc>
        <w:tc>
          <w:tcPr>
            <w:tcW w:w="5062" w:type="dxa"/>
            <w:vAlign w:val="center"/>
          </w:tcPr>
          <w:p w:rsidR="0015129A" w:rsidRPr="009479EF" w:rsidRDefault="0015129A" w:rsidP="000B10A3">
            <w:pPr>
              <w:tabs>
                <w:tab w:val="left" w:pos="1344"/>
              </w:tabs>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预包装食品供应温度不超过标签标注温度上限的3℃。</w:t>
            </w:r>
          </w:p>
        </w:tc>
        <w:tc>
          <w:tcPr>
            <w:tcW w:w="1335"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250"/>
        </w:trPr>
        <w:tc>
          <w:tcPr>
            <w:tcW w:w="1101"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21.3</w:t>
            </w:r>
          </w:p>
        </w:tc>
        <w:tc>
          <w:tcPr>
            <w:tcW w:w="5062" w:type="dxa"/>
            <w:vAlign w:val="center"/>
          </w:tcPr>
          <w:p w:rsidR="0015129A" w:rsidRPr="009479EF" w:rsidRDefault="0015129A"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学校食堂从业人员未有在食堂内吸烟等行为。</w:t>
            </w:r>
          </w:p>
        </w:tc>
        <w:tc>
          <w:tcPr>
            <w:tcW w:w="1335"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410"/>
        </w:trPr>
        <w:tc>
          <w:tcPr>
            <w:tcW w:w="1101"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650"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22</w:t>
            </w:r>
          </w:p>
        </w:tc>
        <w:tc>
          <w:tcPr>
            <w:tcW w:w="1192"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设施</w:t>
            </w:r>
          </w:p>
        </w:tc>
        <w:tc>
          <w:tcPr>
            <w:tcW w:w="851"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22.1</w:t>
            </w:r>
          </w:p>
        </w:tc>
        <w:tc>
          <w:tcPr>
            <w:tcW w:w="5062" w:type="dxa"/>
            <w:vAlign w:val="center"/>
          </w:tcPr>
          <w:p w:rsidR="0015129A" w:rsidRPr="009479EF" w:rsidRDefault="0015129A"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根据就餐区布局、面积合理使用防虫、防鼠等设施，场所无苍蝇、老鼠、蟑螂等。</w:t>
            </w:r>
          </w:p>
        </w:tc>
        <w:tc>
          <w:tcPr>
            <w:tcW w:w="1335"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263"/>
        </w:trPr>
        <w:tc>
          <w:tcPr>
            <w:tcW w:w="1101"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22.2</w:t>
            </w:r>
          </w:p>
        </w:tc>
        <w:tc>
          <w:tcPr>
            <w:tcW w:w="5062" w:type="dxa"/>
            <w:vAlign w:val="center"/>
          </w:tcPr>
          <w:p w:rsidR="0015129A" w:rsidRPr="009479EF" w:rsidRDefault="0015129A"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学校食堂就餐区或就餐区附近设有供用餐者清洗手部以及餐具、饮具的用水设施。</w:t>
            </w:r>
          </w:p>
        </w:tc>
        <w:tc>
          <w:tcPr>
            <w:tcW w:w="1335"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15129A" w:rsidRPr="009479EF" w:rsidTr="000B10A3">
        <w:trPr>
          <w:trHeight w:val="501"/>
        </w:trPr>
        <w:tc>
          <w:tcPr>
            <w:tcW w:w="1101"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餐用具清洗</w:t>
            </w:r>
            <w:proofErr w:type="gramStart"/>
            <w:r w:rsidRPr="009479EF">
              <w:rPr>
                <w:rFonts w:ascii="仿宋" w:eastAsia="仿宋" w:hAnsi="仿宋" w:cs="仿宋" w:hint="eastAsia"/>
                <w:color w:val="000000" w:themeColor="text1"/>
                <w:szCs w:val="21"/>
              </w:rPr>
              <w:t>消毒区</w:t>
            </w:r>
            <w:proofErr w:type="gramEnd"/>
          </w:p>
        </w:tc>
        <w:tc>
          <w:tcPr>
            <w:tcW w:w="650"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23</w:t>
            </w:r>
          </w:p>
        </w:tc>
        <w:tc>
          <w:tcPr>
            <w:tcW w:w="1192"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清洗</w:t>
            </w:r>
          </w:p>
        </w:tc>
        <w:tc>
          <w:tcPr>
            <w:tcW w:w="851"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23.1</w:t>
            </w:r>
          </w:p>
        </w:tc>
        <w:tc>
          <w:tcPr>
            <w:tcW w:w="5062" w:type="dxa"/>
            <w:vAlign w:val="center"/>
          </w:tcPr>
          <w:p w:rsidR="0015129A" w:rsidRPr="009479EF" w:rsidRDefault="0015129A"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具有专用的餐用具清洗消毒水池，与食品原料、清洁用具及</w:t>
            </w:r>
            <w:proofErr w:type="gramStart"/>
            <w:r w:rsidRPr="009479EF">
              <w:rPr>
                <w:rFonts w:ascii="仿宋" w:eastAsia="仿宋" w:hAnsi="仿宋" w:cs="仿宋" w:hint="eastAsia"/>
                <w:color w:val="000000" w:themeColor="text1"/>
                <w:szCs w:val="21"/>
              </w:rPr>
              <w:t>接触非</w:t>
            </w:r>
            <w:proofErr w:type="gramEnd"/>
            <w:r w:rsidRPr="009479EF">
              <w:rPr>
                <w:rFonts w:ascii="仿宋" w:eastAsia="仿宋" w:hAnsi="仿宋" w:cs="仿宋" w:hint="eastAsia"/>
                <w:color w:val="000000" w:themeColor="text1"/>
                <w:szCs w:val="21"/>
              </w:rPr>
              <w:t>直接入口食品的工具、容器清洗水池分开。</w:t>
            </w:r>
          </w:p>
        </w:tc>
        <w:tc>
          <w:tcPr>
            <w:tcW w:w="1335"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425"/>
        </w:trPr>
        <w:tc>
          <w:tcPr>
            <w:tcW w:w="1101"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23.2</w:t>
            </w:r>
          </w:p>
        </w:tc>
        <w:tc>
          <w:tcPr>
            <w:tcW w:w="5062" w:type="dxa"/>
            <w:vAlign w:val="center"/>
          </w:tcPr>
          <w:p w:rsidR="0015129A" w:rsidRPr="009479EF" w:rsidRDefault="0015129A"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洗涤剂、消毒剂的包装上标识有产品名称、生产厂名和厂址等内容。</w:t>
            </w:r>
          </w:p>
        </w:tc>
        <w:tc>
          <w:tcPr>
            <w:tcW w:w="1335"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22"/>
        </w:trPr>
        <w:tc>
          <w:tcPr>
            <w:tcW w:w="1101"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650"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24</w:t>
            </w:r>
          </w:p>
        </w:tc>
        <w:tc>
          <w:tcPr>
            <w:tcW w:w="1192" w:type="dxa"/>
            <w:vMerge w:val="restart"/>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消毒</w:t>
            </w:r>
          </w:p>
        </w:tc>
        <w:tc>
          <w:tcPr>
            <w:tcW w:w="851"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★24.1</w:t>
            </w:r>
          </w:p>
        </w:tc>
        <w:tc>
          <w:tcPr>
            <w:tcW w:w="5062" w:type="dxa"/>
            <w:vAlign w:val="center"/>
          </w:tcPr>
          <w:p w:rsidR="0015129A" w:rsidRPr="009479EF" w:rsidRDefault="0015129A"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采用物理消毒的，消毒设备正常运转，消毒温度和时间符合相关要求。</w:t>
            </w:r>
          </w:p>
        </w:tc>
        <w:tc>
          <w:tcPr>
            <w:tcW w:w="1335"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71"/>
        </w:trPr>
        <w:tc>
          <w:tcPr>
            <w:tcW w:w="1101"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2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★24.2</w:t>
            </w:r>
          </w:p>
        </w:tc>
        <w:tc>
          <w:tcPr>
            <w:tcW w:w="5062" w:type="dxa"/>
            <w:vAlign w:val="center"/>
          </w:tcPr>
          <w:p w:rsidR="0015129A" w:rsidRPr="009479EF" w:rsidRDefault="0015129A"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采用化学消毒的，配有含氯等消毒剂和水池等消毒设施设备，消毒液配制行为和消毒液浓度符合相关要求。</w:t>
            </w:r>
          </w:p>
        </w:tc>
        <w:tc>
          <w:tcPr>
            <w:tcW w:w="1335"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89"/>
        </w:trPr>
        <w:tc>
          <w:tcPr>
            <w:tcW w:w="1101" w:type="dxa"/>
            <w:vMerge w:val="restart"/>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餐用具</w:t>
            </w:r>
          </w:p>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保洁区</w:t>
            </w:r>
          </w:p>
        </w:tc>
        <w:tc>
          <w:tcPr>
            <w:tcW w:w="650" w:type="dxa"/>
            <w:vMerge w:val="restart"/>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25</w:t>
            </w:r>
          </w:p>
        </w:tc>
        <w:tc>
          <w:tcPr>
            <w:tcW w:w="1192" w:type="dxa"/>
            <w:vMerge w:val="restart"/>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保洁设施</w:t>
            </w:r>
          </w:p>
        </w:tc>
        <w:tc>
          <w:tcPr>
            <w:tcW w:w="851"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★25.1</w:t>
            </w:r>
          </w:p>
        </w:tc>
        <w:tc>
          <w:tcPr>
            <w:tcW w:w="5062" w:type="dxa"/>
            <w:vAlign w:val="center"/>
          </w:tcPr>
          <w:p w:rsidR="0015129A" w:rsidRPr="009479EF" w:rsidRDefault="0015129A"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餐饮具表面光洁，无附着食物残渣等异物、无油渍、泡沫、异味。</w:t>
            </w:r>
          </w:p>
        </w:tc>
        <w:tc>
          <w:tcPr>
            <w:tcW w:w="1335"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90"/>
        </w:trPr>
        <w:tc>
          <w:tcPr>
            <w:tcW w:w="1101"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★25.2</w:t>
            </w:r>
          </w:p>
        </w:tc>
        <w:tc>
          <w:tcPr>
            <w:tcW w:w="5062" w:type="dxa"/>
            <w:vAlign w:val="center"/>
          </w:tcPr>
          <w:p w:rsidR="0015129A" w:rsidRPr="009479EF" w:rsidRDefault="0015129A"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消毒后的餐饮具存放在清洁、专用、密闭的保洁设施中，并有明显区分标识。</w:t>
            </w:r>
          </w:p>
        </w:tc>
        <w:tc>
          <w:tcPr>
            <w:tcW w:w="1335"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254"/>
        </w:trPr>
        <w:tc>
          <w:tcPr>
            <w:tcW w:w="1101"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★25.3</w:t>
            </w:r>
          </w:p>
        </w:tc>
        <w:tc>
          <w:tcPr>
            <w:tcW w:w="5062" w:type="dxa"/>
            <w:vAlign w:val="center"/>
          </w:tcPr>
          <w:p w:rsidR="0015129A" w:rsidRPr="009479EF" w:rsidRDefault="0015129A"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使用敞开式的货架存放餐饮具，采取防护措施。</w:t>
            </w:r>
          </w:p>
        </w:tc>
        <w:tc>
          <w:tcPr>
            <w:tcW w:w="1335"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174"/>
        </w:trPr>
        <w:tc>
          <w:tcPr>
            <w:tcW w:w="1101"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25.4</w:t>
            </w:r>
          </w:p>
        </w:tc>
        <w:tc>
          <w:tcPr>
            <w:tcW w:w="5062" w:type="dxa"/>
            <w:vAlign w:val="center"/>
          </w:tcPr>
          <w:p w:rsidR="0015129A" w:rsidRPr="009479EF" w:rsidRDefault="0015129A"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kern w:val="0"/>
                <w:szCs w:val="21"/>
              </w:rPr>
              <w:t>一次性餐饮</w:t>
            </w:r>
            <w:proofErr w:type="gramStart"/>
            <w:r w:rsidRPr="009479EF">
              <w:rPr>
                <w:rFonts w:ascii="仿宋" w:eastAsia="仿宋" w:hAnsi="仿宋" w:cs="仿宋" w:hint="eastAsia"/>
                <w:color w:val="000000" w:themeColor="text1"/>
                <w:kern w:val="0"/>
                <w:szCs w:val="21"/>
              </w:rPr>
              <w:t>具符合</w:t>
            </w:r>
            <w:proofErr w:type="gramEnd"/>
            <w:r w:rsidRPr="009479EF">
              <w:rPr>
                <w:rFonts w:ascii="仿宋" w:eastAsia="仿宋" w:hAnsi="仿宋" w:cs="仿宋" w:hint="eastAsia"/>
                <w:color w:val="000000" w:themeColor="text1"/>
                <w:kern w:val="0"/>
                <w:szCs w:val="21"/>
              </w:rPr>
              <w:t>食品安全要求。</w:t>
            </w:r>
          </w:p>
        </w:tc>
        <w:tc>
          <w:tcPr>
            <w:tcW w:w="1335"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90"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160"/>
        </w:trPr>
        <w:tc>
          <w:tcPr>
            <w:tcW w:w="1101"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25.5</w:t>
            </w:r>
          </w:p>
        </w:tc>
        <w:tc>
          <w:tcPr>
            <w:tcW w:w="5062" w:type="dxa"/>
            <w:vAlign w:val="center"/>
          </w:tcPr>
          <w:p w:rsidR="0015129A" w:rsidRPr="009479EF" w:rsidRDefault="0015129A"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盛放食品及原料的容器和加工制作工具根据不同用途进行分类管理、定位存放，并具有明显标识或区分。</w:t>
            </w:r>
          </w:p>
        </w:tc>
        <w:tc>
          <w:tcPr>
            <w:tcW w:w="1335"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75"/>
        </w:trPr>
        <w:tc>
          <w:tcPr>
            <w:tcW w:w="1101" w:type="dxa"/>
            <w:vMerge w:val="restart"/>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文件</w:t>
            </w:r>
          </w:p>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保存区</w:t>
            </w:r>
          </w:p>
        </w:tc>
        <w:tc>
          <w:tcPr>
            <w:tcW w:w="650" w:type="dxa"/>
            <w:vMerge w:val="restart"/>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26</w:t>
            </w:r>
          </w:p>
        </w:tc>
        <w:tc>
          <w:tcPr>
            <w:tcW w:w="1192" w:type="dxa"/>
            <w:vMerge w:val="restart"/>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文件</w:t>
            </w:r>
          </w:p>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与记录</w:t>
            </w:r>
          </w:p>
        </w:tc>
        <w:tc>
          <w:tcPr>
            <w:tcW w:w="851"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★26.1</w:t>
            </w:r>
          </w:p>
        </w:tc>
        <w:tc>
          <w:tcPr>
            <w:tcW w:w="5062" w:type="dxa"/>
            <w:vAlign w:val="center"/>
          </w:tcPr>
          <w:p w:rsidR="0015129A" w:rsidRPr="009479EF" w:rsidRDefault="0015129A"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具有食品、食品添加剂、食品相关产品的随货证明文件、每笔购物或销售凭证。具有完整的进货查验记录。</w:t>
            </w:r>
          </w:p>
        </w:tc>
        <w:tc>
          <w:tcPr>
            <w:tcW w:w="1335"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375"/>
        </w:trPr>
        <w:tc>
          <w:tcPr>
            <w:tcW w:w="1101"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26.2</w:t>
            </w:r>
          </w:p>
        </w:tc>
        <w:tc>
          <w:tcPr>
            <w:tcW w:w="5062" w:type="dxa"/>
            <w:vAlign w:val="center"/>
          </w:tcPr>
          <w:p w:rsidR="0015129A" w:rsidRPr="009479EF" w:rsidRDefault="0015129A"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采购畜禽肉类的，还具有动物产品检疫合格证明等相关证明文件。</w:t>
            </w:r>
          </w:p>
        </w:tc>
        <w:tc>
          <w:tcPr>
            <w:tcW w:w="1335"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690"/>
        </w:trPr>
        <w:tc>
          <w:tcPr>
            <w:tcW w:w="1101"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650"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1192" w:type="dxa"/>
            <w:vMerge/>
            <w:vAlign w:val="center"/>
          </w:tcPr>
          <w:p w:rsidR="0015129A" w:rsidRPr="009479EF" w:rsidRDefault="0015129A" w:rsidP="000B10A3">
            <w:pPr>
              <w:spacing w:line="200" w:lineRule="exact"/>
              <w:jc w:val="center"/>
              <w:rPr>
                <w:rFonts w:ascii="仿宋" w:eastAsia="仿宋" w:hAnsi="仿宋" w:cs="仿宋"/>
                <w:color w:val="000000" w:themeColor="text1"/>
                <w:szCs w:val="21"/>
              </w:rPr>
            </w:pPr>
          </w:p>
        </w:tc>
        <w:tc>
          <w:tcPr>
            <w:tcW w:w="851"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★26.3</w:t>
            </w:r>
          </w:p>
        </w:tc>
        <w:tc>
          <w:tcPr>
            <w:tcW w:w="5062" w:type="dxa"/>
            <w:vAlign w:val="center"/>
          </w:tcPr>
          <w:p w:rsidR="0015129A" w:rsidRPr="009479EF" w:rsidRDefault="0015129A"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有食品安全管理制度、食品安全追溯体系、供货者评价和退出制度、加工操作规程、设施设备清洗维护校验记录、餐饮具消毒保洁记录、废弃物处置制度、从业人员健康检查（健康证明文件、每日晨检）记录、食品安全自查记录（每周一次）、从业人员食品安全培训考核记录（每半年一次）、食品安全突发事件应急处置方案等。</w:t>
            </w:r>
          </w:p>
        </w:tc>
        <w:tc>
          <w:tcPr>
            <w:tcW w:w="1335"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90" w:type="dxa"/>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15129A" w:rsidRPr="009479EF" w:rsidTr="000B10A3">
        <w:trPr>
          <w:trHeight w:val="90"/>
        </w:trPr>
        <w:tc>
          <w:tcPr>
            <w:tcW w:w="3794" w:type="dxa"/>
            <w:gridSpan w:val="4"/>
            <w:vAlign w:val="center"/>
          </w:tcPr>
          <w:p w:rsidR="0015129A" w:rsidRPr="009479EF" w:rsidRDefault="0015129A"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kern w:val="0"/>
                <w:szCs w:val="21"/>
              </w:rPr>
              <w:t>得分总和（60分）</w:t>
            </w:r>
          </w:p>
        </w:tc>
        <w:tc>
          <w:tcPr>
            <w:tcW w:w="7087" w:type="dxa"/>
            <w:gridSpan w:val="3"/>
            <w:vAlign w:val="center"/>
          </w:tcPr>
          <w:p w:rsidR="0015129A" w:rsidRPr="009479EF" w:rsidRDefault="0015129A" w:rsidP="000B10A3">
            <w:pPr>
              <w:spacing w:line="200" w:lineRule="exact"/>
              <w:rPr>
                <w:rFonts w:ascii="仿宋" w:eastAsia="仿宋" w:hAnsi="仿宋" w:cs="仿宋"/>
                <w:color w:val="000000" w:themeColor="text1"/>
                <w:szCs w:val="21"/>
              </w:rPr>
            </w:pPr>
          </w:p>
        </w:tc>
      </w:tr>
      <w:tr w:rsidR="0015129A" w:rsidRPr="009479EF" w:rsidTr="000B10A3">
        <w:trPr>
          <w:trHeight w:val="675"/>
        </w:trPr>
        <w:tc>
          <w:tcPr>
            <w:tcW w:w="1101" w:type="dxa"/>
            <w:vAlign w:val="center"/>
          </w:tcPr>
          <w:p w:rsidR="0015129A" w:rsidRPr="009479EF" w:rsidRDefault="0015129A" w:rsidP="000B10A3">
            <w:pPr>
              <w:spacing w:line="240" w:lineRule="exact"/>
              <w:rPr>
                <w:rFonts w:ascii="仿宋" w:eastAsia="仿宋" w:hAnsi="仿宋" w:cs="仿宋"/>
                <w:color w:val="000000" w:themeColor="text1"/>
                <w:szCs w:val="21"/>
              </w:rPr>
            </w:pP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备</w:t>
            </w:r>
          </w:p>
          <w:p w:rsidR="0015129A" w:rsidRPr="009479EF" w:rsidRDefault="0015129A" w:rsidP="000B10A3">
            <w:pPr>
              <w:spacing w:line="240" w:lineRule="exact"/>
              <w:jc w:val="center"/>
              <w:rPr>
                <w:rFonts w:ascii="仿宋" w:eastAsia="仿宋" w:hAnsi="仿宋" w:cs="仿宋"/>
                <w:color w:val="000000" w:themeColor="text1"/>
                <w:szCs w:val="21"/>
              </w:rPr>
            </w:pPr>
          </w:p>
          <w:p w:rsidR="0015129A" w:rsidRPr="009479EF" w:rsidRDefault="0015129A" w:rsidP="000B10A3">
            <w:pPr>
              <w:spacing w:line="240" w:lineRule="exact"/>
              <w:jc w:val="center"/>
              <w:rPr>
                <w:rFonts w:ascii="仿宋" w:eastAsia="仿宋" w:hAnsi="仿宋" w:cs="仿宋"/>
                <w:color w:val="000000" w:themeColor="text1"/>
                <w:szCs w:val="21"/>
              </w:rPr>
            </w:pPr>
          </w:p>
          <w:p w:rsidR="0015129A" w:rsidRPr="009479EF" w:rsidRDefault="0015129A"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注</w:t>
            </w:r>
          </w:p>
          <w:p w:rsidR="0015129A" w:rsidRPr="009479EF" w:rsidRDefault="0015129A" w:rsidP="000B10A3">
            <w:pPr>
              <w:spacing w:line="240" w:lineRule="exact"/>
              <w:rPr>
                <w:rFonts w:ascii="仿宋" w:eastAsia="仿宋" w:hAnsi="仿宋" w:cs="仿宋"/>
                <w:color w:val="000000" w:themeColor="text1"/>
                <w:szCs w:val="21"/>
              </w:rPr>
            </w:pPr>
          </w:p>
        </w:tc>
        <w:tc>
          <w:tcPr>
            <w:tcW w:w="9780" w:type="dxa"/>
            <w:gridSpan w:val="6"/>
            <w:vAlign w:val="center"/>
          </w:tcPr>
          <w:p w:rsidR="0015129A" w:rsidRPr="009479EF" w:rsidRDefault="0015129A" w:rsidP="000B10A3">
            <w:pPr>
              <w:spacing w:line="240" w:lineRule="exact"/>
              <w:ind w:left="210" w:hangingChars="100" w:hanging="210"/>
              <w:rPr>
                <w:rFonts w:ascii="仿宋" w:eastAsia="仿宋" w:hAnsi="仿宋" w:cs="仿宋"/>
                <w:color w:val="000000" w:themeColor="text1"/>
                <w:szCs w:val="21"/>
              </w:rPr>
            </w:pPr>
            <w:r w:rsidRPr="009479EF">
              <w:rPr>
                <w:rFonts w:ascii="仿宋" w:eastAsia="仿宋" w:hAnsi="仿宋" w:cs="仿宋"/>
                <w:color w:val="000000" w:themeColor="text1"/>
                <w:szCs w:val="21"/>
              </w:rPr>
              <w:t>1.单位食堂(学校食堂),指设于机关、事业单位、社会团体、民办非企业单位、企业等，供应内部职工、学生等集中就餐的餐饮服务提供者。</w:t>
            </w:r>
          </w:p>
          <w:p w:rsidR="0015129A" w:rsidRPr="009479EF" w:rsidRDefault="0015129A" w:rsidP="000B10A3">
            <w:pPr>
              <w:spacing w:line="240" w:lineRule="exact"/>
              <w:ind w:left="210" w:hangingChars="100" w:hanging="210"/>
              <w:rPr>
                <w:rFonts w:ascii="仿宋" w:eastAsia="仿宋" w:hAnsi="仿宋" w:cs="仿宋"/>
                <w:color w:val="000000" w:themeColor="text1"/>
                <w:szCs w:val="21"/>
              </w:rPr>
            </w:pPr>
            <w:r w:rsidRPr="009479EF">
              <w:rPr>
                <w:rFonts w:ascii="仿宋" w:eastAsia="仿宋" w:hAnsi="仿宋" w:cs="仿宋"/>
                <w:color w:val="000000" w:themeColor="text1"/>
                <w:szCs w:val="21"/>
              </w:rPr>
              <w:t>2.单位食堂(学校食堂)动态风险因素采取风险加分方式进行打分，评价结果为“否”的进行风险分数累加；评价结果“是”或者“合理缺项”的不加分，总分为60分。</w:t>
            </w:r>
          </w:p>
          <w:p w:rsidR="0015129A" w:rsidRPr="009479EF" w:rsidRDefault="0015129A" w:rsidP="000B10A3">
            <w:pPr>
              <w:spacing w:line="240" w:lineRule="exact"/>
              <w:rPr>
                <w:rFonts w:ascii="仿宋" w:eastAsia="仿宋" w:hAnsi="仿宋" w:cs="仿宋"/>
                <w:color w:val="000000" w:themeColor="text1"/>
                <w:szCs w:val="21"/>
              </w:rPr>
            </w:pPr>
            <w:r w:rsidRPr="009479EF">
              <w:rPr>
                <w:rFonts w:ascii="仿宋" w:eastAsia="仿宋" w:hAnsi="仿宋" w:cs="仿宋"/>
                <w:color w:val="000000" w:themeColor="text1"/>
                <w:szCs w:val="21"/>
              </w:rPr>
              <w:t>3.日常监督检查共64项检查内容，重点项（检查序号中打★号项）23项，一般项41项。</w:t>
            </w:r>
          </w:p>
          <w:p w:rsidR="0015129A" w:rsidRPr="009479EF" w:rsidRDefault="0015129A" w:rsidP="000B10A3">
            <w:pPr>
              <w:spacing w:line="240" w:lineRule="exact"/>
              <w:ind w:left="210" w:hangingChars="100" w:hanging="210"/>
              <w:rPr>
                <w:rFonts w:ascii="仿宋" w:eastAsia="仿宋" w:hAnsi="仿宋" w:cs="仿宋"/>
                <w:color w:val="000000" w:themeColor="text1"/>
                <w:szCs w:val="21"/>
              </w:rPr>
            </w:pPr>
            <w:r w:rsidRPr="009479EF">
              <w:rPr>
                <w:rFonts w:ascii="仿宋" w:eastAsia="仿宋" w:hAnsi="仿宋" w:cs="仿宋"/>
                <w:color w:val="000000" w:themeColor="text1"/>
                <w:szCs w:val="21"/>
              </w:rPr>
              <w:t>4.检查结果判定方法：</w:t>
            </w:r>
            <w:r w:rsidRPr="009479EF">
              <w:rPr>
                <w:rFonts w:ascii="仿宋" w:eastAsia="仿宋" w:hAnsi="仿宋" w:cs="仿宋" w:hint="eastAsia"/>
                <w:color w:val="000000" w:themeColor="text1"/>
                <w:szCs w:val="21"/>
              </w:rPr>
              <w:t>①符</w:t>
            </w:r>
            <w:r w:rsidRPr="009479EF">
              <w:rPr>
                <w:rFonts w:ascii="仿宋" w:eastAsia="仿宋" w:hAnsi="仿宋" w:cs="仿宋"/>
                <w:color w:val="000000" w:themeColor="text1"/>
                <w:szCs w:val="21"/>
              </w:rPr>
              <w:t>合</w:t>
            </w:r>
            <w:r w:rsidRPr="009479EF">
              <w:rPr>
                <w:rFonts w:ascii="仿宋" w:eastAsia="仿宋" w:hAnsi="仿宋" w:cs="仿宋" w:hint="eastAsia"/>
                <w:color w:val="000000" w:themeColor="text1"/>
                <w:szCs w:val="21"/>
              </w:rPr>
              <w:t>,</w:t>
            </w:r>
            <w:r w:rsidRPr="009479EF">
              <w:rPr>
                <w:rFonts w:ascii="仿宋" w:eastAsia="仿宋" w:hAnsi="仿宋" w:cs="仿宋"/>
                <w:color w:val="000000" w:themeColor="text1"/>
                <w:szCs w:val="21"/>
              </w:rPr>
              <w:t>检查中未发现问题；</w:t>
            </w:r>
            <w:r w:rsidRPr="009479EF">
              <w:rPr>
                <w:rFonts w:ascii="仿宋" w:eastAsia="仿宋" w:hAnsi="仿宋" w:cs="仿宋" w:hint="eastAsia"/>
                <w:color w:val="000000" w:themeColor="text1"/>
                <w:szCs w:val="21"/>
              </w:rPr>
              <w:t>②基本符合,未发现检查的重点项不合格，且</w:t>
            </w:r>
            <w:r w:rsidRPr="009479EF">
              <w:rPr>
                <w:rFonts w:ascii="仿宋" w:eastAsia="仿宋" w:hAnsi="仿宋" w:cs="仿宋"/>
                <w:color w:val="000000" w:themeColor="text1"/>
                <w:szCs w:val="21"/>
              </w:rPr>
              <w:t>70%≤一般项合格率＜100%；</w:t>
            </w:r>
            <w:r w:rsidRPr="009479EF">
              <w:rPr>
                <w:rFonts w:ascii="仿宋" w:eastAsia="仿宋" w:hAnsi="仿宋" w:cs="仿宋" w:hint="eastAsia"/>
                <w:color w:val="000000" w:themeColor="text1"/>
                <w:szCs w:val="21"/>
              </w:rPr>
              <w:t>③不</w:t>
            </w:r>
            <w:r w:rsidRPr="009479EF">
              <w:rPr>
                <w:rFonts w:ascii="仿宋" w:eastAsia="仿宋" w:hAnsi="仿宋" w:cs="仿宋"/>
                <w:color w:val="000000" w:themeColor="text1"/>
                <w:szCs w:val="21"/>
              </w:rPr>
              <w:t>符合</w:t>
            </w:r>
            <w:r w:rsidRPr="009479EF">
              <w:rPr>
                <w:rFonts w:ascii="仿宋" w:eastAsia="仿宋" w:hAnsi="仿宋" w:cs="仿宋" w:hint="eastAsia"/>
                <w:color w:val="000000" w:themeColor="text1"/>
                <w:szCs w:val="21"/>
              </w:rPr>
              <w:t>,</w:t>
            </w:r>
            <w:r w:rsidRPr="009479EF">
              <w:rPr>
                <w:rFonts w:ascii="仿宋" w:eastAsia="仿宋" w:hAnsi="仿宋" w:cs="仿宋"/>
                <w:color w:val="000000" w:themeColor="text1"/>
                <w:szCs w:val="21"/>
              </w:rPr>
              <w:t>重点</w:t>
            </w:r>
            <w:proofErr w:type="gramStart"/>
            <w:r w:rsidRPr="009479EF">
              <w:rPr>
                <w:rFonts w:ascii="仿宋" w:eastAsia="仿宋" w:hAnsi="仿宋" w:cs="仿宋"/>
                <w:color w:val="000000" w:themeColor="text1"/>
                <w:szCs w:val="21"/>
              </w:rPr>
              <w:t>项存在</w:t>
            </w:r>
            <w:proofErr w:type="gramEnd"/>
            <w:r w:rsidRPr="009479EF">
              <w:rPr>
                <w:rFonts w:ascii="仿宋" w:eastAsia="仿宋" w:hAnsi="仿宋" w:cs="仿宋"/>
                <w:color w:val="000000" w:themeColor="text1"/>
                <w:szCs w:val="21"/>
              </w:rPr>
              <w:t>1项及以上不合格，或一般项合格率＜70%。</w:t>
            </w:r>
          </w:p>
          <w:p w:rsidR="0015129A" w:rsidRPr="009479EF" w:rsidRDefault="0015129A" w:rsidP="000B10A3">
            <w:pPr>
              <w:spacing w:line="240" w:lineRule="exact"/>
              <w:rPr>
                <w:rFonts w:ascii="仿宋" w:eastAsia="仿宋" w:hAnsi="仿宋" w:cs="仿宋"/>
                <w:b/>
                <w:color w:val="000000" w:themeColor="text1"/>
                <w:szCs w:val="21"/>
              </w:rPr>
            </w:pPr>
            <w:r w:rsidRPr="009479EF">
              <w:rPr>
                <w:rFonts w:ascii="仿宋" w:eastAsia="仿宋" w:hAnsi="仿宋" w:cs="仿宋"/>
                <w:color w:val="000000" w:themeColor="text1"/>
                <w:szCs w:val="21"/>
              </w:rPr>
              <w:t>5.存在合理缺项时，一般项合格率的计算方法为：合格项目数/（检查项目数－合理缺项数）×100%。</w:t>
            </w:r>
          </w:p>
        </w:tc>
      </w:tr>
    </w:tbl>
    <w:p w:rsidR="006952D3" w:rsidRPr="0015129A" w:rsidRDefault="006952D3">
      <w:bookmarkStart w:id="0" w:name="_GoBack"/>
      <w:bookmarkEnd w:id="0"/>
    </w:p>
    <w:sectPr w:rsidR="006952D3" w:rsidRPr="001512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DE3" w:rsidRDefault="003F4DE3" w:rsidP="0015129A">
      <w:r>
        <w:separator/>
      </w:r>
    </w:p>
  </w:endnote>
  <w:endnote w:type="continuationSeparator" w:id="0">
    <w:p w:rsidR="003F4DE3" w:rsidRDefault="003F4DE3" w:rsidP="00151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DE3" w:rsidRDefault="003F4DE3" w:rsidP="0015129A">
      <w:r>
        <w:separator/>
      </w:r>
    </w:p>
  </w:footnote>
  <w:footnote w:type="continuationSeparator" w:id="0">
    <w:p w:rsidR="003F4DE3" w:rsidRDefault="003F4DE3" w:rsidP="00151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BAD"/>
    <w:rsid w:val="0001197F"/>
    <w:rsid w:val="00035797"/>
    <w:rsid w:val="00055714"/>
    <w:rsid w:val="000A466E"/>
    <w:rsid w:val="000C03F9"/>
    <w:rsid w:val="000C2F8B"/>
    <w:rsid w:val="000D2429"/>
    <w:rsid w:val="00102020"/>
    <w:rsid w:val="00121C06"/>
    <w:rsid w:val="00137B49"/>
    <w:rsid w:val="00140AF3"/>
    <w:rsid w:val="0015129A"/>
    <w:rsid w:val="00163019"/>
    <w:rsid w:val="001D00EF"/>
    <w:rsid w:val="001F3B9F"/>
    <w:rsid w:val="0021105F"/>
    <w:rsid w:val="00223BB6"/>
    <w:rsid w:val="00271697"/>
    <w:rsid w:val="002800B6"/>
    <w:rsid w:val="0028099E"/>
    <w:rsid w:val="002D03AB"/>
    <w:rsid w:val="003129EA"/>
    <w:rsid w:val="00333545"/>
    <w:rsid w:val="00364BAD"/>
    <w:rsid w:val="00391378"/>
    <w:rsid w:val="003A19FC"/>
    <w:rsid w:val="003E78BC"/>
    <w:rsid w:val="003E7F9B"/>
    <w:rsid w:val="003F4DE3"/>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72C04"/>
    <w:rsid w:val="0078015F"/>
    <w:rsid w:val="00793A37"/>
    <w:rsid w:val="00794C0A"/>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900C1"/>
    <w:rsid w:val="00B972BE"/>
    <w:rsid w:val="00BD7F8B"/>
    <w:rsid w:val="00C048EE"/>
    <w:rsid w:val="00C061D8"/>
    <w:rsid w:val="00C12994"/>
    <w:rsid w:val="00C3571D"/>
    <w:rsid w:val="00C42C9F"/>
    <w:rsid w:val="00C44F99"/>
    <w:rsid w:val="00C4553A"/>
    <w:rsid w:val="00C860D7"/>
    <w:rsid w:val="00C926E6"/>
    <w:rsid w:val="00CA3165"/>
    <w:rsid w:val="00CA76B6"/>
    <w:rsid w:val="00CB7E07"/>
    <w:rsid w:val="00CE1A24"/>
    <w:rsid w:val="00CE6089"/>
    <w:rsid w:val="00D13D10"/>
    <w:rsid w:val="00D72537"/>
    <w:rsid w:val="00DF247C"/>
    <w:rsid w:val="00DF3D42"/>
    <w:rsid w:val="00E06AD6"/>
    <w:rsid w:val="00E17D16"/>
    <w:rsid w:val="00E41E3E"/>
    <w:rsid w:val="00EA15F3"/>
    <w:rsid w:val="00F125BA"/>
    <w:rsid w:val="00F44B71"/>
    <w:rsid w:val="00F5557F"/>
    <w:rsid w:val="00FB5EA5"/>
    <w:rsid w:val="00FE74A0"/>
    <w:rsid w:val="00FE7648"/>
    <w:rsid w:val="00FF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29A"/>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12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5129A"/>
    <w:rPr>
      <w:sz w:val="18"/>
      <w:szCs w:val="18"/>
    </w:rPr>
  </w:style>
  <w:style w:type="paragraph" w:styleId="a4">
    <w:name w:val="footer"/>
    <w:basedOn w:val="a"/>
    <w:link w:val="Char0"/>
    <w:uiPriority w:val="99"/>
    <w:unhideWhenUsed/>
    <w:rsid w:val="001512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5129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29A"/>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12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5129A"/>
    <w:rPr>
      <w:sz w:val="18"/>
      <w:szCs w:val="18"/>
    </w:rPr>
  </w:style>
  <w:style w:type="paragraph" w:styleId="a4">
    <w:name w:val="footer"/>
    <w:basedOn w:val="a"/>
    <w:link w:val="Char0"/>
    <w:uiPriority w:val="99"/>
    <w:unhideWhenUsed/>
    <w:rsid w:val="001512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5129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2146</Words>
  <Characters>2169</Characters>
  <Application>Microsoft Office Word</Application>
  <DocSecurity>0</DocSecurity>
  <Lines>103</Lines>
  <Paragraphs>65</Paragraphs>
  <ScaleCrop>false</ScaleCrop>
  <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霍廉</dc:creator>
  <cp:keywords/>
  <dc:description/>
  <cp:lastModifiedBy>霍廉</cp:lastModifiedBy>
  <cp:revision>2</cp:revision>
  <dcterms:created xsi:type="dcterms:W3CDTF">2020-03-31T06:55:00Z</dcterms:created>
  <dcterms:modified xsi:type="dcterms:W3CDTF">2020-03-31T06:55:00Z</dcterms:modified>
</cp:coreProperties>
</file>