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0E" w:rsidRPr="009479EF" w:rsidRDefault="00316D0E" w:rsidP="00316D0E">
      <w:pPr>
        <w:widowControl/>
        <w:shd w:val="clear" w:color="auto" w:fill="FFFFFF"/>
        <w:spacing w:line="560" w:lineRule="exact"/>
        <w:rPr>
          <w:rFonts w:ascii="方正小标宋简体" w:eastAsia="方正小标宋简体" w:hAnsi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hint="eastAsia"/>
          <w:color w:val="000000" w:themeColor="text1"/>
          <w:kern w:val="0"/>
          <w:sz w:val="32"/>
          <w:szCs w:val="32"/>
        </w:rPr>
        <w:t xml:space="preserve">附件5　</w:t>
      </w:r>
    </w:p>
    <w:p w:rsidR="00316D0E" w:rsidRPr="009479EF" w:rsidRDefault="00316D0E" w:rsidP="00316D0E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仿宋"/>
          <w:color w:val="000000" w:themeColor="text1"/>
          <w:spacing w:val="-20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hint="eastAsia"/>
          <w:color w:val="000000" w:themeColor="text1"/>
          <w:spacing w:val="-20"/>
          <w:kern w:val="0"/>
          <w:sz w:val="32"/>
          <w:szCs w:val="32"/>
        </w:rPr>
        <w:t>食用农产品（食品）贮存服务提供者静态风险因素量化分值表</w:t>
      </w:r>
    </w:p>
    <w:p w:rsidR="00316D0E" w:rsidRPr="009479EF" w:rsidRDefault="00316D0E" w:rsidP="00316D0E">
      <w:pPr>
        <w:widowControl/>
        <w:shd w:val="clear" w:color="auto" w:fill="FFFFFF"/>
        <w:spacing w:line="200" w:lineRule="exact"/>
        <w:jc w:val="center"/>
        <w:rPr>
          <w:rFonts w:ascii="方正小标宋简体" w:eastAsia="方正小标宋简体" w:hAnsi="仿宋"/>
          <w:color w:val="000000" w:themeColor="text1"/>
          <w:spacing w:val="-20"/>
          <w:kern w:val="0"/>
          <w:sz w:val="32"/>
          <w:szCs w:val="32"/>
        </w:rPr>
      </w:pPr>
    </w:p>
    <w:tbl>
      <w:tblPr>
        <w:tblW w:w="10354" w:type="dxa"/>
        <w:jc w:val="center"/>
        <w:tblInd w:w="-191" w:type="dxa"/>
        <w:tblLayout w:type="fixed"/>
        <w:tblLook w:val="0000" w:firstRow="0" w:lastRow="0" w:firstColumn="0" w:lastColumn="0" w:noHBand="0" w:noVBand="0"/>
      </w:tblPr>
      <w:tblGrid>
        <w:gridCol w:w="708"/>
        <w:gridCol w:w="1148"/>
        <w:gridCol w:w="945"/>
        <w:gridCol w:w="949"/>
        <w:gridCol w:w="897"/>
        <w:gridCol w:w="1751"/>
        <w:gridCol w:w="1752"/>
        <w:gridCol w:w="1539"/>
        <w:gridCol w:w="665"/>
      </w:tblGrid>
      <w:tr w:rsidR="00316D0E" w:rsidRPr="009479EF" w:rsidTr="000B10A3">
        <w:trPr>
          <w:trHeight w:val="21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序号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评分项（共40分）</w:t>
            </w:r>
          </w:p>
        </w:tc>
        <w:tc>
          <w:tcPr>
            <w:tcW w:w="5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参考分值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得分</w:t>
            </w:r>
          </w:p>
        </w:tc>
      </w:tr>
      <w:tr w:rsidR="00316D0E" w:rsidRPr="009479EF" w:rsidTr="000B10A3">
        <w:trPr>
          <w:trHeight w:val="305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0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食用农产品（食品）贮存服务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提供者贮存面积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（5分）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面积(㎡)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500以下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501-2000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2001以上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139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2.5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3.5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贮存的食用农产品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种类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21.5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分）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进口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12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分）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猪肉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2.5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10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牛羊肉（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2.5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8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88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禽肉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2.5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水产品（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2.5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鲜活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20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19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果蔬类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2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国产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(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9.5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分)</w:t>
            </w: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猪肉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（2分）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牛羊肉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（2分）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18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禽肉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（2分）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238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水产品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（2分）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鲜活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果蔬类（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1.5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283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贮存的食品种类（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13.5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分）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进口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8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分）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1"/>
                <w:szCs w:val="1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1"/>
                <w:szCs w:val="11"/>
              </w:rPr>
              <w:t>预包装食品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（5分）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10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特殊食品（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3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235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88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国产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5.5分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）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1"/>
                <w:szCs w:val="11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1"/>
                <w:szCs w:val="11"/>
              </w:rPr>
              <w:t>预包装食品</w:t>
            </w: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15"/>
                <w:szCs w:val="15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5"/>
                <w:szCs w:val="15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5"/>
                <w:szCs w:val="15"/>
              </w:rPr>
              <w:t>3.5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5"/>
                <w:szCs w:val="15"/>
              </w:rPr>
              <w:t>分））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特殊食品（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6"/>
                <w:szCs w:val="16"/>
              </w:rPr>
              <w:t>2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6"/>
                <w:szCs w:val="16"/>
              </w:rPr>
              <w:t>分）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7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316D0E" w:rsidRPr="009479EF" w:rsidTr="000B10A3">
        <w:trPr>
          <w:trHeight w:val="368"/>
          <w:jc w:val="center"/>
        </w:trPr>
        <w:tc>
          <w:tcPr>
            <w:tcW w:w="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316D0E" w:rsidRPr="009479EF" w:rsidRDefault="00316D0E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得分总和</w:t>
            </w:r>
          </w:p>
          <w:p w:rsidR="00316D0E" w:rsidRPr="009479EF" w:rsidRDefault="00316D0E" w:rsidP="000B10A3">
            <w:pPr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</w:p>
        </w:tc>
      </w:tr>
      <w:tr w:rsidR="00316D0E" w:rsidRPr="009479EF" w:rsidTr="000B10A3">
        <w:trPr>
          <w:trHeight w:val="94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备</w:t>
            </w:r>
          </w:p>
          <w:p w:rsidR="00316D0E" w:rsidRPr="009479EF" w:rsidRDefault="00316D0E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注</w:t>
            </w:r>
          </w:p>
        </w:tc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0E" w:rsidRPr="009479EF" w:rsidRDefault="00316D0E" w:rsidP="000B10A3">
            <w:pPr>
              <w:widowControl/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1.食用农产品（食品）贮存服务提供者是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指对外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提供食用农产品（食品）存储服务的各类生产经营者。</w:t>
            </w:r>
          </w:p>
          <w:p w:rsidR="00316D0E" w:rsidRPr="009479EF" w:rsidRDefault="00316D0E" w:rsidP="000B10A3">
            <w:pPr>
              <w:widowControl/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2.各评分总和为40分，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评分项因实际情况评分项因实际情况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同时存在多种选项的，得分为累加分；缺项的，</w:t>
            </w:r>
          </w:p>
          <w:p w:rsidR="00316D0E" w:rsidRPr="009479EF" w:rsidRDefault="00316D0E" w:rsidP="000B10A3">
            <w:pPr>
              <w:widowControl/>
              <w:spacing w:line="240" w:lineRule="exact"/>
              <w:ind w:firstLineChars="100" w:firstLine="200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得分为“0”。</w:t>
            </w:r>
          </w:p>
          <w:p w:rsidR="00316D0E" w:rsidRPr="009479EF" w:rsidRDefault="00316D0E" w:rsidP="000B10A3">
            <w:pPr>
              <w:widowControl/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3.“得分”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栏各项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得分按实际分值填写，可以有小数，但得分总和，应四舍五入取整。</w:t>
            </w:r>
          </w:p>
          <w:p w:rsidR="00316D0E" w:rsidRPr="009479EF" w:rsidRDefault="00316D0E" w:rsidP="000B10A3">
            <w:pPr>
              <w:widowControl/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4.“以上”、“以下”均包含本数。</w:t>
            </w:r>
          </w:p>
        </w:tc>
      </w:tr>
    </w:tbl>
    <w:p w:rsidR="006952D3" w:rsidRPr="00316D0E" w:rsidRDefault="006952D3">
      <w:bookmarkStart w:id="0" w:name="_GoBack"/>
      <w:bookmarkEnd w:id="0"/>
    </w:p>
    <w:sectPr w:rsidR="006952D3" w:rsidRPr="00316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EF" w:rsidRDefault="00A244EF" w:rsidP="00316D0E">
      <w:r>
        <w:separator/>
      </w:r>
    </w:p>
  </w:endnote>
  <w:endnote w:type="continuationSeparator" w:id="0">
    <w:p w:rsidR="00A244EF" w:rsidRDefault="00A244EF" w:rsidP="003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EF" w:rsidRDefault="00A244EF" w:rsidP="00316D0E">
      <w:r>
        <w:separator/>
      </w:r>
    </w:p>
  </w:footnote>
  <w:footnote w:type="continuationSeparator" w:id="0">
    <w:p w:rsidR="00A244EF" w:rsidRDefault="00A244EF" w:rsidP="00316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48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16D0E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244EF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72148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0E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6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6D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6D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6D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0E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6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6D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6D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6D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516</Characters>
  <Application>Microsoft Office Word</Application>
  <DocSecurity>0</DocSecurity>
  <Lines>24</Lines>
  <Paragraphs>15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2020-03-31T07:16:00Z</dcterms:created>
  <dcterms:modified xsi:type="dcterms:W3CDTF">2020-03-31T07:16:00Z</dcterms:modified>
</cp:coreProperties>
</file>