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11A" w:rsidRPr="009479EF" w:rsidRDefault="000F211A" w:rsidP="000F211A">
      <w:pPr>
        <w:widowControl/>
        <w:shd w:val="clear" w:color="auto" w:fill="FFFFFF"/>
        <w:spacing w:line="390" w:lineRule="atLeast"/>
        <w:rPr>
          <w:rFonts w:ascii="方正小标宋简体" w:eastAsia="方正小标宋简体" w:hAnsi="仿宋"/>
          <w:color w:val="000000" w:themeColor="text1"/>
          <w:kern w:val="0"/>
          <w:sz w:val="32"/>
          <w:szCs w:val="32"/>
        </w:rPr>
      </w:pPr>
      <w:r w:rsidRPr="009479EF">
        <w:rPr>
          <w:rFonts w:ascii="方正小标宋简体" w:eastAsia="方正小标宋简体" w:hAnsi="仿宋" w:hint="eastAsia"/>
          <w:color w:val="000000" w:themeColor="text1"/>
          <w:kern w:val="0"/>
          <w:sz w:val="32"/>
          <w:szCs w:val="32"/>
        </w:rPr>
        <w:t>附件15</w:t>
      </w:r>
    </w:p>
    <w:p w:rsidR="000F211A" w:rsidRPr="009479EF" w:rsidRDefault="000F211A" w:rsidP="000F211A">
      <w:pPr>
        <w:widowControl/>
        <w:shd w:val="clear" w:color="auto" w:fill="FFFFFF"/>
        <w:spacing w:line="400" w:lineRule="exact"/>
        <w:jc w:val="center"/>
        <w:rPr>
          <w:rFonts w:ascii="方正小标宋简体" w:eastAsia="方正小标宋简体" w:hAnsi="仿宋"/>
          <w:color w:val="000000" w:themeColor="text1"/>
          <w:spacing w:val="-20"/>
          <w:kern w:val="0"/>
          <w:sz w:val="32"/>
          <w:szCs w:val="32"/>
        </w:rPr>
      </w:pPr>
      <w:r w:rsidRPr="009479EF">
        <w:rPr>
          <w:rFonts w:ascii="方正小标宋简体" w:eastAsia="方正小标宋简体" w:hAnsi="仿宋" w:hint="eastAsia"/>
          <w:color w:val="000000" w:themeColor="text1"/>
          <w:spacing w:val="-20"/>
          <w:kern w:val="0"/>
          <w:sz w:val="32"/>
          <w:szCs w:val="32"/>
        </w:rPr>
        <w:t>食用农产品（食品）贮存服务提供者动态风险因素量化分值表</w:t>
      </w:r>
    </w:p>
    <w:p w:rsidR="000F211A" w:rsidRPr="009479EF" w:rsidRDefault="000F211A" w:rsidP="000F211A">
      <w:pPr>
        <w:widowControl/>
        <w:shd w:val="clear" w:color="auto" w:fill="FFFFFF"/>
        <w:spacing w:line="400" w:lineRule="exact"/>
        <w:jc w:val="center"/>
        <w:rPr>
          <w:rFonts w:ascii="方正小标宋简体" w:eastAsia="方正小标宋简体" w:hAnsi="仿宋"/>
          <w:color w:val="000000" w:themeColor="text1"/>
          <w:kern w:val="0"/>
          <w:sz w:val="32"/>
          <w:szCs w:val="32"/>
        </w:rPr>
      </w:pPr>
      <w:r w:rsidRPr="009479EF">
        <w:rPr>
          <w:rFonts w:ascii="方正小标宋简体" w:eastAsia="方正小标宋简体" w:hAnsi="仿宋" w:hint="eastAsia"/>
          <w:color w:val="000000" w:themeColor="text1"/>
          <w:kern w:val="0"/>
          <w:sz w:val="32"/>
          <w:szCs w:val="32"/>
        </w:rPr>
        <w:t>（食用农产品（食品）贮存服务提供者日常监督检查要点表）</w:t>
      </w:r>
    </w:p>
    <w:p w:rsidR="000F211A" w:rsidRPr="009479EF" w:rsidRDefault="000F211A" w:rsidP="000F211A">
      <w:pPr>
        <w:widowControl/>
        <w:shd w:val="clear" w:color="auto" w:fill="FFFFFF"/>
        <w:spacing w:line="400" w:lineRule="exact"/>
        <w:jc w:val="center"/>
        <w:rPr>
          <w:rFonts w:ascii="方正小标宋简体" w:eastAsia="方正小标宋简体" w:hAnsi="仿宋"/>
          <w:color w:val="000000" w:themeColor="text1"/>
          <w:kern w:val="0"/>
          <w:sz w:val="32"/>
          <w:szCs w:val="32"/>
        </w:rPr>
      </w:pPr>
    </w:p>
    <w:p w:rsidR="000F211A" w:rsidRPr="009479EF" w:rsidRDefault="000F211A" w:rsidP="000F211A">
      <w:pPr>
        <w:ind w:leftChars="-135" w:left="-283"/>
        <w:rPr>
          <w:rFonts w:ascii="仿宋" w:eastAsia="仿宋" w:hAnsi="仿宋"/>
          <w:b/>
          <w:color w:val="000000" w:themeColor="text1"/>
          <w:sz w:val="32"/>
          <w:szCs w:val="32"/>
        </w:rPr>
      </w:pPr>
      <w:r w:rsidRPr="009479EF">
        <w:rPr>
          <w:rFonts w:ascii="仿宋" w:eastAsia="仿宋" w:hAnsi="仿宋"/>
          <w:color w:val="000000" w:themeColor="text1"/>
          <w:sz w:val="20"/>
          <w:szCs w:val="20"/>
        </w:rPr>
        <w:t>被评定人：　　　　　　　　　　　　　　　　　　　　　　　　　　　　评定时间：</w:t>
      </w:r>
    </w:p>
    <w:tbl>
      <w:tblPr>
        <w:tblW w:w="9998" w:type="dxa"/>
        <w:jc w:val="center"/>
        <w:tblLayout w:type="fixed"/>
        <w:tblLook w:val="0000" w:firstRow="0" w:lastRow="0" w:firstColumn="0" w:lastColumn="0" w:noHBand="0" w:noVBand="0"/>
      </w:tblPr>
      <w:tblGrid>
        <w:gridCol w:w="1393"/>
        <w:gridCol w:w="19"/>
        <w:gridCol w:w="798"/>
        <w:gridCol w:w="5728"/>
        <w:gridCol w:w="1260"/>
        <w:gridCol w:w="800"/>
      </w:tblGrid>
      <w:tr w:rsidR="000F211A" w:rsidRPr="009479EF" w:rsidTr="000B10A3">
        <w:trPr>
          <w:trHeight w:val="559"/>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检查项目</w:t>
            </w:r>
          </w:p>
        </w:tc>
        <w:tc>
          <w:tcPr>
            <w:tcW w:w="798" w:type="dxa"/>
            <w:tcBorders>
              <w:top w:val="single" w:sz="4" w:space="0" w:color="auto"/>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序号</w:t>
            </w:r>
          </w:p>
        </w:tc>
        <w:tc>
          <w:tcPr>
            <w:tcW w:w="5728" w:type="dxa"/>
            <w:tcBorders>
              <w:top w:val="single" w:sz="4" w:space="0" w:color="auto"/>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检查内容</w:t>
            </w:r>
          </w:p>
        </w:tc>
        <w:tc>
          <w:tcPr>
            <w:tcW w:w="1260" w:type="dxa"/>
            <w:tcBorders>
              <w:top w:val="single" w:sz="4" w:space="0" w:color="auto"/>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b/>
                <w:color w:val="000000" w:themeColor="text1"/>
                <w:kern w:val="0"/>
                <w:sz w:val="20"/>
                <w:szCs w:val="20"/>
              </w:rPr>
            </w:pPr>
            <w:r w:rsidRPr="009479EF">
              <w:rPr>
                <w:rFonts w:ascii="仿宋" w:eastAsia="仿宋" w:hAnsi="仿宋" w:hint="eastAsia"/>
                <w:b/>
                <w:color w:val="000000" w:themeColor="text1"/>
                <w:kern w:val="0"/>
                <w:sz w:val="20"/>
                <w:szCs w:val="20"/>
              </w:rPr>
              <w:t>检查结果</w:t>
            </w:r>
          </w:p>
        </w:tc>
        <w:tc>
          <w:tcPr>
            <w:tcW w:w="800" w:type="dxa"/>
            <w:tcBorders>
              <w:top w:val="single" w:sz="4" w:space="0" w:color="auto"/>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分值</w:t>
            </w:r>
          </w:p>
        </w:tc>
      </w:tr>
      <w:tr w:rsidR="000F211A" w:rsidRPr="009479EF" w:rsidTr="000B10A3">
        <w:trPr>
          <w:trHeight w:val="142"/>
          <w:jc w:val="center"/>
        </w:trPr>
        <w:tc>
          <w:tcPr>
            <w:tcW w:w="1412" w:type="dxa"/>
            <w:gridSpan w:val="2"/>
            <w:tcBorders>
              <w:top w:val="nil"/>
              <w:left w:val="single" w:sz="4" w:space="0" w:color="auto"/>
              <w:bottom w:val="nil"/>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1.主体资格</w:t>
            </w: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1.1</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食用农产品（食品）贮存提供者持有的营业执照合法有效。</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8</w:t>
            </w:r>
          </w:p>
        </w:tc>
      </w:tr>
      <w:tr w:rsidR="000F211A" w:rsidRPr="009479EF" w:rsidTr="000B10A3">
        <w:trPr>
          <w:trHeight w:val="543"/>
          <w:jc w:val="center"/>
        </w:trPr>
        <w:tc>
          <w:tcPr>
            <w:tcW w:w="1412" w:type="dxa"/>
            <w:gridSpan w:val="2"/>
            <w:vMerge w:val="restart"/>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2.经营过程控制情况</w:t>
            </w: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2.1</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如实向所在地市场监管部门报告其名称、地址、法定代表人或者负责人姓名、营业执照或者身份证号码、联系方式以及所提供服务的销售者名称、贮存的食用农产品品种、数量等信息。</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w:t>
            </w:r>
          </w:p>
        </w:tc>
      </w:tr>
      <w:tr w:rsidR="000F211A" w:rsidRPr="009479EF" w:rsidTr="000B10A3">
        <w:trPr>
          <w:trHeight w:val="653"/>
          <w:jc w:val="center"/>
        </w:trPr>
        <w:tc>
          <w:tcPr>
            <w:tcW w:w="1412" w:type="dxa"/>
            <w:gridSpan w:val="2"/>
            <w:vMerge/>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2.2</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建立并落实食用农产品进</w:t>
            </w:r>
            <w:proofErr w:type="gramStart"/>
            <w:r w:rsidRPr="009479EF">
              <w:rPr>
                <w:rFonts w:ascii="仿宋" w:eastAsia="仿宋" w:hAnsi="仿宋"/>
                <w:color w:val="000000" w:themeColor="text1"/>
                <w:kern w:val="0"/>
                <w:sz w:val="20"/>
                <w:szCs w:val="20"/>
              </w:rPr>
              <w:t>出货台</w:t>
            </w:r>
            <w:proofErr w:type="gramEnd"/>
            <w:r w:rsidRPr="009479EF">
              <w:rPr>
                <w:rFonts w:ascii="仿宋" w:eastAsia="仿宋" w:hAnsi="仿宋"/>
                <w:color w:val="000000" w:themeColor="text1"/>
                <w:kern w:val="0"/>
                <w:sz w:val="20"/>
                <w:szCs w:val="20"/>
              </w:rPr>
              <w:t>帐制度，查验所提供服务的销售者的主体资质和食用农产品产地或者来源证明、合格证明文件，记录食用农产品的品名、产地、贮存日期、出货日期、销售者的名称或姓名、联系方式等。</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w:t>
            </w:r>
          </w:p>
        </w:tc>
      </w:tr>
      <w:tr w:rsidR="000F211A" w:rsidRPr="009479EF" w:rsidTr="000B10A3">
        <w:trPr>
          <w:trHeight w:val="70"/>
          <w:jc w:val="center"/>
        </w:trPr>
        <w:tc>
          <w:tcPr>
            <w:tcW w:w="1412" w:type="dxa"/>
            <w:gridSpan w:val="2"/>
            <w:vMerge/>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2.3</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食用农产品的进</w:t>
            </w:r>
            <w:proofErr w:type="gramStart"/>
            <w:r w:rsidRPr="009479EF">
              <w:rPr>
                <w:rFonts w:ascii="仿宋" w:eastAsia="仿宋" w:hAnsi="仿宋"/>
                <w:color w:val="000000" w:themeColor="text1"/>
                <w:kern w:val="0"/>
                <w:sz w:val="20"/>
                <w:szCs w:val="20"/>
              </w:rPr>
              <w:t>出货台</w:t>
            </w:r>
            <w:proofErr w:type="gramEnd"/>
            <w:r w:rsidRPr="009479EF">
              <w:rPr>
                <w:rFonts w:ascii="仿宋" w:eastAsia="仿宋" w:hAnsi="仿宋"/>
                <w:color w:val="000000" w:themeColor="text1"/>
                <w:kern w:val="0"/>
                <w:sz w:val="20"/>
                <w:szCs w:val="20"/>
              </w:rPr>
              <w:t>账和相关证明材料保存六个月以上。</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w:t>
            </w:r>
          </w:p>
        </w:tc>
      </w:tr>
      <w:tr w:rsidR="000F211A" w:rsidRPr="009479EF" w:rsidTr="000B10A3">
        <w:trPr>
          <w:trHeight w:val="156"/>
          <w:jc w:val="center"/>
        </w:trPr>
        <w:tc>
          <w:tcPr>
            <w:tcW w:w="1412" w:type="dxa"/>
            <w:gridSpan w:val="2"/>
            <w:vMerge/>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2.4</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有保证贮存食用农产品质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的容器、工具和设备并保持清洁，防止污染。</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w:t>
            </w:r>
          </w:p>
        </w:tc>
      </w:tr>
      <w:tr w:rsidR="000F211A" w:rsidRPr="009479EF" w:rsidTr="000B10A3">
        <w:trPr>
          <w:trHeight w:val="70"/>
          <w:jc w:val="center"/>
        </w:trPr>
        <w:tc>
          <w:tcPr>
            <w:tcW w:w="1412" w:type="dxa"/>
            <w:gridSpan w:val="2"/>
            <w:vMerge/>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2.5</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保证食用农产品（食品）质量安全所需的温度、湿度和环境等特殊要求。</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w:t>
            </w:r>
          </w:p>
        </w:tc>
      </w:tr>
      <w:tr w:rsidR="000F211A" w:rsidRPr="009479EF" w:rsidTr="000B10A3">
        <w:trPr>
          <w:trHeight w:val="70"/>
          <w:jc w:val="center"/>
        </w:trPr>
        <w:tc>
          <w:tcPr>
            <w:tcW w:w="1412" w:type="dxa"/>
            <w:gridSpan w:val="2"/>
            <w:vMerge/>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2.6</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不将食用农产品（食品）与有毒、有害物品一同贮存。</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8</w:t>
            </w:r>
          </w:p>
        </w:tc>
      </w:tr>
      <w:tr w:rsidR="000F211A" w:rsidRPr="009479EF" w:rsidTr="000B10A3">
        <w:trPr>
          <w:trHeight w:val="70"/>
          <w:jc w:val="center"/>
        </w:trPr>
        <w:tc>
          <w:tcPr>
            <w:tcW w:w="1412" w:type="dxa"/>
            <w:gridSpan w:val="2"/>
            <w:vMerge/>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2.7</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贮存肉类冻品查验并留存检疫合格证明、肉类检验合格证明等证明文件。</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w:t>
            </w:r>
          </w:p>
        </w:tc>
      </w:tr>
      <w:tr w:rsidR="000F211A" w:rsidRPr="009479EF" w:rsidTr="000B10A3">
        <w:trPr>
          <w:trHeight w:val="130"/>
          <w:jc w:val="center"/>
        </w:trPr>
        <w:tc>
          <w:tcPr>
            <w:tcW w:w="1412" w:type="dxa"/>
            <w:gridSpan w:val="2"/>
            <w:vMerge/>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2.8</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贮存进口食用农产品查验并记录海关出具的入境货物检验检疫证明等证明文件。</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w:t>
            </w:r>
          </w:p>
        </w:tc>
      </w:tr>
      <w:tr w:rsidR="000F211A" w:rsidRPr="009479EF" w:rsidTr="000B10A3">
        <w:trPr>
          <w:trHeight w:val="112"/>
          <w:jc w:val="center"/>
        </w:trPr>
        <w:tc>
          <w:tcPr>
            <w:tcW w:w="1412" w:type="dxa"/>
            <w:gridSpan w:val="2"/>
            <w:vMerge/>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2.9</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定期检查库存食用农产品。</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w:t>
            </w:r>
          </w:p>
        </w:tc>
      </w:tr>
      <w:tr w:rsidR="000F211A" w:rsidRPr="009479EF" w:rsidTr="000B10A3">
        <w:trPr>
          <w:trHeight w:val="298"/>
          <w:jc w:val="center"/>
        </w:trPr>
        <w:tc>
          <w:tcPr>
            <w:tcW w:w="1412" w:type="dxa"/>
            <w:gridSpan w:val="2"/>
            <w:vMerge/>
            <w:tcBorders>
              <w:top w:val="single" w:sz="4" w:space="0" w:color="auto"/>
              <w:left w:val="single" w:sz="4" w:space="0" w:color="auto"/>
              <w:bottom w:val="single" w:sz="4" w:space="0" w:color="000000"/>
              <w:right w:val="single" w:sz="4" w:space="0" w:color="auto"/>
            </w:tcBorders>
            <w:vAlign w:val="center"/>
          </w:tcPr>
          <w:p w:rsidR="000F211A" w:rsidRPr="009479EF" w:rsidRDefault="000F211A" w:rsidP="000B10A3">
            <w:pPr>
              <w:widowControl/>
              <w:spacing w:line="280" w:lineRule="exact"/>
              <w:jc w:val="left"/>
              <w:rPr>
                <w:rFonts w:ascii="仿宋" w:eastAsia="仿宋" w:hAnsi="仿宋"/>
                <w:color w:val="000000" w:themeColor="text1"/>
                <w:kern w:val="0"/>
                <w:sz w:val="20"/>
                <w:szCs w:val="20"/>
              </w:rPr>
            </w:pPr>
          </w:p>
        </w:tc>
        <w:tc>
          <w:tcPr>
            <w:tcW w:w="79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2.10</w:t>
            </w:r>
          </w:p>
        </w:tc>
        <w:tc>
          <w:tcPr>
            <w:tcW w:w="5728"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发现销售者有违法行为的，及时制止并立即报告所在地市场监管部门。</w:t>
            </w:r>
          </w:p>
        </w:tc>
        <w:tc>
          <w:tcPr>
            <w:tcW w:w="126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00" w:type="dxa"/>
            <w:tcBorders>
              <w:top w:val="nil"/>
              <w:left w:val="nil"/>
              <w:bottom w:val="single" w:sz="4" w:space="0" w:color="auto"/>
              <w:right w:val="single" w:sz="4" w:space="0" w:color="auto"/>
            </w:tcBorders>
            <w:vAlign w:val="center"/>
          </w:tcPr>
          <w:p w:rsidR="000F211A" w:rsidRPr="009479EF" w:rsidRDefault="000F211A"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w:t>
            </w:r>
          </w:p>
        </w:tc>
      </w:tr>
      <w:tr w:rsidR="000F211A" w:rsidRPr="009479EF" w:rsidTr="000B10A3">
        <w:trPr>
          <w:trHeight w:val="813"/>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rsidR="000F211A" w:rsidRPr="009479EF" w:rsidRDefault="000F211A"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得分总和</w:t>
            </w:r>
          </w:p>
          <w:p w:rsidR="000F211A" w:rsidRPr="009479EF" w:rsidRDefault="000F211A"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w:t>
            </w:r>
            <w:r w:rsidRPr="009479EF">
              <w:rPr>
                <w:rFonts w:ascii="仿宋" w:eastAsia="仿宋" w:hAnsi="仿宋"/>
                <w:color w:val="000000" w:themeColor="text1"/>
                <w:kern w:val="0"/>
                <w:sz w:val="20"/>
                <w:szCs w:val="20"/>
              </w:rPr>
              <w:t>60分）</w:t>
            </w:r>
          </w:p>
        </w:tc>
        <w:tc>
          <w:tcPr>
            <w:tcW w:w="8586" w:type="dxa"/>
            <w:gridSpan w:val="4"/>
            <w:tcBorders>
              <w:top w:val="nil"/>
              <w:left w:val="nil"/>
              <w:bottom w:val="single" w:sz="4" w:space="0" w:color="auto"/>
              <w:right w:val="single" w:sz="4" w:space="0" w:color="auto"/>
            </w:tcBorders>
            <w:vAlign w:val="center"/>
          </w:tcPr>
          <w:p w:rsidR="000F211A" w:rsidRPr="009479EF" w:rsidRDefault="000F211A" w:rsidP="000B10A3">
            <w:pPr>
              <w:widowControl/>
              <w:jc w:val="center"/>
              <w:rPr>
                <w:rFonts w:ascii="仿宋" w:eastAsia="仿宋" w:hAnsi="仿宋"/>
                <w:color w:val="000000" w:themeColor="text1"/>
                <w:kern w:val="0"/>
                <w:sz w:val="20"/>
                <w:szCs w:val="20"/>
              </w:rPr>
            </w:pPr>
          </w:p>
        </w:tc>
      </w:tr>
      <w:tr w:rsidR="000F211A" w:rsidRPr="009479EF" w:rsidTr="000B10A3">
        <w:trPr>
          <w:trHeight w:val="1128"/>
          <w:jc w:val="center"/>
        </w:trPr>
        <w:tc>
          <w:tcPr>
            <w:tcW w:w="9998" w:type="dxa"/>
            <w:gridSpan w:val="6"/>
            <w:tcBorders>
              <w:top w:val="single" w:sz="4" w:space="0" w:color="auto"/>
              <w:left w:val="single" w:sz="4" w:space="0" w:color="auto"/>
              <w:bottom w:val="single" w:sz="4" w:space="0" w:color="auto"/>
              <w:right w:val="single" w:sz="4" w:space="0" w:color="auto"/>
            </w:tcBorders>
          </w:tcPr>
          <w:p w:rsidR="000F211A" w:rsidRPr="009479EF" w:rsidRDefault="000F211A" w:rsidP="000B10A3">
            <w:pPr>
              <w:rPr>
                <w:rFonts w:ascii="仿宋" w:eastAsia="仿宋" w:hAnsi="仿宋" w:cs="宋体"/>
                <w:color w:val="000000" w:themeColor="text1"/>
              </w:rPr>
            </w:pPr>
            <w:r w:rsidRPr="009479EF">
              <w:rPr>
                <w:rFonts w:ascii="仿宋" w:eastAsia="仿宋" w:hAnsi="仿宋" w:cs="宋体" w:hint="eastAsia"/>
                <w:color w:val="000000" w:themeColor="text1"/>
                <w:kern w:val="0"/>
                <w:sz w:val="18"/>
                <w:szCs w:val="18"/>
              </w:rPr>
              <w:t>其他需要记录的问题：</w:t>
            </w:r>
          </w:p>
        </w:tc>
      </w:tr>
      <w:tr w:rsidR="000F211A" w:rsidRPr="009479EF" w:rsidTr="000B10A3">
        <w:trPr>
          <w:trHeight w:val="1128"/>
          <w:jc w:val="center"/>
        </w:trPr>
        <w:tc>
          <w:tcPr>
            <w:tcW w:w="1393" w:type="dxa"/>
            <w:tcBorders>
              <w:top w:val="single" w:sz="4" w:space="0" w:color="auto"/>
              <w:left w:val="single" w:sz="4" w:space="0" w:color="auto"/>
              <w:bottom w:val="single" w:sz="4" w:space="0" w:color="auto"/>
              <w:right w:val="single" w:sz="4" w:space="0" w:color="auto"/>
            </w:tcBorders>
            <w:vAlign w:val="center"/>
          </w:tcPr>
          <w:p w:rsidR="000F211A" w:rsidRPr="009479EF" w:rsidRDefault="000F211A" w:rsidP="000B10A3">
            <w:pPr>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备</w:t>
            </w:r>
          </w:p>
          <w:p w:rsidR="000F211A" w:rsidRPr="009479EF" w:rsidRDefault="000F211A" w:rsidP="000B10A3">
            <w:pPr>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注</w:t>
            </w:r>
          </w:p>
          <w:p w:rsidR="000F211A" w:rsidRPr="009479EF" w:rsidRDefault="000F211A" w:rsidP="000B10A3">
            <w:pPr>
              <w:jc w:val="center"/>
              <w:rPr>
                <w:rFonts w:ascii="仿宋" w:eastAsia="仿宋" w:hAnsi="仿宋" w:cs="宋体"/>
                <w:color w:val="000000" w:themeColor="text1"/>
                <w:kern w:val="0"/>
                <w:sz w:val="18"/>
                <w:szCs w:val="18"/>
              </w:rPr>
            </w:pPr>
          </w:p>
        </w:tc>
        <w:tc>
          <w:tcPr>
            <w:tcW w:w="8605" w:type="dxa"/>
            <w:gridSpan w:val="5"/>
            <w:tcBorders>
              <w:top w:val="single" w:sz="4" w:space="0" w:color="auto"/>
              <w:left w:val="single" w:sz="4" w:space="0" w:color="auto"/>
              <w:bottom w:val="single" w:sz="4" w:space="0" w:color="auto"/>
              <w:right w:val="single" w:sz="4" w:space="0" w:color="auto"/>
            </w:tcBorders>
          </w:tcPr>
          <w:p w:rsidR="000F211A" w:rsidRPr="009479EF" w:rsidRDefault="000F211A" w:rsidP="000B10A3">
            <w:pPr>
              <w:ind w:left="200" w:hangingChars="100" w:hanging="200"/>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1.食用农产品（食品）贮存服务提供者是</w:t>
            </w:r>
            <w:proofErr w:type="gramStart"/>
            <w:r w:rsidRPr="009479EF">
              <w:rPr>
                <w:rFonts w:ascii="仿宋" w:eastAsia="仿宋" w:hAnsi="仿宋"/>
                <w:color w:val="000000" w:themeColor="text1"/>
                <w:kern w:val="0"/>
                <w:sz w:val="20"/>
                <w:szCs w:val="20"/>
              </w:rPr>
              <w:t>指对外</w:t>
            </w:r>
            <w:proofErr w:type="gramEnd"/>
            <w:r w:rsidRPr="009479EF">
              <w:rPr>
                <w:rFonts w:ascii="仿宋" w:eastAsia="仿宋" w:hAnsi="仿宋"/>
                <w:color w:val="000000" w:themeColor="text1"/>
                <w:kern w:val="0"/>
                <w:sz w:val="20"/>
                <w:szCs w:val="20"/>
              </w:rPr>
              <w:t>提供食用农产品（食品）存储服务的各类生产经营者。</w:t>
            </w:r>
          </w:p>
          <w:p w:rsidR="000F211A" w:rsidRPr="009479EF" w:rsidRDefault="000F211A" w:rsidP="000B10A3">
            <w:pPr>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2.各评分总和为60分，选择“否”，得分，选择“是”或者“合理缺项”，不得分。</w:t>
            </w:r>
          </w:p>
          <w:p w:rsidR="000F211A" w:rsidRPr="009479EF" w:rsidRDefault="000F211A" w:rsidP="000B10A3">
            <w:pPr>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w:t>
            </w:r>
            <w:r w:rsidRPr="009479EF">
              <w:rPr>
                <w:rFonts w:ascii="仿宋" w:eastAsia="仿宋" w:hAnsi="仿宋" w:hint="eastAsia"/>
                <w:color w:val="000000" w:themeColor="text1"/>
                <w:kern w:val="0"/>
                <w:sz w:val="20"/>
                <w:szCs w:val="20"/>
              </w:rPr>
              <w:t>日常监督检查共11</w:t>
            </w:r>
            <w:r w:rsidRPr="009479EF">
              <w:rPr>
                <w:rFonts w:ascii="仿宋" w:eastAsia="仿宋" w:hAnsi="仿宋"/>
                <w:color w:val="000000" w:themeColor="text1"/>
                <w:kern w:val="0"/>
                <w:sz w:val="20"/>
                <w:szCs w:val="20"/>
              </w:rPr>
              <w:t>项检查内容，重点项（检查序号中打★号项）</w:t>
            </w:r>
            <w:r w:rsidRPr="009479EF">
              <w:rPr>
                <w:rFonts w:ascii="仿宋" w:eastAsia="仿宋" w:hAnsi="仿宋" w:hint="eastAsia"/>
                <w:color w:val="000000" w:themeColor="text1"/>
                <w:kern w:val="0"/>
                <w:sz w:val="20"/>
                <w:szCs w:val="20"/>
              </w:rPr>
              <w:t>10</w:t>
            </w:r>
            <w:r w:rsidRPr="009479EF">
              <w:rPr>
                <w:rFonts w:ascii="仿宋" w:eastAsia="仿宋" w:hAnsi="仿宋"/>
                <w:color w:val="000000" w:themeColor="text1"/>
                <w:kern w:val="0"/>
                <w:sz w:val="20"/>
                <w:szCs w:val="20"/>
              </w:rPr>
              <w:t>项，一般项</w:t>
            </w:r>
            <w:r w:rsidRPr="009479EF">
              <w:rPr>
                <w:rFonts w:ascii="仿宋" w:eastAsia="仿宋" w:hAnsi="仿宋" w:hint="eastAsia"/>
                <w:color w:val="000000" w:themeColor="text1"/>
                <w:kern w:val="0"/>
                <w:sz w:val="20"/>
                <w:szCs w:val="20"/>
              </w:rPr>
              <w:t>1</w:t>
            </w:r>
            <w:r w:rsidRPr="009479EF">
              <w:rPr>
                <w:rFonts w:ascii="仿宋" w:eastAsia="仿宋" w:hAnsi="仿宋"/>
                <w:color w:val="000000" w:themeColor="text1"/>
                <w:kern w:val="0"/>
                <w:sz w:val="20"/>
                <w:szCs w:val="20"/>
              </w:rPr>
              <w:t>项。</w:t>
            </w:r>
          </w:p>
          <w:p w:rsidR="000F211A" w:rsidRPr="009479EF" w:rsidRDefault="000F211A" w:rsidP="000B10A3">
            <w:pPr>
              <w:ind w:left="200" w:hangingChars="100" w:hanging="200"/>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4.检查结果判定方法：①符合，检查中未发现问题；②基本符合，一般项1</w:t>
            </w:r>
            <w:r w:rsidRPr="009479EF">
              <w:rPr>
                <w:rFonts w:ascii="仿宋" w:eastAsia="仿宋" w:hAnsi="仿宋"/>
                <w:color w:val="000000" w:themeColor="text1"/>
                <w:kern w:val="0"/>
                <w:sz w:val="20"/>
                <w:szCs w:val="20"/>
              </w:rPr>
              <w:t>项不合格；③不符合，重点项1项（含）以上不合格。</w:t>
            </w:r>
          </w:p>
        </w:tc>
      </w:tr>
    </w:tbl>
    <w:p w:rsidR="006952D3" w:rsidRPr="000F211A" w:rsidRDefault="006952D3">
      <w:bookmarkStart w:id="0" w:name="_GoBack"/>
      <w:bookmarkEnd w:id="0"/>
    </w:p>
    <w:sectPr w:rsidR="006952D3" w:rsidRPr="000F21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67F" w:rsidRDefault="00C8467F" w:rsidP="000F211A">
      <w:r>
        <w:separator/>
      </w:r>
    </w:p>
  </w:endnote>
  <w:endnote w:type="continuationSeparator" w:id="0">
    <w:p w:rsidR="00C8467F" w:rsidRDefault="00C8467F" w:rsidP="000F2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67F" w:rsidRDefault="00C8467F" w:rsidP="000F211A">
      <w:r>
        <w:separator/>
      </w:r>
    </w:p>
  </w:footnote>
  <w:footnote w:type="continuationSeparator" w:id="0">
    <w:p w:rsidR="00C8467F" w:rsidRDefault="00C8467F" w:rsidP="000F21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DD"/>
    <w:rsid w:val="0001197F"/>
    <w:rsid w:val="00035797"/>
    <w:rsid w:val="00055714"/>
    <w:rsid w:val="000A466E"/>
    <w:rsid w:val="000C03F9"/>
    <w:rsid w:val="000C2F8B"/>
    <w:rsid w:val="000D2429"/>
    <w:rsid w:val="000F211A"/>
    <w:rsid w:val="00102020"/>
    <w:rsid w:val="00121C06"/>
    <w:rsid w:val="00137B49"/>
    <w:rsid w:val="00140AF3"/>
    <w:rsid w:val="00163019"/>
    <w:rsid w:val="001D00EF"/>
    <w:rsid w:val="001F3B9F"/>
    <w:rsid w:val="0021105F"/>
    <w:rsid w:val="00223BB6"/>
    <w:rsid w:val="00271697"/>
    <w:rsid w:val="002800B6"/>
    <w:rsid w:val="0028099E"/>
    <w:rsid w:val="002D03AB"/>
    <w:rsid w:val="003129EA"/>
    <w:rsid w:val="00333545"/>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37BDD"/>
    <w:rsid w:val="00772C04"/>
    <w:rsid w:val="0078015F"/>
    <w:rsid w:val="00793A37"/>
    <w:rsid w:val="00794C0A"/>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900C1"/>
    <w:rsid w:val="00B972BE"/>
    <w:rsid w:val="00BD7F8B"/>
    <w:rsid w:val="00C048EE"/>
    <w:rsid w:val="00C061D8"/>
    <w:rsid w:val="00C12994"/>
    <w:rsid w:val="00C3571D"/>
    <w:rsid w:val="00C42C9F"/>
    <w:rsid w:val="00C44F99"/>
    <w:rsid w:val="00C4553A"/>
    <w:rsid w:val="00C8467F"/>
    <w:rsid w:val="00C860D7"/>
    <w:rsid w:val="00C926E6"/>
    <w:rsid w:val="00CA3165"/>
    <w:rsid w:val="00CA76B6"/>
    <w:rsid w:val="00CB7E07"/>
    <w:rsid w:val="00CE1A24"/>
    <w:rsid w:val="00CE6089"/>
    <w:rsid w:val="00D13D10"/>
    <w:rsid w:val="00D72537"/>
    <w:rsid w:val="00DF247C"/>
    <w:rsid w:val="00DF3D42"/>
    <w:rsid w:val="00E06AD6"/>
    <w:rsid w:val="00E17D16"/>
    <w:rsid w:val="00E41E3E"/>
    <w:rsid w:val="00EA15F3"/>
    <w:rsid w:val="00F125BA"/>
    <w:rsid w:val="00F44B71"/>
    <w:rsid w:val="00F5557F"/>
    <w:rsid w:val="00FB5EA5"/>
    <w:rsid w:val="00FE74A0"/>
    <w:rsid w:val="00FE7648"/>
    <w:rsid w:val="00FF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11A"/>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21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F211A"/>
    <w:rPr>
      <w:sz w:val="18"/>
      <w:szCs w:val="18"/>
    </w:rPr>
  </w:style>
  <w:style w:type="paragraph" w:styleId="a4">
    <w:name w:val="footer"/>
    <w:basedOn w:val="a"/>
    <w:link w:val="Char0"/>
    <w:uiPriority w:val="99"/>
    <w:unhideWhenUsed/>
    <w:rsid w:val="000F21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F211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11A"/>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21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F211A"/>
    <w:rPr>
      <w:sz w:val="18"/>
      <w:szCs w:val="18"/>
    </w:rPr>
  </w:style>
  <w:style w:type="paragraph" w:styleId="a4">
    <w:name w:val="footer"/>
    <w:basedOn w:val="a"/>
    <w:link w:val="Char0"/>
    <w:uiPriority w:val="99"/>
    <w:unhideWhenUsed/>
    <w:rsid w:val="000F21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F21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494</Characters>
  <Application>Microsoft Office Word</Application>
  <DocSecurity>0</DocSecurity>
  <Lines>23</Lines>
  <Paragraphs>14</Paragraphs>
  <ScaleCrop>false</ScaleCrop>
  <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霍廉</dc:creator>
  <cp:keywords/>
  <dc:description/>
  <cp:lastModifiedBy>霍廉</cp:lastModifiedBy>
  <cp:revision>2</cp:revision>
  <dcterms:created xsi:type="dcterms:W3CDTF">2020-03-31T06:59:00Z</dcterms:created>
  <dcterms:modified xsi:type="dcterms:W3CDTF">2020-03-31T06:59:00Z</dcterms:modified>
</cp:coreProperties>
</file>