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097" w:rsidRPr="009479EF" w:rsidRDefault="00725097" w:rsidP="00725097">
      <w:pPr>
        <w:widowControl/>
        <w:shd w:val="clear" w:color="auto" w:fill="FFFFFF"/>
        <w:spacing w:line="400" w:lineRule="exact"/>
        <w:jc w:val="left"/>
        <w:rPr>
          <w:rFonts w:ascii="方正小标宋简体" w:eastAsia="方正小标宋简体"/>
          <w:color w:val="000000" w:themeColor="text1"/>
          <w:kern w:val="0"/>
          <w:sz w:val="32"/>
          <w:szCs w:val="32"/>
        </w:rPr>
      </w:pPr>
      <w:r w:rsidRPr="009479EF">
        <w:rPr>
          <w:rFonts w:ascii="方正小标宋简体" w:eastAsia="方正小标宋简体" w:hAnsi="黑体" w:hint="eastAsia"/>
          <w:color w:val="000000" w:themeColor="text1"/>
          <w:kern w:val="0"/>
          <w:sz w:val="32"/>
          <w:szCs w:val="32"/>
        </w:rPr>
        <w:t>附件11</w:t>
      </w:r>
    </w:p>
    <w:p w:rsidR="00725097" w:rsidRPr="009479EF" w:rsidRDefault="00725097" w:rsidP="00725097">
      <w:pPr>
        <w:spacing w:line="400" w:lineRule="exact"/>
        <w:jc w:val="center"/>
        <w:rPr>
          <w:rFonts w:ascii="方正小标宋简体" w:eastAsia="方正小标宋简体"/>
          <w:color w:val="000000" w:themeColor="text1"/>
          <w:kern w:val="0"/>
          <w:sz w:val="32"/>
          <w:szCs w:val="32"/>
        </w:rPr>
      </w:pPr>
      <w:r w:rsidRPr="009479EF">
        <w:rPr>
          <w:rFonts w:ascii="方正小标宋简体" w:eastAsia="方正小标宋简体" w:hint="eastAsia"/>
          <w:color w:val="000000" w:themeColor="text1"/>
          <w:kern w:val="0"/>
          <w:sz w:val="32"/>
          <w:szCs w:val="32"/>
        </w:rPr>
        <w:t>食品销售者动态风险因素量化分值表</w:t>
      </w:r>
    </w:p>
    <w:p w:rsidR="00725097" w:rsidRPr="009479EF" w:rsidRDefault="00725097" w:rsidP="00725097">
      <w:pPr>
        <w:spacing w:line="400" w:lineRule="exact"/>
        <w:ind w:leftChars="-270" w:left="-567" w:firstLineChars="177" w:firstLine="566"/>
        <w:jc w:val="center"/>
        <w:rPr>
          <w:rFonts w:ascii="方正小标宋简体" w:eastAsia="方正小标宋简体"/>
          <w:color w:val="000000" w:themeColor="text1"/>
          <w:kern w:val="0"/>
          <w:sz w:val="32"/>
          <w:szCs w:val="32"/>
        </w:rPr>
      </w:pPr>
      <w:r w:rsidRPr="009479EF">
        <w:rPr>
          <w:rFonts w:ascii="方正小标宋简体" w:eastAsia="方正小标宋简体" w:hint="eastAsia"/>
          <w:color w:val="000000" w:themeColor="text1"/>
          <w:kern w:val="0"/>
          <w:sz w:val="32"/>
          <w:szCs w:val="32"/>
        </w:rPr>
        <w:t>（食品销售者日常监督检查要点表）</w:t>
      </w:r>
    </w:p>
    <w:p w:rsidR="00725097" w:rsidRPr="009479EF" w:rsidRDefault="00725097" w:rsidP="00725097">
      <w:pPr>
        <w:spacing w:line="400" w:lineRule="exact"/>
        <w:ind w:leftChars="-270" w:left="-567"/>
        <w:rPr>
          <w:rFonts w:ascii="方正小标宋简体" w:eastAsia="方正小标宋简体"/>
          <w:color w:val="000000" w:themeColor="text1"/>
          <w:kern w:val="0"/>
          <w:sz w:val="32"/>
          <w:szCs w:val="32"/>
        </w:rPr>
      </w:pPr>
      <w:r w:rsidRPr="009479EF">
        <w:rPr>
          <w:rFonts w:ascii="仿宋" w:eastAsia="仿宋" w:hAnsi="仿宋"/>
          <w:color w:val="000000" w:themeColor="text1"/>
          <w:sz w:val="20"/>
          <w:szCs w:val="20"/>
        </w:rPr>
        <w:t xml:space="preserve">被评定人：　　　　　　　　　　　　　　　　　　　　　　　　　　　　</w:t>
      </w:r>
      <w:r w:rsidRPr="009479EF">
        <w:rPr>
          <w:rFonts w:ascii="仿宋" w:eastAsia="仿宋" w:hAnsi="仿宋" w:hint="eastAsia"/>
          <w:color w:val="000000" w:themeColor="text1"/>
          <w:sz w:val="20"/>
          <w:szCs w:val="20"/>
        </w:rPr>
        <w:t xml:space="preserve">    </w:t>
      </w:r>
      <w:r w:rsidRPr="009479EF">
        <w:rPr>
          <w:rFonts w:ascii="仿宋" w:eastAsia="仿宋" w:hAnsi="仿宋"/>
          <w:color w:val="000000" w:themeColor="text1"/>
          <w:sz w:val="20"/>
          <w:szCs w:val="20"/>
        </w:rPr>
        <w:t>评定时间：</w:t>
      </w:r>
    </w:p>
    <w:tbl>
      <w:tblPr>
        <w:tblW w:w="10004" w:type="dxa"/>
        <w:jc w:val="center"/>
        <w:tblLayout w:type="fixed"/>
        <w:tblLook w:val="0000" w:firstRow="0" w:lastRow="0" w:firstColumn="0" w:lastColumn="0" w:noHBand="0" w:noVBand="0"/>
      </w:tblPr>
      <w:tblGrid>
        <w:gridCol w:w="951"/>
        <w:gridCol w:w="55"/>
        <w:gridCol w:w="850"/>
        <w:gridCol w:w="6042"/>
        <w:gridCol w:w="1277"/>
        <w:gridCol w:w="829"/>
      </w:tblGrid>
      <w:tr w:rsidR="00725097" w:rsidRPr="009479EF" w:rsidTr="000B10A3">
        <w:trPr>
          <w:trHeight w:val="492"/>
          <w:jc w:val="center"/>
        </w:trPr>
        <w:tc>
          <w:tcPr>
            <w:tcW w:w="951" w:type="dxa"/>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b/>
                <w:bCs/>
                <w:color w:val="000000" w:themeColor="text1"/>
                <w:kern w:val="0"/>
                <w:sz w:val="20"/>
                <w:szCs w:val="20"/>
              </w:rPr>
            </w:pPr>
            <w:r w:rsidRPr="009479EF">
              <w:rPr>
                <w:rFonts w:ascii="仿宋" w:eastAsia="仿宋" w:hAnsi="仿宋"/>
                <w:b/>
                <w:bCs/>
                <w:color w:val="000000" w:themeColor="text1"/>
                <w:kern w:val="0"/>
                <w:sz w:val="20"/>
                <w:szCs w:val="20"/>
              </w:rPr>
              <w:t>检查</w:t>
            </w:r>
          </w:p>
          <w:p w:rsidR="00725097" w:rsidRPr="009479EF" w:rsidRDefault="00725097" w:rsidP="000B10A3">
            <w:pPr>
              <w:widowControl/>
              <w:spacing w:line="280" w:lineRule="exact"/>
              <w:jc w:val="center"/>
              <w:rPr>
                <w:rFonts w:ascii="仿宋" w:eastAsia="仿宋" w:hAnsi="仿宋"/>
                <w:b/>
                <w:bCs/>
                <w:color w:val="000000" w:themeColor="text1"/>
                <w:kern w:val="0"/>
                <w:sz w:val="20"/>
                <w:szCs w:val="20"/>
              </w:rPr>
            </w:pPr>
            <w:r w:rsidRPr="009479EF">
              <w:rPr>
                <w:rFonts w:ascii="仿宋" w:eastAsia="仿宋" w:hAnsi="仿宋"/>
                <w:b/>
                <w:bCs/>
                <w:color w:val="000000" w:themeColor="text1"/>
                <w:kern w:val="0"/>
                <w:sz w:val="20"/>
                <w:szCs w:val="20"/>
              </w:rPr>
              <w:t>项目</w:t>
            </w: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b/>
                <w:bCs/>
                <w:color w:val="000000" w:themeColor="text1"/>
                <w:kern w:val="0"/>
                <w:sz w:val="20"/>
                <w:szCs w:val="20"/>
              </w:rPr>
            </w:pPr>
            <w:r w:rsidRPr="009479EF">
              <w:rPr>
                <w:rFonts w:ascii="仿宋" w:eastAsia="仿宋" w:hAnsi="仿宋"/>
                <w:b/>
                <w:bCs/>
                <w:color w:val="000000" w:themeColor="text1"/>
                <w:kern w:val="0"/>
                <w:sz w:val="20"/>
                <w:szCs w:val="20"/>
              </w:rPr>
              <w:t>序号</w:t>
            </w:r>
          </w:p>
        </w:tc>
        <w:tc>
          <w:tcPr>
            <w:tcW w:w="6042" w:type="dxa"/>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b/>
                <w:bCs/>
                <w:color w:val="000000" w:themeColor="text1"/>
                <w:kern w:val="0"/>
                <w:sz w:val="20"/>
                <w:szCs w:val="20"/>
              </w:rPr>
            </w:pPr>
            <w:r w:rsidRPr="009479EF">
              <w:rPr>
                <w:rFonts w:ascii="仿宋" w:eastAsia="仿宋" w:hAnsi="仿宋"/>
                <w:b/>
                <w:bCs/>
                <w:color w:val="000000" w:themeColor="text1"/>
                <w:kern w:val="0"/>
                <w:sz w:val="20"/>
                <w:szCs w:val="20"/>
              </w:rPr>
              <w:t>检  查  内  容</w:t>
            </w:r>
          </w:p>
        </w:tc>
        <w:tc>
          <w:tcPr>
            <w:tcW w:w="1277" w:type="dxa"/>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b/>
                <w:bCs/>
                <w:color w:val="000000" w:themeColor="text1"/>
                <w:kern w:val="0"/>
                <w:sz w:val="20"/>
                <w:szCs w:val="20"/>
              </w:rPr>
            </w:pPr>
            <w:r w:rsidRPr="009479EF">
              <w:rPr>
                <w:rFonts w:ascii="仿宋" w:eastAsia="仿宋" w:hAnsi="仿宋"/>
                <w:b/>
                <w:bCs/>
                <w:color w:val="000000" w:themeColor="text1"/>
                <w:kern w:val="0"/>
                <w:sz w:val="20"/>
                <w:szCs w:val="20"/>
              </w:rPr>
              <w:t>评价</w:t>
            </w:r>
          </w:p>
        </w:tc>
        <w:tc>
          <w:tcPr>
            <w:tcW w:w="829" w:type="dxa"/>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b/>
                <w:bCs/>
                <w:color w:val="000000" w:themeColor="text1"/>
                <w:kern w:val="0"/>
                <w:sz w:val="20"/>
                <w:szCs w:val="20"/>
              </w:rPr>
            </w:pPr>
            <w:r w:rsidRPr="009479EF">
              <w:rPr>
                <w:rFonts w:ascii="仿宋" w:eastAsia="仿宋" w:hAnsi="仿宋" w:hint="eastAsia"/>
                <w:b/>
                <w:bCs/>
                <w:color w:val="000000" w:themeColor="text1"/>
                <w:kern w:val="0"/>
                <w:sz w:val="20"/>
                <w:szCs w:val="20"/>
              </w:rPr>
              <w:t>分值</w:t>
            </w:r>
          </w:p>
        </w:tc>
      </w:tr>
      <w:tr w:rsidR="00725097" w:rsidRPr="009479EF" w:rsidTr="000B10A3">
        <w:trPr>
          <w:trHeight w:val="174"/>
          <w:jc w:val="center"/>
        </w:trPr>
        <w:tc>
          <w:tcPr>
            <w:tcW w:w="951" w:type="dxa"/>
            <w:vMerge w:val="restart"/>
            <w:tcBorders>
              <w:top w:val="nil"/>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1.经营资质</w:t>
            </w: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1.1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销售者持有的食品经营许可证合法有效</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206"/>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1.2</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食品经营许可证载明的有关内容与实际经营项目相符</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223"/>
          <w:jc w:val="center"/>
        </w:trPr>
        <w:tc>
          <w:tcPr>
            <w:tcW w:w="951" w:type="dxa"/>
            <w:vMerge/>
            <w:tcBorders>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1.3</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许可证悬挂或摆放在经营场所的醒目位置</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128"/>
          <w:jc w:val="center"/>
        </w:trPr>
        <w:tc>
          <w:tcPr>
            <w:tcW w:w="951" w:type="dxa"/>
            <w:vMerge w:val="restart"/>
            <w:tcBorders>
              <w:top w:val="nil"/>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2.经营条件</w:t>
            </w: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2.1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具有与销售的食品品种、数量相适应的场所</w:t>
            </w:r>
            <w:r w:rsidRPr="009479EF">
              <w:rPr>
                <w:rFonts w:ascii="仿宋" w:eastAsia="仿宋" w:hAnsi="仿宋" w:hint="eastAsia"/>
                <w:color w:val="000000" w:themeColor="text1"/>
                <w:kern w:val="0"/>
                <w:sz w:val="20"/>
                <w:szCs w:val="20"/>
              </w:rPr>
              <w:t>，销售场所环境干净整洁</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303"/>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2.2</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s="仿宋" w:hint="eastAsia"/>
                <w:color w:val="000000" w:themeColor="text1"/>
                <w:kern w:val="0"/>
                <w:szCs w:val="21"/>
              </w:rPr>
              <w:t>经营和贮存场所不得设在易污染区域，距离粪坑、污水池等污染源</w:t>
            </w:r>
            <w:r w:rsidRPr="009479EF">
              <w:rPr>
                <w:rFonts w:ascii="仿宋" w:eastAsia="仿宋" w:hAnsi="仿宋" w:cs="仿宋"/>
                <w:color w:val="000000" w:themeColor="text1"/>
                <w:kern w:val="0"/>
                <w:szCs w:val="21"/>
              </w:rPr>
              <w:t>25</w:t>
            </w:r>
            <w:r w:rsidRPr="009479EF">
              <w:rPr>
                <w:rFonts w:ascii="仿宋" w:eastAsia="仿宋" w:hAnsi="仿宋" w:cs="仿宋" w:hint="eastAsia"/>
                <w:color w:val="000000" w:themeColor="text1"/>
                <w:kern w:val="0"/>
                <w:szCs w:val="21"/>
              </w:rPr>
              <w:t>米以上</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412"/>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2.3</w:t>
            </w:r>
          </w:p>
        </w:tc>
        <w:tc>
          <w:tcPr>
            <w:tcW w:w="6042" w:type="dxa"/>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s="仿宋" w:hint="eastAsia"/>
                <w:color w:val="000000" w:themeColor="text1"/>
                <w:kern w:val="0"/>
                <w:szCs w:val="21"/>
              </w:rPr>
              <w:t>食品销售场所布局合理，食品和非食品、生食和熟食、水产品与其他食品等销售区域分开设置，有固定的存放位置和标识</w:t>
            </w:r>
          </w:p>
        </w:tc>
        <w:tc>
          <w:tcPr>
            <w:tcW w:w="1277" w:type="dxa"/>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b/>
                <w:color w:val="000000" w:themeColor="text1"/>
                <w:kern w:val="0"/>
                <w:sz w:val="16"/>
                <w:szCs w:val="16"/>
              </w:rPr>
            </w:pPr>
            <w:r w:rsidRPr="009479EF">
              <w:rPr>
                <w:rFonts w:ascii="仿宋" w:eastAsia="仿宋" w:hAnsi="仿宋"/>
                <w:color w:val="000000" w:themeColor="text1"/>
                <w:kern w:val="0"/>
                <w:sz w:val="20"/>
                <w:szCs w:val="20"/>
              </w:rPr>
              <w:t>□是 □否</w:t>
            </w:r>
          </w:p>
        </w:tc>
        <w:tc>
          <w:tcPr>
            <w:tcW w:w="829" w:type="dxa"/>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230"/>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2.4</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具有与销售的食品品种、数量相适应的生产经营设备或者设施</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276"/>
          <w:jc w:val="center"/>
        </w:trPr>
        <w:tc>
          <w:tcPr>
            <w:tcW w:w="951" w:type="dxa"/>
            <w:vMerge/>
            <w:tcBorders>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2.5</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食品销售场所和贮存场所与生活区分（隔）开</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b/>
                <w:color w:val="000000" w:themeColor="text1"/>
                <w:kern w:val="0"/>
                <w:sz w:val="16"/>
                <w:szCs w:val="16"/>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280"/>
          <w:jc w:val="center"/>
        </w:trPr>
        <w:tc>
          <w:tcPr>
            <w:tcW w:w="951" w:type="dxa"/>
            <w:vMerge w:val="restart"/>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3.食品标签等外观质量状况</w:t>
            </w: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3.1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抽查的食品在保质期内</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25097" w:rsidRPr="009479EF" w:rsidTr="000B10A3">
        <w:trPr>
          <w:trHeight w:val="297"/>
          <w:jc w:val="center"/>
        </w:trPr>
        <w:tc>
          <w:tcPr>
            <w:tcW w:w="951" w:type="dxa"/>
            <w:vMerge/>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4611F5">
              <w:rPr>
                <w:rFonts w:ascii="仿宋" w:eastAsia="仿宋" w:hAnsi="仿宋" w:hint="eastAsia"/>
                <w:color w:val="000000" w:themeColor="text1"/>
                <w:kern w:val="0"/>
                <w:sz w:val="20"/>
                <w:szCs w:val="20"/>
              </w:rPr>
              <w:t>★</w:t>
            </w:r>
            <w:r w:rsidRPr="009479EF">
              <w:rPr>
                <w:rFonts w:ascii="仿宋" w:eastAsia="仿宋" w:hAnsi="仿宋"/>
                <w:color w:val="000000" w:themeColor="text1"/>
                <w:kern w:val="0"/>
                <w:sz w:val="20"/>
                <w:szCs w:val="20"/>
              </w:rPr>
              <w:t>3.2</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抽查的食品感官性状正常</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388"/>
          <w:jc w:val="center"/>
        </w:trPr>
        <w:tc>
          <w:tcPr>
            <w:tcW w:w="951" w:type="dxa"/>
            <w:vMerge/>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3.3</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抽查的预包装食品、食品添加剂的包装上有标签，标签标明的内容符合食品安全法等法律法规的规定</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452"/>
          <w:jc w:val="center"/>
        </w:trPr>
        <w:tc>
          <w:tcPr>
            <w:tcW w:w="951" w:type="dxa"/>
            <w:vMerge/>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3.4</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抽查的食品的标签、说明书清楚、明显，生产日期、保质期等事项显著标注，容易辨识，不涉及疾病预防、治疗功能</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685"/>
          <w:jc w:val="center"/>
        </w:trPr>
        <w:tc>
          <w:tcPr>
            <w:tcW w:w="951" w:type="dxa"/>
            <w:vMerge/>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3.5</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抽查的散装食品，在散装食品的容器、外包装上标明食品的名称、生产日期或者生产批号、保质期以及生产经营者名称、地址、联系方式等内容</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25097" w:rsidRPr="009479EF" w:rsidTr="000B10A3">
        <w:trPr>
          <w:trHeight w:val="384"/>
          <w:jc w:val="center"/>
        </w:trPr>
        <w:tc>
          <w:tcPr>
            <w:tcW w:w="951" w:type="dxa"/>
            <w:vMerge/>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3.6</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销售场所设置或摆放的食品广告的内容不涉及疾病预防、治疗功能</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164"/>
          <w:jc w:val="center"/>
        </w:trPr>
        <w:tc>
          <w:tcPr>
            <w:tcW w:w="951" w:type="dxa"/>
            <w:vMerge/>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noWrap/>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3.7</w:t>
            </w:r>
          </w:p>
        </w:tc>
        <w:tc>
          <w:tcPr>
            <w:tcW w:w="6042" w:type="dxa"/>
            <w:tcBorders>
              <w:top w:val="nil"/>
              <w:left w:val="nil"/>
              <w:bottom w:val="single" w:sz="4" w:space="0" w:color="auto"/>
              <w:right w:val="single" w:sz="4" w:space="0" w:color="auto"/>
            </w:tcBorders>
            <w:noWrap/>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抽查的转基因食品按照规定显著标示</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398"/>
          <w:jc w:val="center"/>
        </w:trPr>
        <w:tc>
          <w:tcPr>
            <w:tcW w:w="951" w:type="dxa"/>
            <w:vMerge w:val="restart"/>
            <w:tcBorders>
              <w:top w:val="nil"/>
              <w:left w:val="single" w:sz="4" w:space="0" w:color="auto"/>
              <w:right w:val="single" w:sz="4" w:space="0" w:color="auto"/>
            </w:tcBorders>
            <w:vAlign w:val="center"/>
          </w:tcPr>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4.从业人员</w:t>
            </w:r>
          </w:p>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管理</w:t>
            </w: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4.1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食品销售者及其法定代表人、直接负责的主管人员和其他直接责任人员不属于法律规定的禁止从业的情形</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177"/>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4.2</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建立从业人员健康管理制度</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352"/>
          <w:jc w:val="center"/>
        </w:trPr>
        <w:tc>
          <w:tcPr>
            <w:tcW w:w="951" w:type="dxa"/>
            <w:vMerge/>
            <w:tcBorders>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4.</w:t>
            </w:r>
            <w:r w:rsidRPr="009479EF">
              <w:rPr>
                <w:rFonts w:ascii="仿宋" w:eastAsia="仿宋" w:hAnsi="仿宋" w:hint="eastAsia"/>
                <w:color w:val="000000" w:themeColor="text1"/>
                <w:kern w:val="0"/>
                <w:sz w:val="20"/>
                <w:szCs w:val="20"/>
              </w:rPr>
              <w:t>3</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在岗从事接触直接入口食品工作的食品经营人员取得健康证明</w:t>
            </w:r>
            <w:r w:rsidRPr="009479EF">
              <w:rPr>
                <w:rFonts w:ascii="仿宋" w:eastAsia="仿宋" w:hAnsi="仿宋" w:hint="eastAsia"/>
                <w:color w:val="000000" w:themeColor="text1"/>
                <w:kern w:val="0"/>
                <w:sz w:val="20"/>
                <w:szCs w:val="20"/>
              </w:rPr>
              <w:t>，无患有国务院卫生行政部门规定的有碍食品安全疾病的情况；</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160"/>
          <w:jc w:val="center"/>
        </w:trPr>
        <w:tc>
          <w:tcPr>
            <w:tcW w:w="951" w:type="dxa"/>
            <w:vMerge w:val="restart"/>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5.经营过程控制情况</w:t>
            </w: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5.1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定期检查库存食品，及时清理变质或者超过保质期的食品</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70"/>
          <w:jc w:val="center"/>
        </w:trPr>
        <w:tc>
          <w:tcPr>
            <w:tcW w:w="951" w:type="dxa"/>
            <w:vMerge/>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5.2</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食品贮存隔墙离地距离在10厘米以上</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210"/>
          <w:jc w:val="center"/>
        </w:trPr>
        <w:tc>
          <w:tcPr>
            <w:tcW w:w="951" w:type="dxa"/>
            <w:vMerge/>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5.3</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按照食品标签标示的警示标志、警示说明或者注意事项的要求贮存和销售食品</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302"/>
          <w:jc w:val="center"/>
        </w:trPr>
        <w:tc>
          <w:tcPr>
            <w:tcW w:w="951" w:type="dxa"/>
            <w:vMerge/>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5.4</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对销售过程有温度、湿度要求的食品，有保证食品安全所需的温度、湿度等特殊要求的设备，并按要求贮存</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379"/>
          <w:jc w:val="center"/>
        </w:trPr>
        <w:tc>
          <w:tcPr>
            <w:tcW w:w="951" w:type="dxa"/>
            <w:vMerge/>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5.5</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委托开展贮存业务的，对贮存服务提供者的资质和食品安全保障能力进行审核并留存相关资料；监督贮存服务提供者按照保证食品安全的要求贮存食品并留存检查记录</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70"/>
          <w:jc w:val="center"/>
        </w:trPr>
        <w:tc>
          <w:tcPr>
            <w:tcW w:w="951" w:type="dxa"/>
            <w:vMerge/>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5.6</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建立食品安全自查制度，定期对食品安全状况进行检查评价</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393"/>
          <w:jc w:val="center"/>
        </w:trPr>
        <w:tc>
          <w:tcPr>
            <w:tcW w:w="951" w:type="dxa"/>
            <w:vMerge/>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5.7</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发生食品安全事故的，建立和保存处置食品安全事故记录，并按规定上报所在地市场监管部门</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316"/>
          <w:jc w:val="center"/>
        </w:trPr>
        <w:tc>
          <w:tcPr>
            <w:tcW w:w="951" w:type="dxa"/>
            <w:vMerge/>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5.8</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采购食品，查验供货者的许可证和食品出厂检验合格证或者其他合格证明</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851"/>
          <w:jc w:val="center"/>
        </w:trPr>
        <w:tc>
          <w:tcPr>
            <w:tcW w:w="951" w:type="dxa"/>
            <w:vMerge/>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5.9</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采购食品添加剂查验供货者的许可证和产品合格证明，并如实记录所采购食品添加剂的名称、规格、数量、生产日期或者生产批号、保质期、进货日期以及供货者名称、地址、联系方式等内容，并保存相关凭证。</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584"/>
          <w:jc w:val="center"/>
        </w:trPr>
        <w:tc>
          <w:tcPr>
            <w:tcW w:w="951" w:type="dxa"/>
            <w:vMerge/>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5.</w:t>
            </w:r>
            <w:r w:rsidRPr="009479EF">
              <w:rPr>
                <w:rFonts w:ascii="仿宋" w:eastAsia="仿宋" w:hAnsi="仿宋" w:hint="eastAsia"/>
                <w:color w:val="000000" w:themeColor="text1"/>
                <w:kern w:val="0"/>
                <w:sz w:val="20"/>
                <w:szCs w:val="20"/>
              </w:rPr>
              <w:t>10</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s="仿宋" w:hint="eastAsia"/>
                <w:color w:val="000000" w:themeColor="text1"/>
                <w:kern w:val="0"/>
                <w:szCs w:val="21"/>
              </w:rPr>
              <w:t>按要求停止销售、召回、报告不符合食品安全标准或者证明可能危害人体健康的食品。</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281"/>
          <w:jc w:val="center"/>
        </w:trPr>
        <w:tc>
          <w:tcPr>
            <w:tcW w:w="951" w:type="dxa"/>
            <w:vMerge/>
            <w:tcBorders>
              <w:top w:val="nil"/>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5.11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食品销售者张贴并保持上次监督检查结果记录</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444"/>
          <w:jc w:val="center"/>
        </w:trPr>
        <w:tc>
          <w:tcPr>
            <w:tcW w:w="951" w:type="dxa"/>
            <w:vMerge w:val="restart"/>
            <w:tcBorders>
              <w:top w:val="single" w:sz="4" w:space="0" w:color="auto"/>
              <w:left w:val="single" w:sz="4" w:space="0" w:color="auto"/>
              <w:right w:val="single" w:sz="4" w:space="0" w:color="auto"/>
            </w:tcBorders>
            <w:vAlign w:val="center"/>
          </w:tcPr>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6.食盐</w:t>
            </w:r>
          </w:p>
          <w:p w:rsidR="00725097" w:rsidRPr="009479EF" w:rsidRDefault="00725097" w:rsidP="000B10A3">
            <w:pPr>
              <w:spacing w:line="280" w:lineRule="exact"/>
              <w:ind w:firstLineChars="150" w:firstLine="300"/>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销售</w:t>
            </w: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6.1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从取得食盐</w:t>
            </w:r>
            <w:r w:rsidRPr="009479EF">
              <w:rPr>
                <w:rFonts w:ascii="仿宋" w:eastAsia="仿宋" w:hAnsi="仿宋" w:hint="eastAsia"/>
                <w:color w:val="000000" w:themeColor="text1"/>
                <w:kern w:val="0"/>
                <w:sz w:val="20"/>
                <w:szCs w:val="20"/>
              </w:rPr>
              <w:t>定点</w:t>
            </w:r>
            <w:r w:rsidRPr="009479EF">
              <w:rPr>
                <w:rFonts w:ascii="仿宋" w:eastAsia="仿宋" w:hAnsi="仿宋"/>
                <w:color w:val="000000" w:themeColor="text1"/>
                <w:kern w:val="0"/>
                <w:sz w:val="20"/>
                <w:szCs w:val="20"/>
              </w:rPr>
              <w:t>批发</w:t>
            </w:r>
            <w:r w:rsidRPr="009479EF">
              <w:rPr>
                <w:rFonts w:ascii="仿宋" w:eastAsia="仿宋" w:hAnsi="仿宋" w:hint="eastAsia"/>
                <w:color w:val="000000" w:themeColor="text1"/>
                <w:kern w:val="0"/>
                <w:sz w:val="20"/>
                <w:szCs w:val="20"/>
              </w:rPr>
              <w:t>企业证书</w:t>
            </w:r>
            <w:r w:rsidRPr="009479EF">
              <w:rPr>
                <w:rFonts w:ascii="仿宋" w:eastAsia="仿宋" w:hAnsi="仿宋"/>
                <w:color w:val="000000" w:themeColor="text1"/>
                <w:kern w:val="0"/>
                <w:sz w:val="20"/>
                <w:szCs w:val="20"/>
              </w:rPr>
              <w:t>的单位购进，并保留购货凭证</w:t>
            </w:r>
            <w:r w:rsidRPr="009479EF">
              <w:rPr>
                <w:rFonts w:ascii="仿宋" w:eastAsia="仿宋" w:hAnsi="仿宋" w:hint="eastAsia"/>
                <w:color w:val="000000" w:themeColor="text1"/>
                <w:kern w:val="0"/>
                <w:sz w:val="20"/>
                <w:szCs w:val="20"/>
              </w:rPr>
              <w:t>，有</w:t>
            </w:r>
            <w:r w:rsidRPr="009479EF">
              <w:rPr>
                <w:rFonts w:ascii="仿宋" w:eastAsia="仿宋" w:hAnsi="仿宋"/>
                <w:color w:val="000000" w:themeColor="text1"/>
                <w:kern w:val="0"/>
                <w:sz w:val="20"/>
                <w:szCs w:val="20"/>
              </w:rPr>
              <w:t>合法有效的</w:t>
            </w:r>
            <w:r w:rsidRPr="009479EF">
              <w:rPr>
                <w:rFonts w:ascii="仿宋" w:eastAsia="仿宋" w:hAnsi="仿宋" w:hint="eastAsia"/>
                <w:color w:val="000000" w:themeColor="text1"/>
                <w:kern w:val="0"/>
                <w:sz w:val="20"/>
                <w:szCs w:val="20"/>
              </w:rPr>
              <w:t>从事</w:t>
            </w:r>
            <w:r w:rsidRPr="009479EF">
              <w:rPr>
                <w:rFonts w:ascii="仿宋" w:eastAsia="仿宋" w:hAnsi="仿宋"/>
                <w:color w:val="000000" w:themeColor="text1"/>
                <w:kern w:val="0"/>
                <w:sz w:val="20"/>
                <w:szCs w:val="20"/>
              </w:rPr>
              <w:t>食盐</w:t>
            </w:r>
            <w:r w:rsidRPr="009479EF">
              <w:rPr>
                <w:rFonts w:ascii="仿宋" w:eastAsia="仿宋" w:hAnsi="仿宋" w:hint="eastAsia"/>
                <w:color w:val="000000" w:themeColor="text1"/>
                <w:kern w:val="0"/>
                <w:sz w:val="20"/>
                <w:szCs w:val="20"/>
              </w:rPr>
              <w:t>经营的食品经营</w:t>
            </w:r>
            <w:r w:rsidRPr="009479EF">
              <w:rPr>
                <w:rFonts w:ascii="仿宋" w:eastAsia="仿宋" w:hAnsi="仿宋"/>
                <w:color w:val="000000" w:themeColor="text1"/>
                <w:kern w:val="0"/>
                <w:sz w:val="20"/>
                <w:szCs w:val="20"/>
              </w:rPr>
              <w:t>许可证和相关合格证明文件等</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284"/>
          <w:jc w:val="center"/>
        </w:trPr>
        <w:tc>
          <w:tcPr>
            <w:tcW w:w="951" w:type="dxa"/>
            <w:vMerge/>
            <w:tcBorders>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6.2</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s="仿宋" w:hint="eastAsia"/>
                <w:color w:val="000000" w:themeColor="text1"/>
                <w:kern w:val="0"/>
                <w:szCs w:val="21"/>
              </w:rPr>
              <w:t>不存在销售禁止销售的食盐情形</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272"/>
          <w:jc w:val="center"/>
        </w:trPr>
        <w:tc>
          <w:tcPr>
            <w:tcW w:w="951" w:type="dxa"/>
            <w:vMerge w:val="restart"/>
            <w:tcBorders>
              <w:top w:val="single" w:sz="4" w:space="0" w:color="auto"/>
              <w:left w:val="single" w:sz="4" w:space="0" w:color="auto"/>
              <w:right w:val="single" w:sz="4" w:space="0" w:color="auto"/>
            </w:tcBorders>
            <w:vAlign w:val="center"/>
          </w:tcPr>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7.食用农产品销售</w:t>
            </w: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7.1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抽查的畜禽产品具有检验检疫合格证明</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25097" w:rsidRPr="009479EF" w:rsidTr="000B10A3">
        <w:trPr>
          <w:trHeight w:val="692"/>
          <w:jc w:val="center"/>
        </w:trPr>
        <w:tc>
          <w:tcPr>
            <w:tcW w:w="951" w:type="dxa"/>
            <w:vMerge/>
            <w:tcBorders>
              <w:left w:val="single" w:sz="4" w:space="0" w:color="auto"/>
              <w:bottom w:val="single" w:sz="4" w:space="0" w:color="auto"/>
              <w:right w:val="single" w:sz="4" w:space="0" w:color="auto"/>
            </w:tcBorders>
            <w:vAlign w:val="center"/>
          </w:tcPr>
          <w:p w:rsidR="00725097" w:rsidRPr="009479EF" w:rsidRDefault="00725097" w:rsidP="000B10A3">
            <w:pPr>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7.2</w:t>
            </w:r>
          </w:p>
        </w:tc>
        <w:tc>
          <w:tcPr>
            <w:tcW w:w="6042" w:type="dxa"/>
            <w:tcBorders>
              <w:top w:val="single" w:sz="4" w:space="0" w:color="auto"/>
              <w:left w:val="nil"/>
              <w:bottom w:val="single" w:sz="4" w:space="0" w:color="auto"/>
              <w:right w:val="single" w:sz="4" w:space="0" w:color="auto"/>
            </w:tcBorders>
            <w:vAlign w:val="center"/>
          </w:tcPr>
          <w:p w:rsidR="00725097" w:rsidRPr="009479EF" w:rsidRDefault="00725097" w:rsidP="000B10A3">
            <w:pPr>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建立食用农产品进货查验记录制度，如实记录食用农产品的名称、数量、进货日期以及供货者名称、地址、联系方式等内容，并保存相关凭证。记录和凭证保存期限不得少于六个月</w:t>
            </w:r>
          </w:p>
        </w:tc>
        <w:tc>
          <w:tcPr>
            <w:tcW w:w="1277" w:type="dxa"/>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single" w:sz="4" w:space="0" w:color="auto"/>
              <w:left w:val="nil"/>
              <w:bottom w:val="single" w:sz="4" w:space="0" w:color="auto"/>
              <w:right w:val="single" w:sz="4" w:space="0" w:color="auto"/>
            </w:tcBorders>
            <w:vAlign w:val="center"/>
          </w:tcPr>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2</w:t>
            </w:r>
          </w:p>
        </w:tc>
      </w:tr>
      <w:tr w:rsidR="00725097" w:rsidRPr="009479EF" w:rsidTr="000B10A3">
        <w:trPr>
          <w:trHeight w:val="280"/>
          <w:jc w:val="center"/>
        </w:trPr>
        <w:tc>
          <w:tcPr>
            <w:tcW w:w="951" w:type="dxa"/>
            <w:vMerge w:val="restart"/>
            <w:tcBorders>
              <w:top w:val="single" w:sz="4" w:space="0" w:color="auto"/>
              <w:left w:val="single" w:sz="4" w:space="0" w:color="auto"/>
              <w:right w:val="single" w:sz="4" w:space="0" w:color="auto"/>
            </w:tcBorders>
            <w:vAlign w:val="center"/>
          </w:tcPr>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8.进口食品</w:t>
            </w:r>
          </w:p>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销售</w:t>
            </w: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8.1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抽查的进口预包装食品有中文标签,并载明食品的原产地以及境内代理商的名称、地址、联系方式</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725097" w:rsidRPr="009479EF" w:rsidTr="000B10A3">
        <w:trPr>
          <w:trHeight w:val="202"/>
          <w:jc w:val="center"/>
        </w:trPr>
        <w:tc>
          <w:tcPr>
            <w:tcW w:w="951" w:type="dxa"/>
            <w:vMerge/>
            <w:tcBorders>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8.2</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抽查的进口预包装食品（食用农产品）有</w:t>
            </w:r>
            <w:r w:rsidRPr="009479EF">
              <w:rPr>
                <w:rFonts w:ascii="仿宋" w:eastAsia="仿宋" w:hAnsi="仿宋" w:hint="eastAsia"/>
                <w:color w:val="000000" w:themeColor="text1"/>
                <w:kern w:val="0"/>
                <w:sz w:val="20"/>
                <w:szCs w:val="20"/>
              </w:rPr>
              <w:t>海关部门</w:t>
            </w:r>
            <w:r w:rsidRPr="009479EF">
              <w:rPr>
                <w:rFonts w:ascii="仿宋" w:eastAsia="仿宋" w:hAnsi="仿宋"/>
                <w:color w:val="000000" w:themeColor="text1"/>
                <w:kern w:val="0"/>
                <w:sz w:val="20"/>
                <w:szCs w:val="20"/>
              </w:rPr>
              <w:t>出具的入境货物检验检疫证明</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266"/>
          <w:jc w:val="center"/>
        </w:trPr>
        <w:tc>
          <w:tcPr>
            <w:tcW w:w="951" w:type="dxa"/>
            <w:vMerge w:val="restart"/>
            <w:tcBorders>
              <w:top w:val="single" w:sz="4" w:space="0" w:color="auto"/>
              <w:left w:val="single" w:sz="4" w:space="0" w:color="auto"/>
              <w:right w:val="single" w:sz="4" w:space="0" w:color="auto"/>
            </w:tcBorders>
            <w:vAlign w:val="center"/>
          </w:tcPr>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9.食品</w:t>
            </w:r>
            <w:r w:rsidRPr="009479EF">
              <w:rPr>
                <w:rFonts w:ascii="仿宋" w:eastAsia="仿宋" w:hAnsi="仿宋" w:hint="eastAsia"/>
                <w:color w:val="000000" w:themeColor="text1"/>
                <w:kern w:val="0"/>
                <w:sz w:val="20"/>
                <w:szCs w:val="20"/>
              </w:rPr>
              <w:t xml:space="preserve"> </w:t>
            </w:r>
            <w:r w:rsidRPr="009479EF">
              <w:rPr>
                <w:rFonts w:ascii="仿宋" w:eastAsia="仿宋" w:hAnsi="仿宋"/>
                <w:color w:val="000000" w:themeColor="text1"/>
                <w:kern w:val="0"/>
                <w:sz w:val="20"/>
                <w:szCs w:val="20"/>
              </w:rPr>
              <w:t>销售</w:t>
            </w:r>
          </w:p>
          <w:p w:rsidR="00725097" w:rsidRPr="009479EF" w:rsidRDefault="00725097" w:rsidP="000B10A3">
            <w:pPr>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（批发）企业</w:t>
            </w: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EC0AA3">
              <w:rPr>
                <w:rFonts w:ascii="仿宋" w:eastAsia="仿宋" w:hAnsi="仿宋" w:hint="eastAsia"/>
                <w:color w:val="000000" w:themeColor="text1"/>
                <w:kern w:val="0"/>
                <w:sz w:val="20"/>
                <w:szCs w:val="20"/>
              </w:rPr>
              <w:t>★</w:t>
            </w:r>
            <w:r w:rsidRPr="009479EF">
              <w:rPr>
                <w:rFonts w:ascii="仿宋" w:eastAsia="仿宋" w:hAnsi="仿宋"/>
                <w:color w:val="000000" w:themeColor="text1"/>
                <w:kern w:val="0"/>
                <w:sz w:val="20"/>
                <w:szCs w:val="20"/>
              </w:rPr>
              <w:t>9.1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有食品安全管理人员</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371"/>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9.2</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不存在经市场监管部门抽查考核不合格的食品安全管理人员在岗从事食品安全管理工作的情况</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268"/>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9.3</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对</w:t>
            </w:r>
            <w:r w:rsidRPr="009479EF">
              <w:rPr>
                <w:rFonts w:ascii="仿宋" w:eastAsia="仿宋" w:hAnsi="仿宋" w:hint="eastAsia"/>
                <w:color w:val="000000" w:themeColor="text1"/>
                <w:kern w:val="0"/>
                <w:sz w:val="20"/>
                <w:szCs w:val="20"/>
              </w:rPr>
              <w:t>从业人员</w:t>
            </w:r>
            <w:r w:rsidRPr="009479EF">
              <w:rPr>
                <w:rFonts w:ascii="仿宋" w:eastAsia="仿宋" w:hAnsi="仿宋"/>
                <w:color w:val="000000" w:themeColor="text1"/>
                <w:kern w:val="0"/>
                <w:sz w:val="20"/>
                <w:szCs w:val="20"/>
              </w:rPr>
              <w:t>进行食品安全知识培训</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513"/>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9.4</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建立并严格执行食品进货查验记录制度，</w:t>
            </w:r>
            <w:r w:rsidRPr="009479EF">
              <w:rPr>
                <w:rFonts w:ascii="仿宋" w:eastAsia="仿宋" w:hAnsi="仿宋" w:hint="eastAsia"/>
                <w:color w:val="000000" w:themeColor="text1"/>
                <w:kern w:val="0"/>
                <w:sz w:val="20"/>
                <w:szCs w:val="20"/>
              </w:rPr>
              <w:t>如实记录所采购食品的名称、规格、数量、生产日期或者生产批号、保质期、进货日期以及供货者名称、地址、联系方式等内容，并保存相关凭证</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725097" w:rsidRPr="009479EF" w:rsidTr="000B10A3">
        <w:trPr>
          <w:trHeight w:val="353"/>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9.5</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从事食品批发业务的销售企业建立并严格执行食品销售记录制度，</w:t>
            </w:r>
            <w:r w:rsidRPr="009479EF">
              <w:rPr>
                <w:rFonts w:ascii="仿宋" w:eastAsia="仿宋" w:hAnsi="仿宋" w:hint="eastAsia"/>
                <w:color w:val="000000" w:themeColor="text1"/>
                <w:kern w:val="0"/>
                <w:sz w:val="20"/>
                <w:szCs w:val="20"/>
              </w:rPr>
              <w:t>如实记录批发食品的名称、规格、数量、生产日期或者生产批号、保质期、销售日期、以及购货者名称、地址、联系方式等内容，并保存相关凭证</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725097" w:rsidRPr="009479EF" w:rsidTr="000B10A3">
        <w:trPr>
          <w:trHeight w:val="240"/>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9.6</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实行统一配送经营方式的食品经营企业，企业总部统一查验供货者的许可证和食品合格证明文件，进行食品进货查验记录</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w:t>
            </w:r>
          </w:p>
        </w:tc>
      </w:tr>
      <w:tr w:rsidR="00725097" w:rsidRPr="009479EF" w:rsidTr="000B10A3">
        <w:trPr>
          <w:trHeight w:val="162"/>
          <w:jc w:val="center"/>
        </w:trPr>
        <w:tc>
          <w:tcPr>
            <w:tcW w:w="951" w:type="dxa"/>
            <w:vMerge w:val="restart"/>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10.现场</w:t>
            </w:r>
          </w:p>
          <w:p w:rsidR="00725097" w:rsidRPr="009479EF" w:rsidRDefault="00725097" w:rsidP="000B10A3">
            <w:pPr>
              <w:widowControl/>
              <w:spacing w:line="280" w:lineRule="exact"/>
              <w:ind w:firstLineChars="150" w:firstLine="300"/>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制售</w:t>
            </w: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10.1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从业人员穿戴清洁的工作衣帽，双手清洁，保持个人卫生。取得健康证明。</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254"/>
          <w:jc w:val="center"/>
        </w:trPr>
        <w:tc>
          <w:tcPr>
            <w:tcW w:w="951" w:type="dxa"/>
            <w:vMerge/>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10.2</w:t>
            </w:r>
          </w:p>
        </w:tc>
        <w:tc>
          <w:tcPr>
            <w:tcW w:w="6042" w:type="dxa"/>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食品操作区域保持清洁、卫生、加工制作用水符合国家规定的标准。</w:t>
            </w:r>
          </w:p>
        </w:tc>
        <w:tc>
          <w:tcPr>
            <w:tcW w:w="1277" w:type="dxa"/>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single" w:sz="4" w:space="0" w:color="auto"/>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176"/>
          <w:jc w:val="center"/>
        </w:trPr>
        <w:tc>
          <w:tcPr>
            <w:tcW w:w="951" w:type="dxa"/>
            <w:vMerge/>
            <w:tcBorders>
              <w:top w:val="single" w:sz="4" w:space="0" w:color="auto"/>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10.3</w:t>
            </w:r>
          </w:p>
        </w:tc>
        <w:tc>
          <w:tcPr>
            <w:tcW w:w="6042" w:type="dxa"/>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食品原料、半成品和成品盛放、贮存相互分开。</w:t>
            </w:r>
          </w:p>
        </w:tc>
        <w:tc>
          <w:tcPr>
            <w:tcW w:w="1277" w:type="dxa"/>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254"/>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10.4</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食品添加剂由专人负责保管、领用、登记，并有相关记录。</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204"/>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10.5</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操作专间、专用操作场所符合相关要求。</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1</w:t>
            </w:r>
          </w:p>
        </w:tc>
      </w:tr>
      <w:tr w:rsidR="00725097" w:rsidRPr="009479EF" w:rsidTr="000B10A3">
        <w:trPr>
          <w:trHeight w:val="70"/>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10.</w:t>
            </w:r>
            <w:r w:rsidRPr="009479EF">
              <w:rPr>
                <w:rFonts w:ascii="仿宋" w:eastAsia="仿宋" w:hAnsi="仿宋" w:hint="eastAsia"/>
                <w:color w:val="000000" w:themeColor="text1"/>
                <w:kern w:val="0"/>
                <w:sz w:val="20"/>
                <w:szCs w:val="20"/>
              </w:rPr>
              <w:t>6</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餐厨用具按照规范进行清洗消毒。</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lastRenderedPageBreak/>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lastRenderedPageBreak/>
              <w:t>1</w:t>
            </w:r>
          </w:p>
        </w:tc>
      </w:tr>
      <w:tr w:rsidR="00725097" w:rsidRPr="009479EF" w:rsidTr="000B10A3">
        <w:trPr>
          <w:trHeight w:val="131"/>
          <w:jc w:val="center"/>
        </w:trPr>
        <w:tc>
          <w:tcPr>
            <w:tcW w:w="951" w:type="dxa"/>
            <w:vMerge/>
            <w:tcBorders>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10.</w:t>
            </w:r>
            <w:r w:rsidRPr="009479EF">
              <w:rPr>
                <w:rFonts w:ascii="仿宋" w:eastAsia="仿宋" w:hAnsi="仿宋" w:hint="eastAsia"/>
                <w:color w:val="000000" w:themeColor="text1"/>
                <w:kern w:val="0"/>
                <w:sz w:val="20"/>
                <w:szCs w:val="20"/>
              </w:rPr>
              <w:t>7</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现场制售食品在容器、外包装上标明食品的名称、制作日期、保质期以及销售者名称、地址、联系方式等内容。有温度要求的保质期应当以小时计。</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w:t>
            </w:r>
          </w:p>
        </w:tc>
      </w:tr>
      <w:tr w:rsidR="00725097" w:rsidRPr="009479EF" w:rsidTr="000B10A3">
        <w:trPr>
          <w:trHeight w:val="319"/>
          <w:jc w:val="center"/>
        </w:trPr>
        <w:tc>
          <w:tcPr>
            <w:tcW w:w="951" w:type="dxa"/>
            <w:vMerge w:val="restart"/>
            <w:tcBorders>
              <w:top w:val="single" w:sz="4" w:space="0" w:color="auto"/>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11.特殊食品</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销售</w:t>
            </w: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11.1</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抽查的保健食品、特殊医学用途配方食品、婴幼儿配方乳粉按规定注册或备案。</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99"/>
          <w:jc w:val="center"/>
        </w:trPr>
        <w:tc>
          <w:tcPr>
            <w:tcW w:w="951" w:type="dxa"/>
            <w:vMerge/>
            <w:tcBorders>
              <w:top w:val="single" w:sz="4" w:space="0" w:color="auto"/>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color w:val="000000" w:themeColor="text1"/>
                <w:kern w:val="0"/>
                <w:sz w:val="20"/>
                <w:szCs w:val="20"/>
              </w:rPr>
              <w:t>11.2</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抽查的保健食品的标签、说明书符合规定。</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333"/>
          <w:jc w:val="center"/>
        </w:trPr>
        <w:tc>
          <w:tcPr>
            <w:tcW w:w="951" w:type="dxa"/>
            <w:vMerge/>
            <w:tcBorders>
              <w:top w:val="single" w:sz="4" w:space="0" w:color="auto"/>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11.3</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经营特殊食品设专柜或专区销售，并在专柜或专区显著位置标明“***销售专区（或专柜）”字样，提示牌为绿底白字，字体为黑体。</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127"/>
          <w:jc w:val="center"/>
        </w:trPr>
        <w:tc>
          <w:tcPr>
            <w:tcW w:w="951" w:type="dxa"/>
            <w:vMerge/>
            <w:tcBorders>
              <w:top w:val="single" w:sz="4" w:space="0" w:color="auto"/>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11.4</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抽查的保健食品索取并留存批准证明文件以及企业产品质量标准。</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70"/>
          <w:jc w:val="center"/>
        </w:trPr>
        <w:tc>
          <w:tcPr>
            <w:tcW w:w="951" w:type="dxa"/>
            <w:vMerge/>
            <w:tcBorders>
              <w:top w:val="single" w:sz="4" w:space="0" w:color="auto"/>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11.5</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抽查的保健食品广告内容声明“本品不能代替药物”。</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141"/>
          <w:jc w:val="center"/>
        </w:trPr>
        <w:tc>
          <w:tcPr>
            <w:tcW w:w="951" w:type="dxa"/>
            <w:vMerge/>
            <w:tcBorders>
              <w:top w:val="single" w:sz="4" w:space="0" w:color="auto"/>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11.6</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抽查的保健食品广告内容经生产企业所在地省（区、市）食品监管部门审查批准，取得保健食品广告批准文件</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203"/>
          <w:jc w:val="center"/>
        </w:trPr>
        <w:tc>
          <w:tcPr>
            <w:tcW w:w="951" w:type="dxa"/>
            <w:vMerge/>
            <w:tcBorders>
              <w:top w:val="single" w:sz="4" w:space="0" w:color="auto"/>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11.7</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抽查的进口保健食品按规定注册或备案。</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281"/>
          <w:jc w:val="center"/>
        </w:trPr>
        <w:tc>
          <w:tcPr>
            <w:tcW w:w="951" w:type="dxa"/>
            <w:vMerge/>
            <w:tcBorders>
              <w:top w:val="single" w:sz="4" w:space="0" w:color="auto"/>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single" w:sz="4" w:space="0" w:color="auto"/>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11.8</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抽查的特殊医学用途配方食品经国家市场监督管理总局注册。</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232"/>
          <w:jc w:val="center"/>
        </w:trPr>
        <w:tc>
          <w:tcPr>
            <w:tcW w:w="951" w:type="dxa"/>
            <w:vMerge/>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w:t>
            </w:r>
            <w:r w:rsidRPr="009479EF">
              <w:rPr>
                <w:rFonts w:ascii="仿宋" w:eastAsia="仿宋" w:hAnsi="仿宋" w:hint="eastAsia"/>
                <w:color w:val="000000" w:themeColor="text1"/>
                <w:kern w:val="0"/>
                <w:sz w:val="20"/>
                <w:szCs w:val="20"/>
              </w:rPr>
              <w:t>11.9</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textAlignment w:val="center"/>
              <w:rPr>
                <w:rFonts w:ascii="仿宋" w:eastAsia="仿宋" w:hAnsi="仿宋" w:cs="仿宋"/>
                <w:color w:val="000000" w:themeColor="text1"/>
                <w:kern w:val="0"/>
                <w:szCs w:val="21"/>
              </w:rPr>
            </w:pPr>
            <w:r w:rsidRPr="009479EF">
              <w:rPr>
                <w:rFonts w:ascii="仿宋" w:eastAsia="仿宋" w:hAnsi="仿宋" w:cs="仿宋" w:hint="eastAsia"/>
                <w:color w:val="000000" w:themeColor="text1"/>
                <w:kern w:val="0"/>
                <w:szCs w:val="21"/>
              </w:rPr>
              <w:t>抽查的特殊医学用途配方食品广告符合《广告法》和其他法律法规关于药品广告管理的规定。</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296"/>
          <w:jc w:val="center"/>
        </w:trPr>
        <w:tc>
          <w:tcPr>
            <w:tcW w:w="951" w:type="dxa"/>
            <w:vMerge/>
            <w:tcBorders>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c>
          <w:tcPr>
            <w:tcW w:w="905" w:type="dxa"/>
            <w:gridSpan w:val="2"/>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★11.10</w:t>
            </w:r>
          </w:p>
        </w:tc>
        <w:tc>
          <w:tcPr>
            <w:tcW w:w="6042"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s="仿宋" w:hint="eastAsia"/>
                <w:color w:val="000000" w:themeColor="text1"/>
                <w:kern w:val="0"/>
                <w:szCs w:val="21"/>
              </w:rPr>
              <w:t>抽查的专供婴幼儿和其他特定人群的主辅食品，其标签标明主要营养成分及其含量。</w:t>
            </w:r>
          </w:p>
        </w:tc>
        <w:tc>
          <w:tcPr>
            <w:tcW w:w="1277"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□是 □否</w:t>
            </w:r>
          </w:p>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□合理缺项</w:t>
            </w:r>
          </w:p>
        </w:tc>
        <w:tc>
          <w:tcPr>
            <w:tcW w:w="829" w:type="dxa"/>
            <w:tcBorders>
              <w:top w:val="nil"/>
              <w:left w:val="nil"/>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0.5</w:t>
            </w:r>
          </w:p>
        </w:tc>
      </w:tr>
      <w:tr w:rsidR="00725097" w:rsidRPr="009479EF" w:rsidTr="000B10A3">
        <w:trPr>
          <w:trHeight w:val="296"/>
          <w:jc w:val="center"/>
        </w:trPr>
        <w:tc>
          <w:tcPr>
            <w:tcW w:w="951" w:type="dxa"/>
            <w:vMerge w:val="restart"/>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18"/>
                <w:szCs w:val="18"/>
              </w:rPr>
              <w:t>得分总和（</w:t>
            </w:r>
            <w:r w:rsidRPr="009479EF">
              <w:rPr>
                <w:rFonts w:ascii="仿宋" w:eastAsia="仿宋" w:hAnsi="仿宋"/>
                <w:color w:val="000000" w:themeColor="text1"/>
                <w:kern w:val="0"/>
                <w:sz w:val="18"/>
                <w:szCs w:val="18"/>
              </w:rPr>
              <w:t>60分）</w:t>
            </w:r>
          </w:p>
        </w:tc>
        <w:tc>
          <w:tcPr>
            <w:tcW w:w="9053" w:type="dxa"/>
            <w:gridSpan w:val="5"/>
            <w:tcBorders>
              <w:left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r>
      <w:tr w:rsidR="00725097" w:rsidRPr="009479EF" w:rsidTr="000B10A3">
        <w:trPr>
          <w:trHeight w:val="296"/>
          <w:jc w:val="center"/>
        </w:trPr>
        <w:tc>
          <w:tcPr>
            <w:tcW w:w="951" w:type="dxa"/>
            <w:vMerge/>
            <w:tcBorders>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18"/>
                <w:szCs w:val="18"/>
              </w:rPr>
            </w:pPr>
          </w:p>
        </w:tc>
        <w:tc>
          <w:tcPr>
            <w:tcW w:w="9053" w:type="dxa"/>
            <w:gridSpan w:val="5"/>
            <w:tcBorders>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p>
        </w:tc>
      </w:tr>
      <w:tr w:rsidR="00725097" w:rsidRPr="009479EF" w:rsidTr="000B10A3">
        <w:trPr>
          <w:trHeight w:val="489"/>
          <w:jc w:val="center"/>
        </w:trPr>
        <w:tc>
          <w:tcPr>
            <w:tcW w:w="10004" w:type="dxa"/>
            <w:gridSpan w:val="6"/>
            <w:tcBorders>
              <w:left w:val="single" w:sz="4" w:space="0" w:color="auto"/>
              <w:bottom w:val="single" w:sz="4" w:space="0" w:color="auto"/>
              <w:right w:val="single" w:sz="4" w:space="0" w:color="auto"/>
            </w:tcBorders>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18"/>
                <w:szCs w:val="18"/>
              </w:rPr>
              <w:t>其他需要记录的问题：</w:t>
            </w:r>
          </w:p>
        </w:tc>
      </w:tr>
      <w:tr w:rsidR="00725097" w:rsidRPr="009479EF" w:rsidTr="000B10A3">
        <w:trPr>
          <w:trHeight w:val="776"/>
          <w:jc w:val="center"/>
        </w:trPr>
        <w:tc>
          <w:tcPr>
            <w:tcW w:w="1006" w:type="dxa"/>
            <w:gridSpan w:val="2"/>
            <w:tcBorders>
              <w:left w:val="single" w:sz="4" w:space="0" w:color="auto"/>
              <w:bottom w:val="single" w:sz="4" w:space="0" w:color="auto"/>
              <w:right w:val="single" w:sz="4" w:space="0" w:color="auto"/>
            </w:tcBorders>
            <w:vAlign w:val="center"/>
          </w:tcPr>
          <w:p w:rsidR="00725097" w:rsidRPr="009479EF" w:rsidRDefault="00725097" w:rsidP="000B10A3">
            <w:pPr>
              <w:widowControl/>
              <w:spacing w:line="280" w:lineRule="exact"/>
              <w:jc w:val="center"/>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备</w:t>
            </w:r>
          </w:p>
          <w:p w:rsidR="00725097" w:rsidRPr="009479EF" w:rsidRDefault="00725097" w:rsidP="000B10A3">
            <w:pPr>
              <w:widowControl/>
              <w:spacing w:line="280" w:lineRule="exact"/>
              <w:jc w:val="center"/>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20"/>
                <w:szCs w:val="20"/>
              </w:rPr>
              <w:t>注</w:t>
            </w:r>
          </w:p>
        </w:tc>
        <w:tc>
          <w:tcPr>
            <w:tcW w:w="8998" w:type="dxa"/>
            <w:gridSpan w:val="4"/>
            <w:tcBorders>
              <w:left w:val="single" w:sz="4" w:space="0" w:color="auto"/>
              <w:bottom w:val="single" w:sz="4" w:space="0" w:color="auto"/>
              <w:right w:val="single" w:sz="4" w:space="0" w:color="auto"/>
            </w:tcBorders>
          </w:tcPr>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color w:val="000000" w:themeColor="text1"/>
                <w:kern w:val="0"/>
                <w:sz w:val="20"/>
                <w:szCs w:val="20"/>
              </w:rPr>
              <w:t>1.食品销售者同时经营食用农产品的按照食品销售者实施风险分级管理。</w:t>
            </w:r>
          </w:p>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2.各评分总和为60分，选择“否”，得分；选择“是”或者“合理缺项”，不得分。</w:t>
            </w:r>
          </w:p>
          <w:p w:rsidR="00725097" w:rsidRPr="009479EF" w:rsidRDefault="00725097" w:rsidP="000B10A3">
            <w:pPr>
              <w:widowControl/>
              <w:spacing w:line="280" w:lineRule="exact"/>
              <w:rPr>
                <w:rFonts w:ascii="仿宋" w:eastAsia="仿宋" w:hAnsi="仿宋"/>
                <w:color w:val="000000" w:themeColor="text1"/>
                <w:kern w:val="0"/>
                <w:sz w:val="20"/>
                <w:szCs w:val="20"/>
              </w:rPr>
            </w:pPr>
            <w:r w:rsidRPr="009479EF">
              <w:rPr>
                <w:rFonts w:ascii="仿宋" w:eastAsia="仿宋" w:hAnsi="仿宋" w:hint="eastAsia"/>
                <w:color w:val="000000" w:themeColor="text1"/>
                <w:kern w:val="0"/>
                <w:sz w:val="20"/>
                <w:szCs w:val="20"/>
              </w:rPr>
              <w:t>3.</w:t>
            </w:r>
            <w:r w:rsidRPr="009479EF">
              <w:rPr>
                <w:rFonts w:ascii="仿宋" w:eastAsia="仿宋" w:hAnsi="仿宋"/>
                <w:color w:val="000000" w:themeColor="text1"/>
                <w:kern w:val="0"/>
                <w:sz w:val="20"/>
                <w:szCs w:val="20"/>
              </w:rPr>
              <w:t>日常监督检查共</w:t>
            </w:r>
            <w:r w:rsidRPr="009479EF">
              <w:rPr>
                <w:rFonts w:ascii="仿宋" w:eastAsia="仿宋" w:hAnsi="仿宋" w:hint="eastAsia"/>
                <w:color w:val="000000" w:themeColor="text1"/>
                <w:kern w:val="0"/>
                <w:sz w:val="20"/>
                <w:szCs w:val="20"/>
              </w:rPr>
              <w:t>58</w:t>
            </w:r>
            <w:r w:rsidRPr="009479EF">
              <w:rPr>
                <w:rFonts w:ascii="仿宋" w:eastAsia="仿宋" w:hAnsi="仿宋"/>
                <w:color w:val="000000" w:themeColor="text1"/>
                <w:kern w:val="0"/>
                <w:sz w:val="20"/>
                <w:szCs w:val="20"/>
              </w:rPr>
              <w:t>项检查内容，重点项（检查序号中打★号项）</w:t>
            </w:r>
            <w:r>
              <w:rPr>
                <w:rFonts w:ascii="仿宋" w:eastAsia="仿宋" w:hAnsi="仿宋" w:hint="eastAsia"/>
                <w:color w:val="000000" w:themeColor="text1"/>
                <w:kern w:val="0"/>
                <w:sz w:val="20"/>
                <w:szCs w:val="20"/>
              </w:rPr>
              <w:t>55</w:t>
            </w:r>
            <w:bookmarkStart w:id="0" w:name="_GoBack"/>
            <w:bookmarkEnd w:id="0"/>
            <w:r w:rsidRPr="009479EF">
              <w:rPr>
                <w:rFonts w:ascii="仿宋" w:eastAsia="仿宋" w:hAnsi="仿宋"/>
                <w:color w:val="000000" w:themeColor="text1"/>
                <w:kern w:val="0"/>
                <w:sz w:val="20"/>
                <w:szCs w:val="20"/>
              </w:rPr>
              <w:t>项，一般项</w:t>
            </w:r>
            <w:r>
              <w:rPr>
                <w:rFonts w:ascii="仿宋" w:eastAsia="仿宋" w:hAnsi="仿宋" w:hint="eastAsia"/>
                <w:color w:val="000000" w:themeColor="text1"/>
                <w:kern w:val="0"/>
                <w:sz w:val="20"/>
                <w:szCs w:val="20"/>
              </w:rPr>
              <w:t>3</w:t>
            </w:r>
            <w:r w:rsidRPr="009479EF">
              <w:rPr>
                <w:rFonts w:ascii="仿宋" w:eastAsia="仿宋" w:hAnsi="仿宋"/>
                <w:color w:val="000000" w:themeColor="text1"/>
                <w:kern w:val="0"/>
                <w:sz w:val="20"/>
                <w:szCs w:val="20"/>
              </w:rPr>
              <w:t>项。</w:t>
            </w:r>
          </w:p>
          <w:p w:rsidR="00725097" w:rsidRPr="009479EF" w:rsidRDefault="00725097" w:rsidP="000B10A3">
            <w:pPr>
              <w:widowControl/>
              <w:spacing w:line="280" w:lineRule="exact"/>
              <w:ind w:left="200" w:hangingChars="100" w:hanging="200"/>
              <w:rPr>
                <w:rFonts w:ascii="仿宋" w:eastAsia="仿宋" w:hAnsi="仿宋"/>
                <w:color w:val="000000" w:themeColor="text1"/>
                <w:kern w:val="0"/>
                <w:sz w:val="18"/>
                <w:szCs w:val="18"/>
              </w:rPr>
            </w:pPr>
            <w:r w:rsidRPr="009479EF">
              <w:rPr>
                <w:rFonts w:ascii="仿宋" w:eastAsia="仿宋" w:hAnsi="仿宋" w:hint="eastAsia"/>
                <w:color w:val="000000" w:themeColor="text1"/>
                <w:kern w:val="0"/>
                <w:sz w:val="20"/>
                <w:szCs w:val="20"/>
              </w:rPr>
              <w:t>4.检查结果判定方法：①符合，检查中未发现问题；②基本符合，一般项1项不合格；③不符合，重点项1项（含）以上不合格</w:t>
            </w:r>
            <w:r>
              <w:rPr>
                <w:rFonts w:ascii="仿宋" w:eastAsia="仿宋" w:hAnsi="仿宋" w:hint="eastAsia"/>
                <w:color w:val="000000" w:themeColor="text1"/>
                <w:kern w:val="0"/>
                <w:sz w:val="20"/>
                <w:szCs w:val="20"/>
              </w:rPr>
              <w:t>,或一般项2项以上不合格。</w:t>
            </w:r>
          </w:p>
        </w:tc>
      </w:tr>
    </w:tbl>
    <w:p w:rsidR="006952D3" w:rsidRPr="00725097" w:rsidRDefault="006952D3"/>
    <w:sectPr w:rsidR="006952D3" w:rsidRPr="007250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94E" w:rsidRDefault="0012694E" w:rsidP="00725097">
      <w:r>
        <w:separator/>
      </w:r>
    </w:p>
  </w:endnote>
  <w:endnote w:type="continuationSeparator" w:id="0">
    <w:p w:rsidR="0012694E" w:rsidRDefault="0012694E" w:rsidP="0072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94E" w:rsidRDefault="0012694E" w:rsidP="00725097">
      <w:r>
        <w:separator/>
      </w:r>
    </w:p>
  </w:footnote>
  <w:footnote w:type="continuationSeparator" w:id="0">
    <w:p w:rsidR="0012694E" w:rsidRDefault="0012694E" w:rsidP="007250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591"/>
    <w:rsid w:val="0001197F"/>
    <w:rsid w:val="00035797"/>
    <w:rsid w:val="00055714"/>
    <w:rsid w:val="000A466E"/>
    <w:rsid w:val="000C03F9"/>
    <w:rsid w:val="000C2F8B"/>
    <w:rsid w:val="000D2429"/>
    <w:rsid w:val="00102020"/>
    <w:rsid w:val="00121C06"/>
    <w:rsid w:val="0012694E"/>
    <w:rsid w:val="00137B49"/>
    <w:rsid w:val="00140AF3"/>
    <w:rsid w:val="00163019"/>
    <w:rsid w:val="001D00EF"/>
    <w:rsid w:val="001F3B9F"/>
    <w:rsid w:val="0021105F"/>
    <w:rsid w:val="00223BB6"/>
    <w:rsid w:val="00271697"/>
    <w:rsid w:val="002800B6"/>
    <w:rsid w:val="0028099E"/>
    <w:rsid w:val="002D03AB"/>
    <w:rsid w:val="003129EA"/>
    <w:rsid w:val="00333545"/>
    <w:rsid w:val="00391378"/>
    <w:rsid w:val="003A19FC"/>
    <w:rsid w:val="003E78BC"/>
    <w:rsid w:val="003E7F9B"/>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0591"/>
    <w:rsid w:val="0066430A"/>
    <w:rsid w:val="006952D3"/>
    <w:rsid w:val="006B4AED"/>
    <w:rsid w:val="006E0996"/>
    <w:rsid w:val="006F51FB"/>
    <w:rsid w:val="007042A2"/>
    <w:rsid w:val="00720D7D"/>
    <w:rsid w:val="00725097"/>
    <w:rsid w:val="00732F0D"/>
    <w:rsid w:val="00772C04"/>
    <w:rsid w:val="0078015F"/>
    <w:rsid w:val="00793A37"/>
    <w:rsid w:val="00794C0A"/>
    <w:rsid w:val="007C0155"/>
    <w:rsid w:val="007D0A86"/>
    <w:rsid w:val="007E4CF9"/>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900C1"/>
    <w:rsid w:val="00B972BE"/>
    <w:rsid w:val="00BD7F8B"/>
    <w:rsid w:val="00C048EE"/>
    <w:rsid w:val="00C061D8"/>
    <w:rsid w:val="00C12994"/>
    <w:rsid w:val="00C3571D"/>
    <w:rsid w:val="00C42C9F"/>
    <w:rsid w:val="00C44F99"/>
    <w:rsid w:val="00C4553A"/>
    <w:rsid w:val="00C860D7"/>
    <w:rsid w:val="00C926E6"/>
    <w:rsid w:val="00CA3165"/>
    <w:rsid w:val="00CA76B6"/>
    <w:rsid w:val="00CB7E07"/>
    <w:rsid w:val="00CE1A24"/>
    <w:rsid w:val="00CE6089"/>
    <w:rsid w:val="00D13D10"/>
    <w:rsid w:val="00D72537"/>
    <w:rsid w:val="00DF247C"/>
    <w:rsid w:val="00DF3D42"/>
    <w:rsid w:val="00E06AD6"/>
    <w:rsid w:val="00E17D16"/>
    <w:rsid w:val="00E41E3E"/>
    <w:rsid w:val="00EA15F3"/>
    <w:rsid w:val="00F125BA"/>
    <w:rsid w:val="00F44B71"/>
    <w:rsid w:val="00F5557F"/>
    <w:rsid w:val="00FB5EA5"/>
    <w:rsid w:val="00FE74A0"/>
    <w:rsid w:val="00FE7648"/>
    <w:rsid w:val="00FF7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097"/>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50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25097"/>
    <w:rPr>
      <w:sz w:val="18"/>
      <w:szCs w:val="18"/>
    </w:rPr>
  </w:style>
  <w:style w:type="paragraph" w:styleId="a4">
    <w:name w:val="footer"/>
    <w:basedOn w:val="a"/>
    <w:link w:val="Char0"/>
    <w:uiPriority w:val="99"/>
    <w:unhideWhenUsed/>
    <w:rsid w:val="0072509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2509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097"/>
    <w:pPr>
      <w:widowControl w:val="0"/>
      <w:jc w:val="both"/>
    </w:pPr>
    <w:rPr>
      <w:rFonts w:ascii="仿宋_GB2312" w:eastAsia="仿宋_GB2312" w:hAnsi="华文中宋"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50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25097"/>
    <w:rPr>
      <w:sz w:val="18"/>
      <w:szCs w:val="18"/>
    </w:rPr>
  </w:style>
  <w:style w:type="paragraph" w:styleId="a4">
    <w:name w:val="footer"/>
    <w:basedOn w:val="a"/>
    <w:link w:val="Char0"/>
    <w:uiPriority w:val="99"/>
    <w:unhideWhenUsed/>
    <w:rsid w:val="0072509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2509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1854</Words>
  <Characters>1874</Characters>
  <Application>Microsoft Office Word</Application>
  <DocSecurity>0</DocSecurity>
  <Lines>89</Lines>
  <Paragraphs>56</Paragraphs>
  <ScaleCrop>false</ScaleCrop>
  <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霍廉</dc:creator>
  <cp:keywords/>
  <dc:description/>
  <cp:lastModifiedBy>霍廉</cp:lastModifiedBy>
  <cp:revision>2</cp:revision>
  <dcterms:created xsi:type="dcterms:W3CDTF">2020-03-31T07:03:00Z</dcterms:created>
  <dcterms:modified xsi:type="dcterms:W3CDTF">2020-03-31T07:08:00Z</dcterms:modified>
</cp:coreProperties>
</file>