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1260"/>
        <w:tblW w:w="10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1242"/>
        <w:gridCol w:w="772"/>
        <w:gridCol w:w="1071"/>
        <w:gridCol w:w="851"/>
        <w:gridCol w:w="5022"/>
        <w:gridCol w:w="1365"/>
        <w:gridCol w:w="672"/>
      </w:tblGrid>
      <w:tr w:rsidR="00DE6FE2" w:rsidRPr="009479EF" w:rsidTr="000B10A3">
        <w:trPr>
          <w:trHeight w:val="558"/>
        </w:trPr>
        <w:tc>
          <w:tcPr>
            <w:tcW w:w="10995" w:type="dxa"/>
            <w:gridSpan w:val="7"/>
            <w:tcBorders>
              <w:top w:val="nil"/>
              <w:left w:val="nil"/>
              <w:bottom w:val="single" w:sz="4" w:space="0" w:color="auto"/>
              <w:right w:val="nil"/>
            </w:tcBorders>
            <w:vAlign w:val="center"/>
          </w:tcPr>
          <w:p w:rsidR="00DE6FE2" w:rsidRPr="009479EF" w:rsidRDefault="00DE6FE2" w:rsidP="000B10A3">
            <w:pPr>
              <w:spacing w:line="400" w:lineRule="exact"/>
              <w:ind w:firstLineChars="300" w:firstLine="960"/>
              <w:jc w:val="left"/>
              <w:rPr>
                <w:rFonts w:ascii="方正小标宋简体" w:eastAsia="方正小标宋简体" w:hAnsi="仿宋"/>
                <w:bCs/>
                <w:color w:val="000000" w:themeColor="text1"/>
                <w:sz w:val="32"/>
                <w:szCs w:val="32"/>
              </w:rPr>
            </w:pPr>
          </w:p>
          <w:p w:rsidR="00DE6FE2" w:rsidRPr="009479EF" w:rsidRDefault="00DE6FE2" w:rsidP="000B10A3">
            <w:pPr>
              <w:spacing w:line="400" w:lineRule="exact"/>
              <w:ind w:firstLineChars="300" w:firstLine="960"/>
              <w:jc w:val="left"/>
              <w:rPr>
                <w:rFonts w:ascii="方正小标宋简体" w:eastAsia="方正小标宋简体" w:hAnsi="仿宋"/>
                <w:bCs/>
                <w:color w:val="000000" w:themeColor="text1"/>
                <w:sz w:val="32"/>
                <w:szCs w:val="32"/>
              </w:rPr>
            </w:pPr>
          </w:p>
          <w:p w:rsidR="00DE6FE2" w:rsidRPr="009479EF" w:rsidRDefault="00DE6FE2" w:rsidP="000B10A3">
            <w:pPr>
              <w:spacing w:line="400" w:lineRule="exact"/>
              <w:ind w:firstLineChars="300" w:firstLine="960"/>
              <w:jc w:val="left"/>
              <w:rPr>
                <w:rFonts w:ascii="方正小标宋简体" w:eastAsia="方正小标宋简体" w:hAnsi="仿宋"/>
                <w:bCs/>
                <w:color w:val="000000" w:themeColor="text1"/>
                <w:sz w:val="32"/>
                <w:szCs w:val="32"/>
              </w:rPr>
            </w:pPr>
          </w:p>
          <w:p w:rsidR="00DE6FE2" w:rsidRPr="009479EF" w:rsidRDefault="00DE6FE2" w:rsidP="000B10A3">
            <w:pPr>
              <w:spacing w:line="400" w:lineRule="exact"/>
              <w:ind w:firstLineChars="300" w:firstLine="960"/>
              <w:jc w:val="left"/>
              <w:rPr>
                <w:rFonts w:ascii="方正小标宋简体" w:eastAsia="方正小标宋简体" w:hAnsi="仿宋"/>
                <w:bCs/>
                <w:color w:val="000000" w:themeColor="text1"/>
                <w:sz w:val="32"/>
                <w:szCs w:val="32"/>
              </w:rPr>
            </w:pPr>
            <w:r w:rsidRPr="009479EF">
              <w:rPr>
                <w:rFonts w:ascii="方正小标宋简体" w:eastAsia="方正小标宋简体" w:hAnsi="仿宋" w:hint="eastAsia"/>
                <w:bCs/>
                <w:color w:val="000000" w:themeColor="text1"/>
                <w:sz w:val="32"/>
                <w:szCs w:val="32"/>
              </w:rPr>
              <w:t>附件17</w:t>
            </w:r>
          </w:p>
          <w:p w:rsidR="00DE6FE2" w:rsidRPr="009479EF" w:rsidRDefault="00DE6FE2" w:rsidP="000B10A3">
            <w:pPr>
              <w:spacing w:line="400" w:lineRule="exact"/>
              <w:jc w:val="center"/>
              <w:rPr>
                <w:rFonts w:ascii="方正小标宋简体" w:eastAsia="方正小标宋简体" w:hAnsi="仿宋"/>
                <w:bCs/>
                <w:color w:val="000000" w:themeColor="text1"/>
                <w:sz w:val="32"/>
                <w:szCs w:val="32"/>
              </w:rPr>
            </w:pPr>
            <w:r w:rsidRPr="009479EF">
              <w:rPr>
                <w:rFonts w:ascii="方正小标宋简体" w:eastAsia="方正小标宋简体" w:hAnsi="仿宋" w:hint="eastAsia"/>
                <w:bCs/>
                <w:color w:val="000000" w:themeColor="text1"/>
                <w:sz w:val="32"/>
                <w:szCs w:val="32"/>
              </w:rPr>
              <w:t>中央厨房和集体用餐配送单位动态风险因素量化分值表</w:t>
            </w:r>
          </w:p>
          <w:p w:rsidR="00DE6FE2" w:rsidRPr="009479EF" w:rsidRDefault="00DE6FE2" w:rsidP="000B10A3">
            <w:pPr>
              <w:spacing w:line="400" w:lineRule="exact"/>
              <w:jc w:val="center"/>
              <w:rPr>
                <w:rFonts w:ascii="方正小标宋简体" w:eastAsia="方正小标宋简体" w:hAnsi="仿宋"/>
                <w:bCs/>
                <w:color w:val="000000" w:themeColor="text1"/>
                <w:sz w:val="32"/>
                <w:szCs w:val="32"/>
              </w:rPr>
            </w:pPr>
            <w:r w:rsidRPr="009479EF">
              <w:rPr>
                <w:rFonts w:ascii="方正小标宋简体" w:eastAsia="方正小标宋简体" w:hAnsi="仿宋" w:hint="eastAsia"/>
                <w:bCs/>
                <w:color w:val="000000" w:themeColor="text1"/>
                <w:sz w:val="32"/>
                <w:szCs w:val="32"/>
              </w:rPr>
              <w:t>（中央厨房和集体用餐配送单位日常监督检查表）</w:t>
            </w:r>
          </w:p>
          <w:p w:rsidR="00DE6FE2" w:rsidRPr="009479EF" w:rsidRDefault="00DE6FE2" w:rsidP="000B10A3">
            <w:pPr>
              <w:spacing w:line="220" w:lineRule="exact"/>
              <w:rPr>
                <w:rFonts w:ascii="仿宋" w:eastAsia="仿宋" w:hAnsi="仿宋"/>
                <w:bCs/>
                <w:color w:val="000000" w:themeColor="text1"/>
                <w:szCs w:val="21"/>
              </w:rPr>
            </w:pPr>
          </w:p>
          <w:p w:rsidR="00DE6FE2" w:rsidRPr="009479EF" w:rsidRDefault="00DE6FE2" w:rsidP="000B10A3">
            <w:pPr>
              <w:spacing w:line="220" w:lineRule="exact"/>
              <w:rPr>
                <w:rFonts w:ascii="仿宋" w:eastAsia="仿宋" w:hAnsi="仿宋"/>
                <w:bCs/>
                <w:color w:val="000000" w:themeColor="text1"/>
                <w:sz w:val="32"/>
                <w:szCs w:val="32"/>
              </w:rPr>
            </w:pPr>
            <w:r w:rsidRPr="009479EF">
              <w:rPr>
                <w:rFonts w:ascii="仿宋" w:eastAsia="仿宋" w:hAnsi="仿宋" w:hint="eastAsia"/>
                <w:bCs/>
                <w:color w:val="000000" w:themeColor="text1"/>
                <w:szCs w:val="21"/>
              </w:rPr>
              <w:t>被评定人：　　　　　　　　　　　　　　　　　　　　　　　　　　　　评定时间：</w:t>
            </w:r>
          </w:p>
        </w:tc>
      </w:tr>
      <w:tr w:rsidR="00DE6FE2" w:rsidRPr="009479EF" w:rsidTr="000B10A3">
        <w:trPr>
          <w:trHeight w:val="473"/>
        </w:trPr>
        <w:tc>
          <w:tcPr>
            <w:tcW w:w="124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重点检查</w:t>
            </w:r>
          </w:p>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点位</w:t>
            </w: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项目序号</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检查项目</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检查</w:t>
            </w:r>
          </w:p>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序号</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检查内容</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检查结果</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b/>
                <w:bCs/>
                <w:color w:val="000000" w:themeColor="text1"/>
                <w:szCs w:val="21"/>
              </w:rPr>
            </w:pPr>
            <w:r w:rsidRPr="009479EF">
              <w:rPr>
                <w:rFonts w:ascii="仿宋" w:eastAsia="仿宋" w:hAnsi="仿宋" w:cs="仿宋" w:hint="eastAsia"/>
                <w:b/>
                <w:bCs/>
                <w:color w:val="000000" w:themeColor="text1"/>
                <w:szCs w:val="21"/>
              </w:rPr>
              <w:t>分值</w:t>
            </w:r>
          </w:p>
        </w:tc>
      </w:tr>
      <w:tr w:rsidR="00DE6FE2" w:rsidRPr="009479EF" w:rsidTr="000B10A3">
        <w:trPr>
          <w:trHeight w:val="675"/>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信息</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公示区</w:t>
            </w:r>
          </w:p>
        </w:tc>
        <w:tc>
          <w:tcPr>
            <w:tcW w:w="77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c>
          <w:tcPr>
            <w:tcW w:w="1071"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信息公示</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在经营场所醒目位置公示食品经营许可证、上一次日常监督检查结果记录表、</w:t>
            </w:r>
            <w:r w:rsidRPr="009479EF">
              <w:rPr>
                <w:rFonts w:ascii="仿宋" w:eastAsia="仿宋" w:hAnsi="仿宋" w:cs="仿宋" w:hint="eastAsia"/>
                <w:color w:val="000000" w:themeColor="text1"/>
                <w:kern w:val="0"/>
                <w:szCs w:val="21"/>
              </w:rPr>
              <w:t>食品安全负责人和管理员信息</w:t>
            </w:r>
            <w:r w:rsidRPr="009479EF">
              <w:rPr>
                <w:rFonts w:ascii="仿宋" w:eastAsia="仿宋" w:hAnsi="仿宋" w:cs="仿宋" w:hint="eastAsia"/>
                <w:color w:val="000000" w:themeColor="text1"/>
                <w:szCs w:val="21"/>
              </w:rPr>
              <w:t>。</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90"/>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772" w:type="dxa"/>
            <w:vMerge/>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1071" w:type="dxa"/>
            <w:vMerge/>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kern w:val="0"/>
                <w:szCs w:val="21"/>
              </w:rPr>
              <w:t>公示食品添加剂使用情况。</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30"/>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食品经营</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许可</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kern w:val="0"/>
                <w:sz w:val="20"/>
                <w:szCs w:val="20"/>
              </w:rPr>
              <w:t>★</w:t>
            </w:r>
            <w:r w:rsidRPr="009479EF">
              <w:rPr>
                <w:rFonts w:ascii="仿宋" w:eastAsia="仿宋" w:hAnsi="仿宋" w:cs="仿宋" w:hint="eastAsia"/>
                <w:color w:val="000000" w:themeColor="text1"/>
                <w:szCs w:val="21"/>
              </w:rPr>
              <w:t>2.1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lef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食品经营许可证合法有效，经营地址、经营项目与食品经营许可证一致。</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w:t>
            </w:r>
          </w:p>
        </w:tc>
      </w:tr>
      <w:tr w:rsidR="00DE6FE2" w:rsidRPr="009479EF" w:rsidTr="000B10A3">
        <w:trPr>
          <w:trHeight w:val="276"/>
        </w:trPr>
        <w:tc>
          <w:tcPr>
            <w:tcW w:w="124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原料</w:t>
            </w:r>
          </w:p>
          <w:p w:rsidR="00DE6FE2" w:rsidRPr="009479EF" w:rsidRDefault="00DE6FE2" w:rsidP="000B10A3">
            <w:pPr>
              <w:spacing w:line="240" w:lineRule="exact"/>
              <w:jc w:val="center"/>
              <w:rPr>
                <w:rFonts w:ascii="仿宋" w:eastAsia="仿宋" w:hAnsi="仿宋" w:cs="仿宋"/>
                <w:color w:val="000000" w:themeColor="text1"/>
                <w:szCs w:val="21"/>
              </w:rPr>
            </w:pPr>
            <w:proofErr w:type="gramStart"/>
            <w:r w:rsidRPr="009479EF">
              <w:rPr>
                <w:rFonts w:ascii="仿宋" w:eastAsia="仿宋" w:hAnsi="仿宋" w:cs="仿宋" w:hint="eastAsia"/>
                <w:color w:val="000000" w:themeColor="text1"/>
                <w:szCs w:val="21"/>
              </w:rPr>
              <w:t>贮存区</w:t>
            </w:r>
            <w:proofErr w:type="gramEnd"/>
          </w:p>
        </w:tc>
        <w:tc>
          <w:tcPr>
            <w:tcW w:w="77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w:t>
            </w:r>
          </w:p>
        </w:tc>
        <w:tc>
          <w:tcPr>
            <w:tcW w:w="1071"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原料贮存</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食品库房和非食品库房分开设置。</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DE6FE2" w:rsidRPr="009479EF" w:rsidTr="000B10A3">
        <w:trPr>
          <w:trHeight w:val="120"/>
        </w:trPr>
        <w:tc>
          <w:tcPr>
            <w:tcW w:w="1242" w:type="dxa"/>
            <w:vMerge/>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同一库房内贮存不同类别的食品和非食品（如食品包装材料等），分设存放区域，不同区域有明显的区分标识,贮存的食品和物品离墙离地。散装食品有食品储物箱，并标明名称、使用期限等内容。</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702"/>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3.3</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冷冻（藏）设施正常运转，有正确显示设施内部温度的温度计或温度显示装置，设施内部温度符合规定。冷冻（藏）</w:t>
            </w:r>
            <w:proofErr w:type="gramStart"/>
            <w:r w:rsidRPr="009479EF">
              <w:rPr>
                <w:rFonts w:ascii="仿宋" w:eastAsia="仿宋" w:hAnsi="仿宋" w:cs="仿宋" w:hint="eastAsia"/>
                <w:color w:val="000000" w:themeColor="text1"/>
                <w:szCs w:val="21"/>
              </w:rPr>
              <w:t>库使用</w:t>
            </w:r>
            <w:proofErr w:type="gramEnd"/>
            <w:r w:rsidRPr="009479EF">
              <w:rPr>
                <w:rFonts w:ascii="仿宋" w:eastAsia="仿宋" w:hAnsi="仿宋" w:cs="仿宋" w:hint="eastAsia"/>
                <w:color w:val="000000" w:themeColor="text1"/>
                <w:szCs w:val="21"/>
              </w:rPr>
              <w:t>防爆灯。</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150"/>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3.4</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冷冻（藏）设施中贮存的原料、半成品、成品分开存放，并有明显区分标识。</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697"/>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kern w:val="0"/>
                <w:sz w:val="20"/>
                <w:szCs w:val="20"/>
              </w:rPr>
              <w:t>★</w:t>
            </w:r>
            <w:r w:rsidRPr="009479EF">
              <w:rPr>
                <w:rFonts w:ascii="仿宋" w:eastAsia="仿宋" w:hAnsi="仿宋" w:cs="仿宋" w:hint="eastAsia"/>
                <w:color w:val="000000" w:themeColor="text1"/>
                <w:szCs w:val="21"/>
              </w:rPr>
              <w:t>3.5</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设有存放食品添加剂的专柜（位），并标注“食品添加剂”字样。食品添加剂的标签上标注有使用范围、用量、使用方法等内容。</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315"/>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★3.6</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4"/>
              </w:rPr>
            </w:pPr>
            <w:r w:rsidRPr="009479EF">
              <w:rPr>
                <w:rFonts w:ascii="仿宋" w:eastAsia="仿宋" w:hAnsi="仿宋" w:cs="仿宋" w:hint="eastAsia"/>
                <w:color w:val="000000" w:themeColor="text1"/>
                <w:szCs w:val="24"/>
              </w:rPr>
              <w:t>无禁用物质、无明确标识和无法说明来源的物质。</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195"/>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kern w:val="0"/>
                <w:sz w:val="20"/>
                <w:szCs w:val="20"/>
              </w:rPr>
            </w:pPr>
            <w:r w:rsidRPr="009479EF">
              <w:rPr>
                <w:rFonts w:ascii="仿宋" w:eastAsia="仿宋" w:hAnsi="仿宋" w:cs="仿宋" w:hint="eastAsia"/>
                <w:color w:val="000000" w:themeColor="text1"/>
                <w:szCs w:val="21"/>
              </w:rPr>
              <w:t>3.7</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食品库房设有通风、防潮及防止有害生物侵入的装置。</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568"/>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4</w:t>
            </w:r>
          </w:p>
        </w:tc>
        <w:tc>
          <w:tcPr>
            <w:tcW w:w="1071"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原料</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质量</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检查</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kern w:val="0"/>
                <w:sz w:val="20"/>
                <w:szCs w:val="20"/>
              </w:rPr>
              <w:t>★</w:t>
            </w:r>
            <w:r w:rsidRPr="009479EF">
              <w:rPr>
                <w:rFonts w:ascii="仿宋" w:eastAsia="仿宋" w:hAnsi="仿宋" w:cs="仿宋" w:hint="eastAsia"/>
                <w:color w:val="000000" w:themeColor="text1"/>
                <w:szCs w:val="21"/>
              </w:rPr>
              <w:t>4.1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食品具有正常的感官性状，</w:t>
            </w:r>
            <w:proofErr w:type="gramStart"/>
            <w:r w:rsidRPr="009479EF">
              <w:rPr>
                <w:rFonts w:ascii="仿宋" w:eastAsia="仿宋" w:hAnsi="仿宋" w:cs="仿宋" w:hint="eastAsia"/>
                <w:color w:val="000000" w:themeColor="text1"/>
                <w:szCs w:val="21"/>
              </w:rPr>
              <w:t>无超过</w:t>
            </w:r>
            <w:proofErr w:type="gramEnd"/>
            <w:r w:rsidRPr="009479EF">
              <w:rPr>
                <w:rFonts w:ascii="仿宋" w:eastAsia="仿宋" w:hAnsi="仿宋" w:cs="仿宋" w:hint="eastAsia"/>
                <w:color w:val="000000" w:themeColor="text1"/>
                <w:szCs w:val="21"/>
              </w:rPr>
              <w:t>保质期、无腐败变质等异常情形。</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w:t>
            </w:r>
          </w:p>
        </w:tc>
      </w:tr>
      <w:tr w:rsidR="00DE6FE2" w:rsidRPr="009479EF" w:rsidTr="000B10A3">
        <w:trPr>
          <w:trHeight w:val="787"/>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4.2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对变质、超过保质期或者回收的食品进行显著标示或者单独存放在有明确标志的场所，及时采取无害化处理、销毁等措施并如实记录。</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627"/>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4.3</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4"/>
              </w:rPr>
            </w:pPr>
            <w:r w:rsidRPr="009479EF">
              <w:rPr>
                <w:rFonts w:ascii="仿宋" w:eastAsia="仿宋" w:hAnsi="仿宋" w:cs="仿宋" w:hint="eastAsia"/>
                <w:color w:val="000000" w:themeColor="text1"/>
                <w:szCs w:val="24"/>
              </w:rPr>
              <w:t>食品的包装和标签符合要求，并按照要求的条件和规范贮存。</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□是□否</w:t>
            </w:r>
          </w:p>
        </w:tc>
        <w:tc>
          <w:tcPr>
            <w:tcW w:w="672" w:type="dxa"/>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847"/>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★4.4</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4"/>
              </w:rPr>
            </w:pPr>
            <w:r w:rsidRPr="009479EF">
              <w:rPr>
                <w:rFonts w:ascii="仿宋" w:eastAsia="仿宋" w:hAnsi="仿宋" w:cs="仿宋" w:hint="eastAsia"/>
                <w:color w:val="000000" w:themeColor="text1"/>
                <w:szCs w:val="24"/>
              </w:rPr>
              <w:t>食品加工用水符合生活饮用水卫生标准。加工制作现</w:t>
            </w:r>
            <w:proofErr w:type="gramStart"/>
            <w:r w:rsidRPr="009479EF">
              <w:rPr>
                <w:rFonts w:ascii="仿宋" w:eastAsia="仿宋" w:hAnsi="仿宋" w:cs="仿宋" w:hint="eastAsia"/>
                <w:color w:val="000000" w:themeColor="text1"/>
                <w:szCs w:val="24"/>
              </w:rPr>
              <w:t>榨</w:t>
            </w:r>
            <w:proofErr w:type="gramEnd"/>
            <w:r w:rsidRPr="009479EF">
              <w:rPr>
                <w:rFonts w:ascii="仿宋" w:eastAsia="仿宋" w:hAnsi="仿宋" w:cs="仿宋" w:hint="eastAsia"/>
                <w:color w:val="000000" w:themeColor="text1"/>
                <w:szCs w:val="24"/>
              </w:rPr>
              <w:t>果蔬汁和食用冰等直接入口食品的用水安装净水设施或使用煮沸冷却后的生活饮用水。</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4"/>
              </w:rPr>
              <w:t>□是□否</w:t>
            </w:r>
          </w:p>
        </w:tc>
        <w:tc>
          <w:tcPr>
            <w:tcW w:w="672" w:type="dxa"/>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815"/>
        </w:trPr>
        <w:tc>
          <w:tcPr>
            <w:tcW w:w="124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lastRenderedPageBreak/>
              <w:t>粗加工区</w:t>
            </w: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5</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场所卫生</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5.1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场所内保持清洁卫生，环境整洁、无异味，无苍蝇、老鼠、蟑螂，无污染源和活禽，地面、墙壁、门窗、天花板等无霉斑、污垢、积油、积水等情形。</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371"/>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6</w:t>
            </w:r>
          </w:p>
        </w:tc>
        <w:tc>
          <w:tcPr>
            <w:tcW w:w="1071"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粗加工</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与切配</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6.1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设有粗加工和切配区域。</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110"/>
        </w:trPr>
        <w:tc>
          <w:tcPr>
            <w:tcW w:w="1242" w:type="dxa"/>
            <w:vMerge/>
            <w:tcBorders>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1071" w:type="dxa"/>
            <w:vMerge/>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6.2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盛放或加工制作动物性、植物性、水产品等食品原料的工用具和容器分开使用，并有明显区分标识。</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339"/>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w:t>
            </w:r>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7</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场所布局</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7.1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各专间有明显的标识，并标明用途。</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DE6FE2" w:rsidRPr="009479EF" w:rsidTr="000B10A3">
        <w:trPr>
          <w:trHeight w:val="506"/>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7.2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专间的门自动闭合，窗户为封闭式（用于传递食品的除外），专间的门和食品传递窗口及时关闭。</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39"/>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8</w:t>
            </w:r>
          </w:p>
        </w:tc>
        <w:tc>
          <w:tcPr>
            <w:tcW w:w="1071"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设施设备</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8.1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专间内设有空气消毒、冷冻（藏）、独立的空调等设施，专间内温度不高于25℃。</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285"/>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4"/>
              </w:rPr>
            </w:pPr>
            <w:r w:rsidRPr="009479EF">
              <w:rPr>
                <w:rFonts w:ascii="仿宋" w:eastAsia="仿宋" w:hAnsi="仿宋" w:cs="仿宋" w:hint="eastAsia"/>
                <w:color w:val="000000" w:themeColor="text1"/>
                <w:szCs w:val="21"/>
              </w:rPr>
              <w:t>8.2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tabs>
                <w:tab w:val="left" w:pos="960"/>
              </w:tabs>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w:t>
            </w:r>
            <w:proofErr w:type="gramStart"/>
            <w:r w:rsidRPr="009479EF">
              <w:rPr>
                <w:rFonts w:ascii="仿宋" w:eastAsia="仿宋" w:hAnsi="仿宋" w:cs="仿宋" w:hint="eastAsia"/>
                <w:color w:val="000000" w:themeColor="text1"/>
                <w:szCs w:val="21"/>
              </w:rPr>
              <w:t>间内工用具</w:t>
            </w:r>
            <w:proofErr w:type="gramEnd"/>
            <w:r w:rsidRPr="009479EF">
              <w:rPr>
                <w:rFonts w:ascii="仿宋" w:eastAsia="仿宋" w:hAnsi="仿宋" w:cs="仿宋" w:hint="eastAsia"/>
                <w:color w:val="000000" w:themeColor="text1"/>
                <w:szCs w:val="21"/>
              </w:rPr>
              <w:t>专用并独立存放。</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240"/>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8.3</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tabs>
                <w:tab w:val="left" w:pos="960"/>
              </w:tabs>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专间入口处设有二次更衣设施，以及独立的非接触洗手、消毒、干手设施。</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506"/>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9</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人员</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9.1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专间内由专人加工制作。加工制作人员穿戴专用的工作衣帽、佩戴口罩并严格清洗消毒手部后进入专间。</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66"/>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10</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加工制作</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10.1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生食类食品、裱花蛋糕、冷食类食品等的加工在专间内进行（可不在专间加工的情形除外）。</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297"/>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10.2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食品的冷却、分装等在专间内进行。</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233"/>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11</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废弃物</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要求</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11.1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专间内的废弃物容器的盖子为非手动开启式。</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DE6FE2" w:rsidRPr="009479EF" w:rsidTr="000B10A3">
        <w:trPr>
          <w:trHeight w:val="214"/>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烹饪区</w:t>
            </w:r>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工具容器</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盛放调味料的容器表面清洁，加盖存放。</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DE6FE2" w:rsidRPr="009479EF" w:rsidTr="000B10A3">
        <w:trPr>
          <w:trHeight w:val="420"/>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12.2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用于加工动物性、植物性、水产品等食品原料的容器、工用具分开使用，并有明显区分标识。</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90"/>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13</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防尘、防有害生物设施</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13.1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配备防尘、防蝇、防鼠、防虫等设施设备，能够出具有害生物消杀记录。</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600"/>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14</w:t>
            </w:r>
          </w:p>
        </w:tc>
        <w:tc>
          <w:tcPr>
            <w:tcW w:w="1071"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照明、通风排烟</w:t>
            </w:r>
          </w:p>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设施</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14.1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配备通风、排烟、充足的自然光或人工照明设施，定期清洁，光源不改变食品的感官颜色。</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DE6FE2" w:rsidRPr="009479EF" w:rsidTr="000B10A3">
        <w:trPr>
          <w:trHeight w:val="225"/>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p>
        </w:tc>
        <w:tc>
          <w:tcPr>
            <w:tcW w:w="1071" w:type="dxa"/>
            <w:vMerge/>
            <w:tcBorders>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14.2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餐厨废弃物存放容器配有盖子，与食品加工制作容器有明显的区分标识，并及时清理，餐厨废弃物未溢出存放容器。</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0.5</w:t>
            </w:r>
          </w:p>
        </w:tc>
      </w:tr>
      <w:tr w:rsidR="00DE6FE2" w:rsidRPr="009479EF" w:rsidTr="000B10A3">
        <w:trPr>
          <w:trHeight w:val="923"/>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15</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加工制作</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15.1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未在餐饮加工场所贮存和添加由国务院食品安全监督管理部门会同国务院卫生行政等部门发布的非食品用化学物质和其他可能危害人体健康的物质。</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509"/>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★15.2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油炸类食品、烧烤类食品、糕点类食品、自制饮品等加工过程符合要求。</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508"/>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15.3</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未超范围、超限量使用食品添加剂，准确称量和记录有“最大使用量”规定的食品添加剂。</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263"/>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15.4</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未采购、贮存、使用亚硝酸盐（包括亚硝酸钠、亚硝酸钾）。</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45"/>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16</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食品留样</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16.1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对加工制作的每餐次食品成品进行留样，每个品种留样量不少于125克，并有留样记录。</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63"/>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left"/>
              <w:rPr>
                <w:rFonts w:ascii="仿宋" w:eastAsia="仿宋" w:hAnsi="仿宋" w:cs="仿宋"/>
                <w:color w:val="000000" w:themeColor="text1"/>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17</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人员卫生</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17.1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从事接触直接入口食品工作的从业人员，加工制作食品前对手部进行清洗消毒。</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92"/>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餐用具清洗</w:t>
            </w:r>
            <w:proofErr w:type="gramStart"/>
            <w:r w:rsidRPr="009479EF">
              <w:rPr>
                <w:rFonts w:ascii="仿宋" w:eastAsia="仿宋" w:hAnsi="仿宋" w:cs="仿宋" w:hint="eastAsia"/>
                <w:color w:val="000000" w:themeColor="text1"/>
                <w:szCs w:val="21"/>
              </w:rPr>
              <w:t>消毒区</w:t>
            </w:r>
            <w:proofErr w:type="gramEnd"/>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18</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清洗</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18.1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具有专用的餐用具清洗消毒水池，与食品原料、清洁用具及</w:t>
            </w:r>
            <w:proofErr w:type="gramStart"/>
            <w:r w:rsidRPr="009479EF">
              <w:rPr>
                <w:rFonts w:ascii="仿宋" w:eastAsia="仿宋" w:hAnsi="仿宋" w:cs="仿宋" w:hint="eastAsia"/>
                <w:color w:val="000000" w:themeColor="text1"/>
                <w:szCs w:val="21"/>
              </w:rPr>
              <w:t>接触非</w:t>
            </w:r>
            <w:proofErr w:type="gramEnd"/>
            <w:r w:rsidRPr="009479EF">
              <w:rPr>
                <w:rFonts w:ascii="仿宋" w:eastAsia="仿宋" w:hAnsi="仿宋" w:cs="仿宋" w:hint="eastAsia"/>
                <w:color w:val="000000" w:themeColor="text1"/>
                <w:szCs w:val="21"/>
              </w:rPr>
              <w:t>直接入口食品的工具、容器清洗水池分开。</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288"/>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18.2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洗涤剂、消毒剂的包装上标识有产品名称、生产厂名和厂址等内容。</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298"/>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19</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消毒</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19.1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采用物理消毒的，消毒设备正常运转，消毒温度和时间符合相关要求。</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678"/>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4"/>
              </w:rPr>
              <w:t>★</w:t>
            </w:r>
            <w:r w:rsidRPr="009479EF">
              <w:rPr>
                <w:rFonts w:ascii="仿宋" w:eastAsia="仿宋" w:hAnsi="仿宋" w:cs="仿宋" w:hint="eastAsia"/>
                <w:color w:val="000000" w:themeColor="text1"/>
                <w:szCs w:val="21"/>
              </w:rPr>
              <w:t>19.2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采用化学消毒的，配有含氯等消毒剂和水池等消毒设施设备，消毒液配制行为和消毒液浓度符合相关要求。</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108"/>
        </w:trPr>
        <w:tc>
          <w:tcPr>
            <w:tcW w:w="124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餐用具</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保洁区</w:t>
            </w:r>
          </w:p>
        </w:tc>
        <w:tc>
          <w:tcPr>
            <w:tcW w:w="772"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20</w:t>
            </w:r>
          </w:p>
        </w:tc>
        <w:tc>
          <w:tcPr>
            <w:tcW w:w="1071" w:type="dxa"/>
            <w:vMerge w:val="restart"/>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保洁设施</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★20.1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餐饮具表面光洁，无附着食物残渣等异物、无油渍、泡沫、异味。</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360"/>
        </w:trPr>
        <w:tc>
          <w:tcPr>
            <w:tcW w:w="1242" w:type="dxa"/>
            <w:vMerge/>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★20.2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消毒后的餐饮具存放在清洁、专用、密闭的保洁设施中，并有明显区分标识。</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90"/>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★20.3</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使用敞开式的货架存放餐饮具，采取防护措施。</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130"/>
        </w:trPr>
        <w:tc>
          <w:tcPr>
            <w:tcW w:w="124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left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20.4</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kern w:val="0"/>
                <w:szCs w:val="21"/>
              </w:rPr>
              <w:t>一次性餐饮</w:t>
            </w:r>
            <w:proofErr w:type="gramStart"/>
            <w:r w:rsidRPr="009479EF">
              <w:rPr>
                <w:rFonts w:ascii="仿宋" w:eastAsia="仿宋" w:hAnsi="仿宋" w:cs="仿宋" w:hint="eastAsia"/>
                <w:color w:val="000000" w:themeColor="text1"/>
                <w:kern w:val="0"/>
                <w:szCs w:val="21"/>
              </w:rPr>
              <w:t>具符合</w:t>
            </w:r>
            <w:proofErr w:type="gramEnd"/>
            <w:r w:rsidRPr="009479EF">
              <w:rPr>
                <w:rFonts w:ascii="仿宋" w:eastAsia="仿宋" w:hAnsi="仿宋" w:cs="仿宋" w:hint="eastAsia"/>
                <w:color w:val="000000" w:themeColor="text1"/>
                <w:kern w:val="0"/>
                <w:szCs w:val="21"/>
              </w:rPr>
              <w:t>食品安全要求。</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w:t>
            </w:r>
            <w:r w:rsidRPr="009479EF">
              <w:rPr>
                <w:rFonts w:ascii="仿宋" w:eastAsia="仿宋" w:hAnsi="仿宋" w:cs="仿宋" w:hint="eastAsia"/>
                <w:color w:val="000000" w:themeColor="text1"/>
                <w:kern w:val="0"/>
                <w:szCs w:val="21"/>
              </w:rPr>
              <w:t>合理缺项</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160"/>
        </w:trPr>
        <w:tc>
          <w:tcPr>
            <w:tcW w:w="1242" w:type="dxa"/>
            <w:vMerge/>
            <w:tcBorders>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20.5</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盛放食品及原料的容器和加工制作工具根据不同用途进行分类管理、定位存放，并具有明显标识或区分。</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274"/>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配送</w:t>
            </w:r>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设施设备</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贮存、运输对温度、湿度等有特殊要求的食品，具备保温、冷藏或者冷冻等设备设施，并保持有效运行。</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605"/>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使用专用的密闭容器和车辆配送食品。配送食品的车辆未与运输杀虫剂、杀鼠剂等有毒有害物品的车辆混用。</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76"/>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★21.3</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配送前，清洗消毒盛放食品成品的容器（一次性容器除外）。</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180"/>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21.4</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配送前，对运输车辆和配送容器进行清洁。</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678"/>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21.5</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中央厨房配送的食品应有包装（如密封塑袋包装）或使用密闭容器（如加盖周转箱）盛放。容器材料符合食品安全国家标准或有关规定。</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816"/>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★21.6</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中央厨房配送食品的包装或容器上标注有中央厨房的名称、地址、许可证号、联系方式、以及食品名称、加工制作时间、保存条件、保存期限、加工制作要求等。</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32"/>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★21.7</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集体用餐配送单位配送的食品有包装或使用密闭容器盛放，容器上标注食用时限和食用方法。</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□合理缺项</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w:t>
            </w:r>
          </w:p>
        </w:tc>
      </w:tr>
      <w:tr w:rsidR="00DE6FE2" w:rsidRPr="009479EF" w:rsidTr="000B10A3">
        <w:trPr>
          <w:trHeight w:val="560"/>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22</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配送条件</w:t>
            </w:r>
          </w:p>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要求</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22.1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食品的配送温度和湿度符合食品安全要求。高危易腐食品采取低温保存措施。</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436"/>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20" w:lineRule="exact"/>
              <w:jc w:val="center"/>
              <w:rPr>
                <w:rFonts w:ascii="仿宋" w:eastAsia="仿宋" w:hAnsi="仿宋" w:cs="仿宋"/>
                <w:color w:val="000000" w:themeColor="text1"/>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23</w:t>
            </w:r>
          </w:p>
        </w:tc>
        <w:tc>
          <w:tcPr>
            <w:tcW w:w="107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人员卫生</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23.1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配送人员个人卫生良好。</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2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555"/>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文件</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保存区</w:t>
            </w:r>
          </w:p>
        </w:tc>
        <w:tc>
          <w:tcPr>
            <w:tcW w:w="772"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文件</w:t>
            </w:r>
          </w:p>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与记录</w:t>
            </w: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★24.1</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具有食品、食品添加剂、食品相关产品的随货证明文件、每笔购物或销售凭证。具有完整的进货查验记录。</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375"/>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24.2</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采购畜禽肉类的，还具有动物产品检疫合格证明等相关证明文件。</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375"/>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★24.3</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有食品安全管理制度、食品安全追溯体系、供货者评价和退出制度、加工操作规程、设施设备清洗维护校验记录、餐饮具消毒保洁记录、废弃物处置制度、从业人员健康检查（健康证明文件、每日晨检）记录、食品安全自查记录（每周一次）、从业人员食品安全培训考核记录（每半年一次）、食品安全突发事件应急处置方案等。</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375"/>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★24.4</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设立食品安全管理机构，配备专职食品安全管理人员。</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742"/>
        </w:trPr>
        <w:tc>
          <w:tcPr>
            <w:tcW w:w="124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772"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widowControl/>
              <w:spacing w:line="240" w:lineRule="exact"/>
              <w:jc w:val="center"/>
              <w:rPr>
                <w:rFonts w:ascii="仿宋" w:eastAsia="仿宋" w:hAnsi="仿宋" w:cs="仿宋"/>
                <w:color w:val="000000" w:themeColor="text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24.5</w:t>
            </w:r>
          </w:p>
        </w:tc>
        <w:tc>
          <w:tcPr>
            <w:tcW w:w="502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rPr>
                <w:rFonts w:ascii="仿宋" w:eastAsia="仿宋" w:hAnsi="仿宋" w:cs="仿宋"/>
                <w:color w:val="000000" w:themeColor="text1"/>
                <w:szCs w:val="21"/>
              </w:rPr>
            </w:pPr>
            <w:r w:rsidRPr="009479EF">
              <w:rPr>
                <w:rFonts w:ascii="仿宋" w:eastAsia="仿宋" w:hAnsi="仿宋" w:cs="仿宋" w:hint="eastAsia"/>
                <w:color w:val="000000" w:themeColor="text1"/>
                <w:szCs w:val="21"/>
              </w:rPr>
              <w:t>具有检验检测计划，定期对大宗食品原料、加工制作环境等自行或委托具有资质的第三方机构进行检验检测。能够出具检验检测报告或记录。</w:t>
            </w:r>
          </w:p>
        </w:tc>
        <w:tc>
          <w:tcPr>
            <w:tcW w:w="1365"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□是□否</w:t>
            </w:r>
          </w:p>
        </w:tc>
        <w:tc>
          <w:tcPr>
            <w:tcW w:w="672" w:type="dxa"/>
            <w:tcBorders>
              <w:top w:val="single" w:sz="4" w:space="0" w:color="auto"/>
              <w:left w:val="single" w:sz="4" w:space="0" w:color="auto"/>
              <w:bottom w:val="single" w:sz="4" w:space="0" w:color="auto"/>
              <w:right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1</w:t>
            </w:r>
          </w:p>
        </w:tc>
      </w:tr>
      <w:tr w:rsidR="00DE6FE2" w:rsidRPr="009479EF" w:rsidTr="000B10A3">
        <w:trPr>
          <w:trHeight w:val="342"/>
        </w:trPr>
        <w:tc>
          <w:tcPr>
            <w:tcW w:w="3936" w:type="dxa"/>
            <w:gridSpan w:val="4"/>
            <w:tcBorders>
              <w:top w:val="single" w:sz="4" w:space="0" w:color="auto"/>
              <w:left w:val="single" w:sz="4" w:space="0" w:color="auto"/>
              <w:bottom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kern w:val="0"/>
                <w:szCs w:val="21"/>
              </w:rPr>
              <w:t>得分总和（60分）</w:t>
            </w:r>
          </w:p>
        </w:tc>
        <w:tc>
          <w:tcPr>
            <w:tcW w:w="7059" w:type="dxa"/>
            <w:gridSpan w:val="3"/>
            <w:tcBorders>
              <w:top w:val="single" w:sz="4" w:space="0" w:color="auto"/>
              <w:left w:val="single" w:sz="4" w:space="0" w:color="auto"/>
              <w:bottom w:val="single" w:sz="4" w:space="0" w:color="auto"/>
            </w:tcBorders>
            <w:vAlign w:val="center"/>
          </w:tcPr>
          <w:p w:rsidR="00DE6FE2" w:rsidRPr="009479EF" w:rsidRDefault="00DE6FE2" w:rsidP="000B10A3">
            <w:pPr>
              <w:spacing w:line="240" w:lineRule="exact"/>
              <w:jc w:val="center"/>
              <w:rPr>
                <w:rFonts w:ascii="仿宋" w:eastAsia="仿宋" w:hAnsi="仿宋" w:cs="仿宋"/>
                <w:color w:val="000000" w:themeColor="text1"/>
                <w:szCs w:val="21"/>
              </w:rPr>
            </w:pPr>
          </w:p>
        </w:tc>
      </w:tr>
      <w:tr w:rsidR="00DE6FE2" w:rsidRPr="009479EF" w:rsidTr="000B10A3">
        <w:trPr>
          <w:trHeight w:val="225"/>
        </w:trPr>
        <w:tc>
          <w:tcPr>
            <w:tcW w:w="1242" w:type="dxa"/>
            <w:tcBorders>
              <w:top w:val="single" w:sz="4" w:space="0" w:color="auto"/>
              <w:left w:val="single" w:sz="4" w:space="0" w:color="auto"/>
              <w:bottom w:val="single" w:sz="4" w:space="0" w:color="auto"/>
            </w:tcBorders>
            <w:vAlign w:val="center"/>
          </w:tcPr>
          <w:p w:rsidR="00DE6FE2" w:rsidRPr="009479EF" w:rsidRDefault="00DE6FE2" w:rsidP="000B10A3">
            <w:pPr>
              <w:spacing w:line="180" w:lineRule="exact"/>
              <w:jc w:val="center"/>
              <w:rPr>
                <w:rFonts w:ascii="仿宋" w:eastAsia="仿宋" w:hAnsi="仿宋" w:cs="仿宋"/>
                <w:color w:val="000000" w:themeColor="text1"/>
                <w:kern w:val="0"/>
                <w:sz w:val="20"/>
                <w:szCs w:val="20"/>
              </w:rPr>
            </w:pPr>
            <w:r w:rsidRPr="009479EF">
              <w:rPr>
                <w:rFonts w:ascii="仿宋" w:eastAsia="仿宋" w:hAnsi="仿宋" w:cs="仿宋" w:hint="eastAsia"/>
                <w:color w:val="000000" w:themeColor="text1"/>
                <w:kern w:val="0"/>
                <w:sz w:val="20"/>
                <w:szCs w:val="20"/>
              </w:rPr>
              <w:t>备</w:t>
            </w:r>
          </w:p>
          <w:p w:rsidR="00DE6FE2" w:rsidRPr="009479EF" w:rsidRDefault="00DE6FE2" w:rsidP="000B10A3">
            <w:pPr>
              <w:spacing w:line="180" w:lineRule="exact"/>
              <w:jc w:val="center"/>
              <w:rPr>
                <w:rFonts w:ascii="仿宋" w:eastAsia="仿宋" w:hAnsi="仿宋" w:cs="仿宋"/>
                <w:color w:val="000000" w:themeColor="text1"/>
                <w:kern w:val="0"/>
                <w:sz w:val="20"/>
                <w:szCs w:val="20"/>
              </w:rPr>
            </w:pPr>
          </w:p>
          <w:p w:rsidR="00DE6FE2" w:rsidRPr="009479EF" w:rsidRDefault="00DE6FE2" w:rsidP="000B10A3">
            <w:pPr>
              <w:spacing w:line="180" w:lineRule="exact"/>
              <w:jc w:val="center"/>
              <w:rPr>
                <w:rFonts w:ascii="仿宋" w:eastAsia="仿宋" w:hAnsi="仿宋" w:cs="仿宋"/>
                <w:color w:val="000000" w:themeColor="text1"/>
                <w:kern w:val="0"/>
                <w:sz w:val="20"/>
                <w:szCs w:val="20"/>
              </w:rPr>
            </w:pPr>
          </w:p>
          <w:p w:rsidR="00DE6FE2" w:rsidRPr="009479EF" w:rsidRDefault="00DE6FE2" w:rsidP="000B10A3">
            <w:pPr>
              <w:spacing w:line="180" w:lineRule="exact"/>
              <w:jc w:val="center"/>
              <w:rPr>
                <w:rFonts w:ascii="仿宋" w:eastAsia="仿宋" w:hAnsi="仿宋" w:cs="仿宋"/>
                <w:color w:val="000000" w:themeColor="text1"/>
                <w:kern w:val="0"/>
                <w:sz w:val="20"/>
                <w:szCs w:val="20"/>
              </w:rPr>
            </w:pPr>
            <w:r w:rsidRPr="009479EF">
              <w:rPr>
                <w:rFonts w:ascii="仿宋" w:eastAsia="仿宋" w:hAnsi="仿宋" w:cs="仿宋" w:hint="eastAsia"/>
                <w:color w:val="000000" w:themeColor="text1"/>
                <w:kern w:val="0"/>
                <w:sz w:val="20"/>
                <w:szCs w:val="20"/>
              </w:rPr>
              <w:t>注</w:t>
            </w:r>
          </w:p>
          <w:p w:rsidR="00DE6FE2" w:rsidRPr="009479EF" w:rsidRDefault="00DE6FE2" w:rsidP="000B10A3">
            <w:pPr>
              <w:spacing w:line="220" w:lineRule="exact"/>
              <w:ind w:leftChars="191" w:left="601" w:hangingChars="100" w:hanging="200"/>
              <w:rPr>
                <w:rFonts w:ascii="仿宋" w:eastAsia="仿宋" w:hAnsi="仿宋" w:cs="仿宋"/>
                <w:color w:val="000000" w:themeColor="text1"/>
                <w:kern w:val="0"/>
                <w:sz w:val="20"/>
                <w:szCs w:val="20"/>
              </w:rPr>
            </w:pPr>
          </w:p>
        </w:tc>
        <w:tc>
          <w:tcPr>
            <w:tcW w:w="9753" w:type="dxa"/>
            <w:gridSpan w:val="6"/>
            <w:tcBorders>
              <w:top w:val="single" w:sz="4" w:space="0" w:color="auto"/>
              <w:left w:val="single" w:sz="4" w:space="0" w:color="auto"/>
              <w:bottom w:val="single" w:sz="4" w:space="0" w:color="auto"/>
            </w:tcBorders>
            <w:vAlign w:val="center"/>
          </w:tcPr>
          <w:p w:rsidR="00DE6FE2" w:rsidRPr="009479EF" w:rsidRDefault="00DE6FE2" w:rsidP="000B10A3">
            <w:pPr>
              <w:spacing w:line="240" w:lineRule="exact"/>
              <w:ind w:left="210" w:hangingChars="100" w:hanging="210"/>
              <w:rPr>
                <w:rFonts w:ascii="仿宋" w:eastAsia="仿宋" w:hAnsi="仿宋" w:cs="仿宋"/>
                <w:color w:val="000000" w:themeColor="text1"/>
                <w:kern w:val="0"/>
                <w:szCs w:val="21"/>
              </w:rPr>
            </w:pPr>
            <w:r w:rsidRPr="009479EF">
              <w:rPr>
                <w:rFonts w:ascii="仿宋" w:eastAsia="仿宋" w:hAnsi="仿宋" w:cs="仿宋"/>
                <w:color w:val="000000" w:themeColor="text1"/>
                <w:kern w:val="0"/>
                <w:szCs w:val="21"/>
              </w:rPr>
              <w:t>1.中央厨房，指由餐饮单位建立的，具有独立场所及设施设备，集中完成食品成品或者半成品加工制作并配送的食品经营者。</w:t>
            </w:r>
          </w:p>
          <w:p w:rsidR="00DE6FE2" w:rsidRPr="009479EF" w:rsidRDefault="00DE6FE2" w:rsidP="000B10A3">
            <w:pPr>
              <w:spacing w:line="240" w:lineRule="exact"/>
              <w:rPr>
                <w:rFonts w:ascii="仿宋" w:eastAsia="仿宋" w:hAnsi="仿宋" w:cs="仿宋"/>
                <w:color w:val="000000" w:themeColor="text1"/>
                <w:kern w:val="0"/>
                <w:szCs w:val="21"/>
              </w:rPr>
            </w:pPr>
            <w:r w:rsidRPr="009479EF">
              <w:rPr>
                <w:rFonts w:ascii="仿宋" w:eastAsia="仿宋" w:hAnsi="仿宋" w:cs="仿宋"/>
                <w:color w:val="000000" w:themeColor="text1"/>
                <w:kern w:val="0"/>
                <w:szCs w:val="21"/>
              </w:rPr>
              <w:t>2.集中用餐配送单位，指根据服务对象订购要求，集中加工、分送食品但不提供就餐场所的食品经营者。</w:t>
            </w:r>
          </w:p>
          <w:p w:rsidR="00DE6FE2" w:rsidRPr="009479EF" w:rsidRDefault="00DE6FE2" w:rsidP="000B10A3">
            <w:pPr>
              <w:spacing w:line="240" w:lineRule="exact"/>
              <w:ind w:left="210" w:hangingChars="100" w:hanging="210"/>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3.</w:t>
            </w:r>
            <w:r w:rsidRPr="009479EF">
              <w:rPr>
                <w:rFonts w:ascii="仿宋" w:eastAsia="仿宋" w:hAnsi="仿宋" w:cs="仿宋"/>
                <w:color w:val="000000" w:themeColor="text1"/>
                <w:kern w:val="0"/>
                <w:szCs w:val="21"/>
              </w:rPr>
              <w:t>中央厨房和集体用餐配送单位动态风险因素采取风险加分方式进行打分，评价结果为“否”的进行风险分数累加；评价结果“是”或者“合理缺项”的不加分，总分为60分。</w:t>
            </w:r>
          </w:p>
          <w:p w:rsidR="00DE6FE2" w:rsidRPr="009479EF" w:rsidRDefault="00DE6FE2" w:rsidP="000B10A3">
            <w:pPr>
              <w:spacing w:line="240" w:lineRule="exact"/>
              <w:rPr>
                <w:rFonts w:ascii="仿宋" w:eastAsia="仿宋" w:hAnsi="仿宋" w:cs="仿宋"/>
                <w:color w:val="000000" w:themeColor="text1"/>
                <w:kern w:val="0"/>
                <w:szCs w:val="21"/>
              </w:rPr>
            </w:pPr>
            <w:r w:rsidRPr="009479EF">
              <w:rPr>
                <w:rFonts w:ascii="仿宋" w:eastAsia="仿宋" w:hAnsi="仿宋" w:cs="仿宋"/>
                <w:color w:val="000000" w:themeColor="text1"/>
                <w:kern w:val="0"/>
                <w:szCs w:val="21"/>
              </w:rPr>
              <w:t>4.日常监督检查共60项检查内容，重点项（检查序号中打★号项）24项，一般项36项。</w:t>
            </w:r>
          </w:p>
          <w:p w:rsidR="00DE6FE2" w:rsidRPr="009479EF" w:rsidRDefault="00DE6FE2" w:rsidP="000B10A3">
            <w:pPr>
              <w:spacing w:line="240" w:lineRule="exact"/>
              <w:ind w:left="210" w:hangingChars="100" w:hanging="210"/>
              <w:rPr>
                <w:rFonts w:ascii="仿宋" w:eastAsia="仿宋" w:hAnsi="仿宋" w:cs="仿宋"/>
                <w:color w:val="000000" w:themeColor="text1"/>
                <w:kern w:val="0"/>
                <w:szCs w:val="21"/>
              </w:rPr>
            </w:pPr>
            <w:r w:rsidRPr="009479EF">
              <w:rPr>
                <w:rFonts w:ascii="仿宋" w:eastAsia="仿宋" w:hAnsi="仿宋" w:cs="仿宋"/>
                <w:color w:val="000000" w:themeColor="text1"/>
                <w:kern w:val="0"/>
                <w:szCs w:val="21"/>
              </w:rPr>
              <w:t>5.检查结果判定方法：</w:t>
            </w:r>
            <w:r w:rsidRPr="009479EF">
              <w:rPr>
                <w:rFonts w:ascii="仿宋" w:eastAsia="仿宋" w:hAnsi="仿宋" w:cs="仿宋" w:hint="eastAsia"/>
                <w:color w:val="000000" w:themeColor="text1"/>
                <w:kern w:val="0"/>
                <w:szCs w:val="21"/>
              </w:rPr>
              <w:t>①符</w:t>
            </w:r>
            <w:r w:rsidRPr="009479EF">
              <w:rPr>
                <w:rFonts w:ascii="仿宋" w:eastAsia="仿宋" w:hAnsi="仿宋" w:cs="仿宋"/>
                <w:color w:val="000000" w:themeColor="text1"/>
                <w:kern w:val="0"/>
                <w:szCs w:val="21"/>
              </w:rPr>
              <w:t>合：检查中未发现问题；</w:t>
            </w:r>
            <w:r w:rsidRPr="009479EF">
              <w:rPr>
                <w:rFonts w:ascii="仿宋" w:eastAsia="仿宋" w:hAnsi="仿宋" w:cs="仿宋" w:hint="eastAsia"/>
                <w:color w:val="000000" w:themeColor="text1"/>
                <w:kern w:val="0"/>
                <w:szCs w:val="21"/>
              </w:rPr>
              <w:t>②基本符合：未发现检查的重点项不合格，且</w:t>
            </w:r>
            <w:r w:rsidRPr="009479EF">
              <w:rPr>
                <w:rFonts w:ascii="仿宋" w:eastAsia="仿宋" w:hAnsi="仿宋" w:cs="仿宋"/>
                <w:color w:val="000000" w:themeColor="text1"/>
                <w:kern w:val="0"/>
                <w:szCs w:val="21"/>
              </w:rPr>
              <w:t>70%≤一般项合格率＜100%；</w:t>
            </w:r>
            <w:r w:rsidRPr="009479EF">
              <w:rPr>
                <w:rFonts w:ascii="仿宋" w:eastAsia="仿宋" w:hAnsi="仿宋" w:cs="仿宋" w:hint="eastAsia"/>
                <w:color w:val="000000" w:themeColor="text1"/>
                <w:kern w:val="0"/>
                <w:szCs w:val="21"/>
              </w:rPr>
              <w:t>③不</w:t>
            </w:r>
            <w:r w:rsidRPr="009479EF">
              <w:rPr>
                <w:rFonts w:ascii="仿宋" w:eastAsia="仿宋" w:hAnsi="仿宋" w:cs="仿宋"/>
                <w:color w:val="000000" w:themeColor="text1"/>
                <w:kern w:val="0"/>
                <w:szCs w:val="21"/>
              </w:rPr>
              <w:t>符合：重点</w:t>
            </w:r>
            <w:proofErr w:type="gramStart"/>
            <w:r w:rsidRPr="009479EF">
              <w:rPr>
                <w:rFonts w:ascii="仿宋" w:eastAsia="仿宋" w:hAnsi="仿宋" w:cs="仿宋"/>
                <w:color w:val="000000" w:themeColor="text1"/>
                <w:kern w:val="0"/>
                <w:szCs w:val="21"/>
              </w:rPr>
              <w:t>项存在</w:t>
            </w:r>
            <w:proofErr w:type="gramEnd"/>
            <w:r w:rsidRPr="009479EF">
              <w:rPr>
                <w:rFonts w:ascii="仿宋" w:eastAsia="仿宋" w:hAnsi="仿宋" w:cs="仿宋"/>
                <w:color w:val="000000" w:themeColor="text1"/>
                <w:kern w:val="0"/>
                <w:szCs w:val="21"/>
              </w:rPr>
              <w:t>1项及以上不合格，或一般项合格率＜70%。</w:t>
            </w:r>
          </w:p>
          <w:p w:rsidR="00DE6FE2" w:rsidRPr="009479EF" w:rsidRDefault="00DE6FE2" w:rsidP="000B10A3">
            <w:pPr>
              <w:widowControl/>
              <w:spacing w:line="240" w:lineRule="exact"/>
              <w:rPr>
                <w:rFonts w:ascii="仿宋" w:eastAsia="仿宋" w:hAnsi="仿宋" w:cs="仿宋"/>
                <w:color w:val="000000" w:themeColor="text1"/>
                <w:kern w:val="0"/>
                <w:sz w:val="20"/>
                <w:szCs w:val="20"/>
              </w:rPr>
            </w:pPr>
            <w:r w:rsidRPr="009479EF">
              <w:rPr>
                <w:rFonts w:ascii="仿宋" w:eastAsia="仿宋" w:hAnsi="仿宋" w:cs="仿宋"/>
                <w:color w:val="000000" w:themeColor="text1"/>
                <w:kern w:val="0"/>
                <w:szCs w:val="21"/>
              </w:rPr>
              <w:t>6.存在合理缺项时，一般项合格率的计算方法为：合格项目数/（检查项目数－合理缺项数）×100%。</w:t>
            </w:r>
          </w:p>
        </w:tc>
      </w:tr>
    </w:tbl>
    <w:p w:rsidR="006952D3" w:rsidRPr="00DE6FE2" w:rsidRDefault="006952D3">
      <w:bookmarkStart w:id="0" w:name="_GoBack"/>
      <w:bookmarkEnd w:id="0"/>
    </w:p>
    <w:sectPr w:rsidR="006952D3" w:rsidRPr="00DE6F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667" w:rsidRDefault="00E72667" w:rsidP="00DE6FE2">
      <w:r>
        <w:separator/>
      </w:r>
    </w:p>
  </w:endnote>
  <w:endnote w:type="continuationSeparator" w:id="0">
    <w:p w:rsidR="00E72667" w:rsidRDefault="00E72667" w:rsidP="00DE6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667" w:rsidRDefault="00E72667" w:rsidP="00DE6FE2">
      <w:r>
        <w:separator/>
      </w:r>
    </w:p>
  </w:footnote>
  <w:footnote w:type="continuationSeparator" w:id="0">
    <w:p w:rsidR="00E72667" w:rsidRDefault="00E72667" w:rsidP="00DE6F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14D"/>
    <w:rsid w:val="0001197F"/>
    <w:rsid w:val="00035797"/>
    <w:rsid w:val="00055714"/>
    <w:rsid w:val="000A466E"/>
    <w:rsid w:val="000C03F9"/>
    <w:rsid w:val="000C2F8B"/>
    <w:rsid w:val="000D2429"/>
    <w:rsid w:val="00102020"/>
    <w:rsid w:val="00121C06"/>
    <w:rsid w:val="00137B49"/>
    <w:rsid w:val="0014014D"/>
    <w:rsid w:val="00140AF3"/>
    <w:rsid w:val="00163019"/>
    <w:rsid w:val="001D00EF"/>
    <w:rsid w:val="001F3B9F"/>
    <w:rsid w:val="0021105F"/>
    <w:rsid w:val="00223BB6"/>
    <w:rsid w:val="00271697"/>
    <w:rsid w:val="002800B6"/>
    <w:rsid w:val="0028099E"/>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72C04"/>
    <w:rsid w:val="0078015F"/>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72537"/>
    <w:rsid w:val="00DE6FE2"/>
    <w:rsid w:val="00DF247C"/>
    <w:rsid w:val="00DF3D42"/>
    <w:rsid w:val="00E06AD6"/>
    <w:rsid w:val="00E17D16"/>
    <w:rsid w:val="00E41E3E"/>
    <w:rsid w:val="00E72667"/>
    <w:rsid w:val="00EA15F3"/>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FE2"/>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6F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6FE2"/>
    <w:rPr>
      <w:sz w:val="18"/>
      <w:szCs w:val="18"/>
    </w:rPr>
  </w:style>
  <w:style w:type="paragraph" w:styleId="a4">
    <w:name w:val="footer"/>
    <w:basedOn w:val="a"/>
    <w:link w:val="Char0"/>
    <w:uiPriority w:val="99"/>
    <w:unhideWhenUsed/>
    <w:rsid w:val="00DE6F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6FE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FE2"/>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6F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6FE2"/>
    <w:rPr>
      <w:sz w:val="18"/>
      <w:szCs w:val="18"/>
    </w:rPr>
  </w:style>
  <w:style w:type="paragraph" w:styleId="a4">
    <w:name w:val="footer"/>
    <w:basedOn w:val="a"/>
    <w:link w:val="Char0"/>
    <w:uiPriority w:val="99"/>
    <w:unhideWhenUsed/>
    <w:rsid w:val="00DE6F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6F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2078</Words>
  <Characters>2099</Characters>
  <Application>Microsoft Office Word</Application>
  <DocSecurity>0</DocSecurity>
  <Lines>99</Lines>
  <Paragraphs>63</Paragraphs>
  <ScaleCrop>false</ScaleCrop>
  <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2020-03-31T06:56:00Z</dcterms:created>
  <dcterms:modified xsi:type="dcterms:W3CDTF">2020-03-31T06:57:00Z</dcterms:modified>
</cp:coreProperties>
</file>