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2019年度广东省涂料产品质量监督抽查</w:t>
      </w:r>
    </w:p>
    <w:p>
      <w:pPr>
        <w:spacing w:line="600" w:lineRule="exact"/>
        <w:jc w:val="center"/>
        <w:rPr>
          <w:rFonts w:ascii="方正小标宋简体" w:hAnsi="方正小标宋简体" w:eastAsia="方正小标宋简体" w:cs="方正小标宋简体"/>
          <w:bCs/>
          <w:sz w:val="36"/>
          <w:szCs w:val="44"/>
        </w:rPr>
      </w:pPr>
      <w:r>
        <w:rPr>
          <w:rFonts w:hint="eastAsia" w:ascii="方正小标宋简体" w:hAnsi="方正小标宋简体" w:eastAsia="方正小标宋简体" w:cs="方正小标宋简体"/>
          <w:kern w:val="0"/>
          <w:sz w:val="44"/>
          <w:szCs w:val="44"/>
        </w:rPr>
        <w:t>实施</w:t>
      </w:r>
      <w:r>
        <w:rPr>
          <w:rFonts w:hint="eastAsia" w:ascii="方正小标宋简体" w:hAnsi="方正小标宋简体" w:eastAsia="方正小标宋简体" w:cs="方正小标宋简体"/>
          <w:kern w:val="0"/>
          <w:sz w:val="44"/>
          <w:szCs w:val="44"/>
          <w:lang w:eastAsia="zh-CN"/>
        </w:rPr>
        <w:t>细则</w:t>
      </w:r>
    </w:p>
    <w:p>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jc w:val="left"/>
        <w:textAlignment w:val="auto"/>
        <w:outlineLvl w:val="9"/>
        <w:rPr>
          <w:b/>
          <w:bCs/>
          <w:sz w:val="30"/>
          <w:szCs w:val="32"/>
        </w:rPr>
      </w:pPr>
    </w:p>
    <w:p>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firstLine="640" w:firstLineChars="200"/>
        <w:jc w:val="both"/>
        <w:textAlignment w:val="auto"/>
        <w:outlineLvl w:val="9"/>
        <w:rPr>
          <w:szCs w:val="32"/>
        </w:rPr>
      </w:pPr>
      <w:r>
        <w:rPr>
          <w:szCs w:val="32"/>
        </w:rPr>
        <w:t>本方案由广东省市场监督管理局制定，适用于2019年度广东省市场监督管理局组织的</w:t>
      </w:r>
      <w:r>
        <w:rPr>
          <w:rFonts w:hint="eastAsia"/>
          <w:szCs w:val="32"/>
        </w:rPr>
        <w:t>涂料</w:t>
      </w:r>
      <w:r>
        <w:rPr>
          <w:szCs w:val="32"/>
        </w:rPr>
        <w:t>产品质量监督抽查的抽样、检验工作。</w:t>
      </w:r>
    </w:p>
    <w:p>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firstLine="640" w:firstLineChars="200"/>
        <w:jc w:val="both"/>
        <w:textAlignment w:val="auto"/>
        <w:outlineLvl w:val="9"/>
        <w:rPr>
          <w:rFonts w:eastAsia="黑体"/>
          <w:szCs w:val="32"/>
        </w:rPr>
      </w:pPr>
      <w:r>
        <w:rPr>
          <w:rFonts w:eastAsia="黑体"/>
          <w:szCs w:val="32"/>
        </w:rPr>
        <w:t>一、</w:t>
      </w:r>
      <w:r>
        <w:rPr>
          <w:rFonts w:hint="eastAsia" w:eastAsia="黑体"/>
          <w:szCs w:val="32"/>
        </w:rPr>
        <w:t>监督抽查</w:t>
      </w:r>
      <w:r>
        <w:rPr>
          <w:rFonts w:eastAsia="黑体"/>
          <w:szCs w:val="32"/>
        </w:rPr>
        <w:t>的产品</w:t>
      </w:r>
    </w:p>
    <w:p>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firstLine="640" w:firstLineChars="200"/>
        <w:jc w:val="both"/>
        <w:textAlignment w:val="auto"/>
        <w:outlineLvl w:val="9"/>
        <w:rPr>
          <w:szCs w:val="32"/>
        </w:rPr>
      </w:pPr>
      <w:r>
        <w:rPr>
          <w:rFonts w:hint="eastAsia"/>
          <w:szCs w:val="32"/>
        </w:rPr>
        <w:t>（一）</w:t>
      </w:r>
      <w:r>
        <w:rPr>
          <w:szCs w:val="32"/>
        </w:rPr>
        <w:t>抽查产品品种：</w:t>
      </w:r>
      <w:r>
        <w:rPr>
          <w:rFonts w:hint="eastAsia"/>
          <w:szCs w:val="32"/>
        </w:rPr>
        <w:t>涂料，包括溶剂型木器涂料、合成树脂乳液内墙涂料（面漆）、建筑用外墙涂料（水性，面漆）、建筑用防水涂料以及水性木器涂料</w:t>
      </w:r>
      <w:r>
        <w:rPr>
          <w:szCs w:val="32"/>
        </w:rPr>
        <w:t xml:space="preserve">。 </w:t>
      </w:r>
    </w:p>
    <w:p>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firstLine="640" w:firstLineChars="200"/>
        <w:jc w:val="both"/>
        <w:textAlignment w:val="auto"/>
        <w:outlineLvl w:val="9"/>
        <w:rPr>
          <w:szCs w:val="32"/>
        </w:rPr>
      </w:pPr>
      <w:r>
        <w:rPr>
          <w:rFonts w:hint="eastAsia"/>
          <w:szCs w:val="32"/>
        </w:rPr>
        <w:t>（二）</w:t>
      </w:r>
      <w:r>
        <w:rPr>
          <w:szCs w:val="32"/>
        </w:rPr>
        <w:t>本次抽查的监督总体确定为：广东省生产和流通领域</w:t>
      </w:r>
      <w:r>
        <w:rPr>
          <w:rFonts w:hint="eastAsia"/>
          <w:szCs w:val="32"/>
        </w:rPr>
        <w:t>与</w:t>
      </w:r>
      <w:r>
        <w:rPr>
          <w:szCs w:val="32"/>
        </w:rPr>
        <w:t>抽检的样本标称同一商标（或标称同一生产者）同一型号的产品集合。</w:t>
      </w:r>
    </w:p>
    <w:p>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firstLine="630"/>
        <w:jc w:val="both"/>
        <w:textAlignment w:val="auto"/>
        <w:outlineLvl w:val="9"/>
        <w:rPr>
          <w:szCs w:val="32"/>
        </w:rPr>
      </w:pPr>
      <w:r>
        <w:rPr>
          <w:rFonts w:hint="eastAsia"/>
          <w:szCs w:val="32"/>
        </w:rPr>
        <w:t>（三）</w:t>
      </w:r>
      <w:r>
        <w:rPr>
          <w:szCs w:val="32"/>
        </w:rPr>
        <w:t>需抽取样品的数量如下：</w:t>
      </w:r>
    </w:p>
    <w:tbl>
      <w:tblPr>
        <w:tblStyle w:val="3"/>
        <w:tblpPr w:leftFromText="180" w:rightFromText="180" w:vertAnchor="text" w:horzAnchor="page" w:tblpX="1561" w:tblpY="576"/>
        <w:tblOverlap w:val="never"/>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2"/>
        <w:gridCol w:w="4169"/>
        <w:gridCol w:w="24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blHeader/>
        </w:trPr>
        <w:tc>
          <w:tcPr>
            <w:tcW w:w="2512" w:type="dxa"/>
            <w:vAlign w:val="center"/>
          </w:tcPr>
          <w:p>
            <w:pPr>
              <w:spacing w:line="520" w:lineRule="exact"/>
              <w:jc w:val="center"/>
              <w:rPr>
                <w:rFonts w:hint="default" w:ascii="Times New Roman" w:hAnsi="Times New Roman" w:cs="Times New Roman"/>
                <w:b/>
                <w:bCs/>
                <w:sz w:val="21"/>
                <w:szCs w:val="21"/>
              </w:rPr>
            </w:pPr>
            <w:r>
              <w:rPr>
                <w:rFonts w:hint="default" w:ascii="Times New Roman" w:hAnsi="Times New Roman" w:cs="Times New Roman"/>
                <w:b/>
                <w:bCs/>
                <w:sz w:val="21"/>
                <w:szCs w:val="21"/>
              </w:rPr>
              <w:t>被抽查的产品品种</w:t>
            </w:r>
          </w:p>
        </w:tc>
        <w:tc>
          <w:tcPr>
            <w:tcW w:w="4169" w:type="dxa"/>
            <w:vAlign w:val="center"/>
          </w:tcPr>
          <w:p>
            <w:pPr>
              <w:spacing w:line="520" w:lineRule="exact"/>
              <w:jc w:val="center"/>
              <w:rPr>
                <w:rFonts w:hint="default" w:ascii="Times New Roman" w:hAnsi="Times New Roman" w:cs="Times New Roman"/>
                <w:b/>
                <w:bCs/>
                <w:sz w:val="21"/>
                <w:szCs w:val="21"/>
              </w:rPr>
            </w:pPr>
            <w:r>
              <w:rPr>
                <w:rFonts w:hint="default" w:ascii="Times New Roman" w:hAnsi="Times New Roman" w:cs="Times New Roman"/>
                <w:b/>
                <w:bCs/>
                <w:kern w:val="0"/>
                <w:sz w:val="21"/>
                <w:szCs w:val="21"/>
              </w:rPr>
              <w:t>第1组数量</w:t>
            </w:r>
            <w:r>
              <w:rPr>
                <w:rFonts w:hint="default" w:ascii="Times New Roman" w:hAnsi="Times New Roman" w:cs="Times New Roman"/>
                <w:b/>
                <w:bCs/>
                <w:sz w:val="21"/>
                <w:szCs w:val="21"/>
              </w:rPr>
              <w:t>（款）</w:t>
            </w:r>
          </w:p>
        </w:tc>
        <w:tc>
          <w:tcPr>
            <w:tcW w:w="2499" w:type="dxa"/>
            <w:vAlign w:val="center"/>
          </w:tcPr>
          <w:p>
            <w:pPr>
              <w:spacing w:line="520" w:lineRule="exact"/>
              <w:jc w:val="center"/>
              <w:rPr>
                <w:rFonts w:hint="default" w:ascii="Times New Roman" w:hAnsi="Times New Roman" w:cs="Times New Roman"/>
                <w:b/>
                <w:bCs/>
                <w:sz w:val="21"/>
                <w:szCs w:val="21"/>
              </w:rPr>
            </w:pPr>
            <w:r>
              <w:rPr>
                <w:rFonts w:hint="default" w:ascii="Times New Roman" w:hAnsi="Times New Roman" w:cs="Times New Roman"/>
                <w:b/>
                <w:bCs/>
                <w:kern w:val="0"/>
                <w:sz w:val="21"/>
                <w:szCs w:val="21"/>
              </w:rPr>
              <w:t>第2组数量</w:t>
            </w:r>
            <w:r>
              <w:rPr>
                <w:rFonts w:hint="default" w:ascii="Times New Roman" w:hAnsi="Times New Roman" w:cs="Times New Roman"/>
                <w:b/>
                <w:bCs/>
                <w:sz w:val="21"/>
                <w:szCs w:val="21"/>
              </w:rPr>
              <w:t>（款）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2512" w:type="dxa"/>
            <w:vAlign w:val="center"/>
          </w:tcPr>
          <w:p>
            <w:pPr>
              <w:spacing w:line="240" w:lineRule="atLeast"/>
              <w:jc w:val="center"/>
              <w:rPr>
                <w:rFonts w:hint="default" w:ascii="Times New Roman" w:hAnsi="Times New Roman" w:cs="Times New Roman"/>
                <w:sz w:val="21"/>
                <w:szCs w:val="21"/>
              </w:rPr>
            </w:pPr>
            <w:r>
              <w:rPr>
                <w:rFonts w:hint="default" w:ascii="Times New Roman" w:hAnsi="Times New Roman" w:cs="Times New Roman"/>
                <w:sz w:val="21"/>
                <w:szCs w:val="21"/>
              </w:rPr>
              <w:t>溶剂型木器涂料</w:t>
            </w:r>
          </w:p>
        </w:tc>
        <w:tc>
          <w:tcPr>
            <w:tcW w:w="4169" w:type="dxa"/>
            <w:vAlign w:val="center"/>
          </w:tcPr>
          <w:p>
            <w:pPr>
              <w:spacing w:line="520" w:lineRule="exact"/>
              <w:jc w:val="center"/>
              <w:rPr>
                <w:rFonts w:hint="default" w:ascii="Times New Roman" w:hAnsi="Times New Roman" w:cs="Times New Roman"/>
                <w:sz w:val="21"/>
                <w:szCs w:val="21"/>
              </w:rPr>
            </w:pPr>
            <w:r>
              <w:rPr>
                <w:rFonts w:hint="default" w:ascii="Times New Roman" w:hAnsi="Times New Roman" w:cs="Times New Roman"/>
                <w:sz w:val="21"/>
                <w:szCs w:val="21"/>
              </w:rPr>
              <w:t>主剂≥1 kg，配套产品按配比抽取适量样品。</w:t>
            </w:r>
          </w:p>
        </w:tc>
        <w:tc>
          <w:tcPr>
            <w:tcW w:w="2499" w:type="dxa"/>
            <w:vAlign w:val="center"/>
          </w:tcPr>
          <w:p>
            <w:pPr>
              <w:spacing w:line="520" w:lineRule="exact"/>
              <w:jc w:val="center"/>
              <w:rPr>
                <w:rFonts w:hint="default" w:ascii="Times New Roman" w:hAnsi="Times New Roman" w:cs="Times New Roman"/>
                <w:sz w:val="21"/>
                <w:szCs w:val="21"/>
              </w:rPr>
            </w:pPr>
            <w:r>
              <w:rPr>
                <w:rFonts w:hint="default" w:ascii="Times New Roman" w:hAnsi="Times New Roman" w:cs="Times New Roman"/>
                <w:sz w:val="21"/>
                <w:szCs w:val="21"/>
              </w:rPr>
              <w:t>主剂≥1 kg，配套产品按配比抽取适量样品。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2512" w:type="dxa"/>
            <w:vAlign w:val="center"/>
          </w:tcPr>
          <w:p>
            <w:pPr>
              <w:spacing w:line="240" w:lineRule="atLeast"/>
              <w:jc w:val="center"/>
              <w:rPr>
                <w:rFonts w:hint="default" w:ascii="Times New Roman" w:hAnsi="Times New Roman" w:cs="Times New Roman"/>
                <w:sz w:val="21"/>
                <w:szCs w:val="21"/>
              </w:rPr>
            </w:pPr>
            <w:r>
              <w:rPr>
                <w:rFonts w:hint="default" w:ascii="Times New Roman" w:hAnsi="Times New Roman" w:cs="Times New Roman"/>
                <w:sz w:val="21"/>
                <w:szCs w:val="21"/>
              </w:rPr>
              <w:t>水性木器涂料</w:t>
            </w:r>
          </w:p>
        </w:tc>
        <w:tc>
          <w:tcPr>
            <w:tcW w:w="4169" w:type="dxa"/>
            <w:vAlign w:val="center"/>
          </w:tcPr>
          <w:p>
            <w:pPr>
              <w:spacing w:line="520" w:lineRule="exact"/>
              <w:jc w:val="center"/>
              <w:rPr>
                <w:rFonts w:hint="default" w:ascii="Times New Roman" w:hAnsi="Times New Roman" w:cs="Times New Roman"/>
                <w:sz w:val="21"/>
                <w:szCs w:val="21"/>
              </w:rPr>
            </w:pPr>
            <w:r>
              <w:rPr>
                <w:rFonts w:hint="default" w:ascii="Times New Roman" w:hAnsi="Times New Roman" w:cs="Times New Roman"/>
                <w:sz w:val="21"/>
                <w:szCs w:val="21"/>
              </w:rPr>
              <w:t>主漆≥1 kg，配套产品按配比抽取适量样品。</w:t>
            </w:r>
          </w:p>
        </w:tc>
        <w:tc>
          <w:tcPr>
            <w:tcW w:w="2499" w:type="dxa"/>
            <w:vAlign w:val="center"/>
          </w:tcPr>
          <w:p>
            <w:pPr>
              <w:spacing w:line="520" w:lineRule="exact"/>
              <w:jc w:val="center"/>
              <w:rPr>
                <w:rFonts w:hint="default" w:ascii="Times New Roman" w:hAnsi="Times New Roman" w:cs="Times New Roman"/>
                <w:sz w:val="21"/>
                <w:szCs w:val="21"/>
              </w:rPr>
            </w:pPr>
            <w:r>
              <w:rPr>
                <w:rFonts w:hint="default" w:ascii="Times New Roman" w:hAnsi="Times New Roman" w:cs="Times New Roman"/>
                <w:sz w:val="21"/>
                <w:szCs w:val="21"/>
              </w:rPr>
              <w:t>主漆≥1 kg，配套产品按配比抽取适量样品。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2512" w:type="dxa"/>
            <w:vAlign w:val="center"/>
          </w:tcPr>
          <w:p>
            <w:pPr>
              <w:spacing w:line="240" w:lineRule="atLeast"/>
              <w:jc w:val="center"/>
              <w:rPr>
                <w:rFonts w:hint="default" w:ascii="Times New Roman" w:hAnsi="Times New Roman" w:cs="Times New Roman"/>
                <w:sz w:val="21"/>
                <w:szCs w:val="21"/>
              </w:rPr>
            </w:pPr>
            <w:r>
              <w:rPr>
                <w:rFonts w:hint="default" w:ascii="Times New Roman" w:hAnsi="Times New Roman" w:cs="Times New Roman"/>
                <w:sz w:val="21"/>
                <w:szCs w:val="21"/>
              </w:rPr>
              <w:t>合成树脂乳液内墙涂料（面漆）</w:t>
            </w:r>
          </w:p>
        </w:tc>
        <w:tc>
          <w:tcPr>
            <w:tcW w:w="4169" w:type="dxa"/>
            <w:vAlign w:val="center"/>
          </w:tcPr>
          <w:p>
            <w:pPr>
              <w:spacing w:line="520" w:lineRule="exact"/>
              <w:jc w:val="center"/>
              <w:rPr>
                <w:rFonts w:hint="default" w:ascii="Times New Roman" w:hAnsi="Times New Roman" w:cs="Times New Roman"/>
                <w:sz w:val="21"/>
                <w:szCs w:val="21"/>
              </w:rPr>
            </w:pPr>
            <w:r>
              <w:rPr>
                <w:rFonts w:hint="default" w:ascii="Times New Roman" w:hAnsi="Times New Roman" w:cs="Times New Roman"/>
                <w:sz w:val="21"/>
                <w:szCs w:val="21"/>
              </w:rPr>
              <w:t>主漆≥3kg(L), 配套产品按配比抽取适量样品。</w:t>
            </w:r>
          </w:p>
        </w:tc>
        <w:tc>
          <w:tcPr>
            <w:tcW w:w="2499" w:type="dxa"/>
            <w:vAlign w:val="center"/>
          </w:tcPr>
          <w:p>
            <w:pPr>
              <w:spacing w:line="520" w:lineRule="exact"/>
              <w:jc w:val="center"/>
              <w:rPr>
                <w:rFonts w:hint="default" w:ascii="Times New Roman" w:hAnsi="Times New Roman" w:cs="Times New Roman"/>
                <w:sz w:val="21"/>
                <w:szCs w:val="21"/>
              </w:rPr>
            </w:pPr>
            <w:r>
              <w:rPr>
                <w:rFonts w:hint="default" w:ascii="Times New Roman" w:hAnsi="Times New Roman" w:cs="Times New Roman"/>
                <w:sz w:val="21"/>
                <w:szCs w:val="21"/>
              </w:rPr>
              <w:t>主漆≥3kg(L), 配套产品按配比抽取适量样品。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2512" w:type="dxa"/>
            <w:vAlign w:val="center"/>
          </w:tcPr>
          <w:p>
            <w:pPr>
              <w:spacing w:line="240" w:lineRule="atLeast"/>
              <w:jc w:val="center"/>
              <w:rPr>
                <w:rFonts w:hint="default" w:ascii="Times New Roman" w:hAnsi="Times New Roman" w:cs="Times New Roman"/>
                <w:sz w:val="21"/>
                <w:szCs w:val="21"/>
              </w:rPr>
            </w:pPr>
            <w:r>
              <w:rPr>
                <w:rFonts w:hint="default" w:ascii="Times New Roman" w:hAnsi="Times New Roman" w:cs="Times New Roman"/>
                <w:sz w:val="21"/>
                <w:szCs w:val="21"/>
              </w:rPr>
              <w:t>建筑用外墙涂料（水性，面漆）</w:t>
            </w:r>
          </w:p>
        </w:tc>
        <w:tc>
          <w:tcPr>
            <w:tcW w:w="4169" w:type="dxa"/>
            <w:vAlign w:val="center"/>
          </w:tcPr>
          <w:p>
            <w:pPr>
              <w:spacing w:line="520" w:lineRule="exact"/>
              <w:jc w:val="center"/>
              <w:rPr>
                <w:rFonts w:hint="default" w:ascii="Times New Roman" w:hAnsi="Times New Roman" w:cs="Times New Roman"/>
                <w:sz w:val="21"/>
                <w:szCs w:val="21"/>
              </w:rPr>
            </w:pPr>
            <w:r>
              <w:rPr>
                <w:rFonts w:hint="default" w:ascii="Times New Roman" w:hAnsi="Times New Roman" w:cs="Times New Roman"/>
                <w:sz w:val="21"/>
                <w:szCs w:val="21"/>
              </w:rPr>
              <w:t>主漆≥3kg(L), 配套产品按配比抽取适量样品。</w:t>
            </w:r>
          </w:p>
        </w:tc>
        <w:tc>
          <w:tcPr>
            <w:tcW w:w="2499" w:type="dxa"/>
            <w:vAlign w:val="center"/>
          </w:tcPr>
          <w:p>
            <w:pPr>
              <w:spacing w:line="520" w:lineRule="exact"/>
              <w:jc w:val="center"/>
              <w:rPr>
                <w:rFonts w:hint="default" w:ascii="Times New Roman" w:hAnsi="Times New Roman" w:cs="Times New Roman"/>
                <w:sz w:val="21"/>
                <w:szCs w:val="21"/>
              </w:rPr>
            </w:pPr>
            <w:r>
              <w:rPr>
                <w:rFonts w:hint="default" w:ascii="Times New Roman" w:hAnsi="Times New Roman" w:cs="Times New Roman"/>
                <w:sz w:val="21"/>
                <w:szCs w:val="21"/>
              </w:rPr>
              <w:t>主漆≥3kg(L), 配套产品按配比抽取适量样品。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2512" w:type="dxa"/>
            <w:vAlign w:val="center"/>
          </w:tcPr>
          <w:p>
            <w:pPr>
              <w:spacing w:line="240" w:lineRule="atLeast"/>
              <w:jc w:val="center"/>
              <w:rPr>
                <w:rFonts w:hint="default" w:ascii="Times New Roman" w:hAnsi="Times New Roman" w:cs="Times New Roman"/>
                <w:sz w:val="21"/>
                <w:szCs w:val="21"/>
              </w:rPr>
            </w:pPr>
            <w:r>
              <w:rPr>
                <w:rFonts w:hint="default" w:ascii="Times New Roman" w:hAnsi="Times New Roman" w:cs="Times New Roman"/>
                <w:sz w:val="21"/>
                <w:szCs w:val="21"/>
              </w:rPr>
              <w:t>建筑用防水涂料</w:t>
            </w:r>
          </w:p>
        </w:tc>
        <w:tc>
          <w:tcPr>
            <w:tcW w:w="4169" w:type="dxa"/>
            <w:vAlign w:val="center"/>
          </w:tcPr>
          <w:p>
            <w:pPr>
              <w:spacing w:line="520" w:lineRule="exact"/>
              <w:jc w:val="center"/>
              <w:rPr>
                <w:rFonts w:hint="default" w:ascii="Times New Roman" w:hAnsi="Times New Roman" w:cs="Times New Roman"/>
                <w:sz w:val="21"/>
                <w:szCs w:val="21"/>
              </w:rPr>
            </w:pPr>
            <w:r>
              <w:rPr>
                <w:rFonts w:hint="default" w:ascii="Times New Roman" w:hAnsi="Times New Roman" w:cs="Times New Roman"/>
                <w:sz w:val="21"/>
                <w:szCs w:val="21"/>
              </w:rPr>
              <w:t>主剂≥1 kg(L) ，配套产品按配比抽取适量样品。</w:t>
            </w:r>
          </w:p>
        </w:tc>
        <w:tc>
          <w:tcPr>
            <w:tcW w:w="2499" w:type="dxa"/>
            <w:vAlign w:val="center"/>
          </w:tcPr>
          <w:p>
            <w:pPr>
              <w:spacing w:line="520" w:lineRule="exact"/>
              <w:jc w:val="center"/>
              <w:rPr>
                <w:rFonts w:hint="default" w:ascii="Times New Roman" w:hAnsi="Times New Roman" w:cs="Times New Roman"/>
                <w:sz w:val="21"/>
                <w:szCs w:val="21"/>
              </w:rPr>
            </w:pPr>
            <w:r>
              <w:rPr>
                <w:rFonts w:hint="default" w:ascii="Times New Roman" w:hAnsi="Times New Roman" w:cs="Times New Roman"/>
                <w:sz w:val="21"/>
                <w:szCs w:val="21"/>
              </w:rPr>
              <w:t>主剂≥1kg(L) ，配套产品按配比抽取适量样品。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9180" w:type="dxa"/>
            <w:gridSpan w:val="3"/>
            <w:vAlign w:val="center"/>
          </w:tcPr>
          <w:p>
            <w:pPr>
              <w:spacing w:line="520" w:lineRule="exact"/>
              <w:jc w:val="center"/>
              <w:rPr>
                <w:rFonts w:hint="default" w:ascii="Times New Roman" w:hAnsi="Times New Roman" w:cs="Times New Roman"/>
                <w:sz w:val="21"/>
                <w:szCs w:val="21"/>
              </w:rPr>
            </w:pPr>
            <w:r>
              <w:rPr>
                <w:rFonts w:hint="default" w:ascii="Times New Roman" w:hAnsi="Times New Roman" w:cs="Times New Roman"/>
                <w:sz w:val="21"/>
                <w:szCs w:val="21"/>
              </w:rPr>
              <w:t>注：当独立包装产品重量（体积）低于抽样数量要求时，应尽量整包装抽取，避免分装。</w:t>
            </w:r>
          </w:p>
        </w:tc>
      </w:tr>
    </w:tbl>
    <w:p>
      <w:pPr>
        <w:spacing w:line="560" w:lineRule="exact"/>
        <w:ind w:firstLine="640" w:firstLineChars="200"/>
        <w:rPr>
          <w:rFonts w:eastAsia="楷体_GB2312"/>
          <w:szCs w:val="32"/>
        </w:rPr>
      </w:pPr>
      <w:r>
        <w:rPr>
          <w:rFonts w:hint="eastAsia" w:eastAsia="黑体"/>
          <w:szCs w:val="32"/>
        </w:rPr>
        <w:t>二、</w:t>
      </w:r>
      <w:r>
        <w:rPr>
          <w:rFonts w:eastAsia="黑体"/>
          <w:szCs w:val="32"/>
        </w:rPr>
        <w:t>监督抽样检验程序</w:t>
      </w:r>
    </w:p>
    <w:p>
      <w:pPr>
        <w:spacing w:line="560" w:lineRule="exact"/>
        <w:ind w:firstLine="640" w:firstLineChars="200"/>
        <w:rPr>
          <w:rFonts w:eastAsia="楷体_GB2312"/>
          <w:szCs w:val="32"/>
        </w:rPr>
      </w:pPr>
      <w:r>
        <w:rPr>
          <w:rFonts w:eastAsia="楷体_GB2312"/>
          <w:szCs w:val="32"/>
        </w:rPr>
        <w:t>（一）抽样及复检程序依据</w:t>
      </w:r>
    </w:p>
    <w:p>
      <w:pPr>
        <w:spacing w:line="560" w:lineRule="exact"/>
        <w:ind w:firstLine="640" w:firstLineChars="200"/>
        <w:rPr>
          <w:szCs w:val="32"/>
        </w:rPr>
      </w:pPr>
      <w:r>
        <w:rPr>
          <w:rFonts w:eastAsia="楷体_GB2312"/>
          <w:szCs w:val="32"/>
        </w:rPr>
        <w:t>1</w:t>
      </w:r>
      <w:r>
        <w:rPr>
          <w:rFonts w:hint="eastAsia"/>
          <w:szCs w:val="32"/>
        </w:rPr>
        <w:t>．</w:t>
      </w:r>
      <w:r>
        <w:rPr>
          <w:szCs w:val="32"/>
        </w:rPr>
        <w:t>GB/T 28863-2012《产品质量监督抽样检验程序 具有先验质量信息的情形》</w:t>
      </w:r>
    </w:p>
    <w:p>
      <w:pPr>
        <w:spacing w:line="560" w:lineRule="exact"/>
        <w:ind w:firstLine="640" w:firstLineChars="200"/>
        <w:rPr>
          <w:szCs w:val="32"/>
        </w:rPr>
      </w:pPr>
      <w:r>
        <w:rPr>
          <w:szCs w:val="32"/>
        </w:rPr>
        <w:t>2</w:t>
      </w:r>
      <w:r>
        <w:rPr>
          <w:rFonts w:hint="eastAsia"/>
          <w:szCs w:val="32"/>
        </w:rPr>
        <w:t>．</w:t>
      </w:r>
      <w:r>
        <w:rPr>
          <w:szCs w:val="32"/>
        </w:rPr>
        <w:t>GB/T 2828.4-2008《计数抽样检验程序 第4部分：声称质量水平的评定程序》</w:t>
      </w:r>
    </w:p>
    <w:p>
      <w:pPr>
        <w:spacing w:line="560" w:lineRule="exact"/>
        <w:ind w:firstLine="640" w:firstLineChars="200"/>
        <w:rPr>
          <w:szCs w:val="32"/>
        </w:rPr>
      </w:pPr>
      <w:r>
        <w:rPr>
          <w:rFonts w:hint="eastAsia"/>
          <w:szCs w:val="32"/>
        </w:rPr>
        <w:t>3．</w:t>
      </w:r>
      <w:r>
        <w:rPr>
          <w:szCs w:val="32"/>
        </w:rPr>
        <w:t>GB/T 16306-2008 《声称质量水平复检与复验的评定程序》</w:t>
      </w:r>
    </w:p>
    <w:p>
      <w:pPr>
        <w:spacing w:line="560" w:lineRule="exact"/>
        <w:ind w:firstLine="640" w:firstLineChars="200"/>
        <w:rPr>
          <w:szCs w:val="32"/>
        </w:rPr>
      </w:pPr>
      <w:r>
        <w:rPr>
          <w:rFonts w:hint="eastAsia"/>
          <w:szCs w:val="32"/>
        </w:rPr>
        <w:t>4．</w:t>
      </w:r>
      <w:r>
        <w:rPr>
          <w:szCs w:val="32"/>
        </w:rPr>
        <w:t>承检机构在抽样、复检程序中根据实际情况及检验程序的法定性与有效性予以补充。</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default" w:ascii="Times New Roman" w:hAnsi="Times New Roman" w:cs="Times New Roman"/>
          <w:szCs w:val="32"/>
        </w:rPr>
      </w:pPr>
      <w:r>
        <w:rPr>
          <w:rFonts w:hint="eastAsia" w:ascii="楷体_GB2312" w:hAnsi="楷体_GB2312" w:eastAsia="楷体_GB2312" w:cs="楷体_GB2312"/>
          <w:szCs w:val="32"/>
        </w:rPr>
        <w:t>（二）抽样</w:t>
      </w:r>
      <w:r>
        <w:rPr>
          <w:rFonts w:hint="default" w:ascii="Times New Roman" w:hAnsi="Times New Roman" w:eastAsia="楷体_GB2312" w:cs="Times New Roman"/>
          <w:szCs w:val="32"/>
        </w:rPr>
        <w:t>方案。</w:t>
      </w:r>
      <w:r>
        <w:rPr>
          <w:rFonts w:hint="default" w:ascii="Times New Roman" w:hAnsi="Times New Roman" w:cs="Times New Roman"/>
          <w:szCs w:val="32"/>
        </w:rPr>
        <w:t>涂料属于具有先验质量信息的情形，适用GB/T 28863-2012进行抽样及判定。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8"/>
        <w:textAlignment w:val="auto"/>
        <w:outlineLvl w:val="9"/>
        <w:rPr>
          <w:rFonts w:hint="default" w:ascii="Times New Roman" w:hAnsi="Times New Roman" w:eastAsia="仿宋" w:cs="Times New Roman"/>
          <w:szCs w:val="32"/>
        </w:rPr>
      </w:pPr>
      <w:r>
        <w:rPr>
          <w:rFonts w:hint="default" w:ascii="Times New Roman" w:hAnsi="Times New Roman" w:eastAsia="仿宋" w:cs="Times New Roman"/>
          <w:szCs w:val="32"/>
        </w:rPr>
        <w:t>1</w:t>
      </w:r>
      <w:r>
        <w:rPr>
          <w:rFonts w:hint="eastAsia" w:ascii="Times New Roman" w:hAnsi="Times New Roman" w:eastAsia="仿宋" w:cs="Times New Roman"/>
          <w:szCs w:val="32"/>
          <w:lang w:val="en-US" w:eastAsia="zh-CN"/>
        </w:rPr>
        <w:t>．</w:t>
      </w:r>
      <w:r>
        <w:rPr>
          <w:rFonts w:hint="default" w:ascii="Times New Roman" w:hAnsi="Times New Roman" w:eastAsia="仿宋" w:cs="Times New Roman"/>
          <w:szCs w:val="32"/>
        </w:rPr>
        <w:t>各领域抽样按照先生产企业、后线下销售者的顺序执行。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8"/>
        <w:textAlignment w:val="auto"/>
        <w:outlineLvl w:val="9"/>
        <w:rPr>
          <w:rFonts w:hint="default" w:ascii="Times New Roman" w:hAnsi="Times New Roman" w:eastAsia="仿宋" w:cs="Times New Roman"/>
          <w:szCs w:val="32"/>
        </w:rPr>
      </w:pPr>
      <w:r>
        <w:rPr>
          <w:rFonts w:hint="default" w:ascii="Times New Roman" w:hAnsi="Times New Roman" w:eastAsia="仿宋" w:cs="Times New Roman"/>
          <w:szCs w:val="32"/>
        </w:rPr>
        <w:t>2</w:t>
      </w:r>
      <w:r>
        <w:rPr>
          <w:rFonts w:hint="eastAsia" w:ascii="Times New Roman" w:hAnsi="Times New Roman" w:eastAsia="仿宋" w:cs="Times New Roman"/>
          <w:szCs w:val="32"/>
          <w:lang w:eastAsia="zh-CN"/>
        </w:rPr>
        <w:t>．</w:t>
      </w:r>
      <w:r>
        <w:rPr>
          <w:rFonts w:hint="default" w:ascii="Times New Roman" w:hAnsi="Times New Roman" w:eastAsia="仿宋" w:cs="Times New Roman"/>
          <w:szCs w:val="32"/>
        </w:rPr>
        <w:t>抽样名单原则上应包括：上一年度国家和省级监督抽查不合格企业，消费者投诉较多或其他职能部门移交的问题企业，舆论与公众关注度高的企业，综合考虑城市、城乡结合部、农村等区域因素以及覆盖大、中、小企业分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8"/>
        <w:textAlignment w:val="auto"/>
        <w:outlineLvl w:val="9"/>
        <w:rPr>
          <w:rFonts w:hint="default" w:ascii="Times New Roman" w:hAnsi="Times New Roman" w:eastAsia="仿宋" w:cs="Times New Roman"/>
          <w:szCs w:val="32"/>
        </w:rPr>
      </w:pPr>
      <w:r>
        <w:rPr>
          <w:rFonts w:hint="default" w:ascii="Times New Roman" w:hAnsi="Times New Roman" w:eastAsia="仿宋" w:cs="Times New Roman"/>
          <w:szCs w:val="32"/>
        </w:rPr>
        <w:t>3</w:t>
      </w:r>
      <w:r>
        <w:rPr>
          <w:rFonts w:hint="eastAsia" w:ascii="Times New Roman" w:hAnsi="Times New Roman" w:eastAsia="仿宋" w:cs="Times New Roman"/>
          <w:szCs w:val="32"/>
          <w:lang w:eastAsia="zh-CN"/>
        </w:rPr>
        <w:t>．</w:t>
      </w:r>
      <w:r>
        <w:rPr>
          <w:rFonts w:hint="default" w:ascii="Times New Roman" w:hAnsi="Times New Roman" w:eastAsia="仿宋" w:cs="Times New Roman"/>
          <w:szCs w:val="32"/>
        </w:rPr>
        <w:t>在线下销售者处抽样时，被抽查市场主体由抽样所在地市场监管部门确定，应综合考虑城市、城乡结合部、农村等区域因素。</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8"/>
        <w:textAlignment w:val="auto"/>
        <w:outlineLvl w:val="9"/>
        <w:rPr>
          <w:rFonts w:hint="default" w:ascii="Times New Roman" w:hAnsi="Times New Roman" w:eastAsia="仿宋" w:cs="Times New Roman"/>
          <w:szCs w:val="32"/>
        </w:rPr>
      </w:pPr>
      <w:r>
        <w:rPr>
          <w:rFonts w:hint="default" w:ascii="Times New Roman" w:hAnsi="Times New Roman" w:eastAsia="仿宋" w:cs="Times New Roman"/>
          <w:szCs w:val="32"/>
        </w:rPr>
        <w:t>4</w:t>
      </w:r>
      <w:r>
        <w:rPr>
          <w:rFonts w:hint="eastAsia" w:ascii="Times New Roman" w:hAnsi="Times New Roman" w:eastAsia="仿宋" w:cs="Times New Roman"/>
          <w:szCs w:val="32"/>
          <w:lang w:eastAsia="zh-CN"/>
        </w:rPr>
        <w:t>．</w:t>
      </w:r>
      <w:r>
        <w:rPr>
          <w:rFonts w:hint="default" w:ascii="Times New Roman" w:hAnsi="Times New Roman" w:eastAsia="仿宋" w:cs="Times New Roman"/>
          <w:szCs w:val="32"/>
        </w:rPr>
        <w:t>在生产企业处抽样时，随机抽取2组样品，经征得企业同意后由企业无偿提供，全部带回检验机构。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8"/>
        <w:textAlignment w:val="auto"/>
        <w:outlineLvl w:val="9"/>
        <w:rPr>
          <w:rFonts w:hint="default" w:ascii="Times New Roman" w:hAnsi="Times New Roman" w:eastAsia="仿宋" w:cs="Times New Roman"/>
          <w:szCs w:val="32"/>
        </w:rPr>
      </w:pPr>
      <w:r>
        <w:rPr>
          <w:rFonts w:hint="default" w:ascii="Times New Roman" w:hAnsi="Times New Roman" w:eastAsia="仿宋" w:cs="Times New Roman"/>
          <w:szCs w:val="32"/>
        </w:rPr>
        <w:t>5</w:t>
      </w:r>
      <w:r>
        <w:rPr>
          <w:rFonts w:hint="eastAsia" w:ascii="Times New Roman" w:hAnsi="Times New Roman" w:eastAsia="仿宋" w:cs="Times New Roman"/>
          <w:szCs w:val="32"/>
          <w:lang w:eastAsia="zh-CN"/>
        </w:rPr>
        <w:t>．</w:t>
      </w:r>
      <w:r>
        <w:rPr>
          <w:rFonts w:hint="default" w:ascii="Times New Roman" w:hAnsi="Times New Roman" w:eastAsia="仿宋" w:cs="Times New Roman"/>
          <w:szCs w:val="32"/>
        </w:rPr>
        <w:t>在线下销售者处抽样时，随机抽取2组样品。其中，第1组购买，用于检验；第2组封存在销售者处作备样。</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default" w:ascii="Times New Roman" w:hAnsi="Times New Roman" w:eastAsia="黑体" w:cs="Times New Roman"/>
          <w:szCs w:val="32"/>
        </w:rPr>
      </w:pPr>
      <w:r>
        <w:rPr>
          <w:rFonts w:hint="eastAsia" w:eastAsia="黑体" w:cs="Times New Roman"/>
          <w:szCs w:val="32"/>
          <w:lang w:eastAsia="zh-CN"/>
        </w:rPr>
        <w:t>三</w:t>
      </w:r>
      <w:r>
        <w:rPr>
          <w:rFonts w:hint="default" w:ascii="Times New Roman" w:hAnsi="Times New Roman" w:eastAsia="黑体" w:cs="Times New Roman"/>
          <w:szCs w:val="32"/>
        </w:rPr>
        <w:t>、抽样现场要求、样品的处理、判定规则、检验报告报送要求均按照《广东省工商行政管理局关于广东省流通领域商品质量抽查检验的工作规范》（粤工商消字〔2016〕111号）要求及合同约定执行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default" w:ascii="Times New Roman" w:hAnsi="Times New Roman" w:eastAsia="黑体" w:cs="Times New Roman"/>
          <w:szCs w:val="32"/>
        </w:rPr>
      </w:pPr>
      <w:r>
        <w:rPr>
          <w:rFonts w:hint="eastAsia" w:eastAsia="黑体" w:cs="Times New Roman"/>
          <w:szCs w:val="32"/>
          <w:lang w:eastAsia="zh-CN"/>
        </w:rPr>
        <w:t>四</w:t>
      </w:r>
      <w:r>
        <w:rPr>
          <w:rFonts w:hint="default" w:ascii="Times New Roman" w:hAnsi="Times New Roman" w:eastAsia="黑体" w:cs="Times New Roman"/>
          <w:szCs w:val="32"/>
        </w:rPr>
        <w:t>、检验依据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default" w:ascii="Times New Roman" w:hAnsi="Times New Roman" w:cs="Times New Roman"/>
          <w:szCs w:val="32"/>
        </w:rPr>
      </w:pPr>
      <w:r>
        <w:rPr>
          <w:rFonts w:hint="default" w:ascii="Times New Roman" w:hAnsi="Times New Roman" w:cs="Times New Roman"/>
          <w:szCs w:val="32"/>
        </w:rPr>
        <w:t>（一）本类产品的强制性国家标准、行业标准: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92" w:firstLineChars="185"/>
        <w:jc w:val="left"/>
        <w:textAlignment w:val="auto"/>
        <w:outlineLvl w:val="9"/>
        <w:rPr>
          <w:rFonts w:hint="default" w:ascii="Times New Roman" w:hAnsi="Times New Roman" w:cs="Times New Roman"/>
          <w:szCs w:val="30"/>
        </w:rPr>
      </w:pPr>
      <w:r>
        <w:rPr>
          <w:rFonts w:hint="default" w:ascii="Times New Roman" w:hAnsi="Times New Roman" w:cs="Times New Roman"/>
          <w:szCs w:val="30"/>
        </w:rPr>
        <w:t>1</w:t>
      </w:r>
      <w:r>
        <w:rPr>
          <w:rFonts w:hint="eastAsia" w:ascii="Times New Roman" w:hAnsi="Times New Roman" w:cs="Times New Roman"/>
          <w:szCs w:val="30"/>
          <w:lang w:eastAsia="zh-CN"/>
        </w:rPr>
        <w:t>．</w:t>
      </w:r>
      <w:r>
        <w:rPr>
          <w:rFonts w:hint="default" w:ascii="Times New Roman" w:hAnsi="Times New Roman" w:cs="Times New Roman"/>
          <w:szCs w:val="30"/>
        </w:rPr>
        <w:t>GB 18581-2009《室内装饰装修材料溶剂型木器涂料中有害物质限量》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92" w:firstLineChars="185"/>
        <w:jc w:val="left"/>
        <w:textAlignment w:val="auto"/>
        <w:outlineLvl w:val="9"/>
        <w:rPr>
          <w:rFonts w:hint="default" w:ascii="Times New Roman" w:hAnsi="Times New Roman" w:cs="Times New Roman"/>
          <w:szCs w:val="30"/>
        </w:rPr>
      </w:pPr>
      <w:r>
        <w:rPr>
          <w:rFonts w:hint="default" w:ascii="Times New Roman" w:hAnsi="Times New Roman" w:cs="Times New Roman"/>
          <w:szCs w:val="30"/>
        </w:rPr>
        <w:t>2</w:t>
      </w:r>
      <w:r>
        <w:rPr>
          <w:rFonts w:hint="eastAsia" w:ascii="Times New Roman" w:hAnsi="Times New Roman" w:cs="Times New Roman"/>
          <w:szCs w:val="30"/>
          <w:lang w:eastAsia="zh-CN"/>
        </w:rPr>
        <w:t>．</w:t>
      </w:r>
      <w:r>
        <w:rPr>
          <w:rFonts w:hint="default" w:ascii="Times New Roman" w:hAnsi="Times New Roman" w:cs="Times New Roman"/>
          <w:szCs w:val="30"/>
        </w:rPr>
        <w:t>GB 18582-2008《室内装饰装修材料内墙涂料中有害物质限量》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92" w:firstLineChars="185"/>
        <w:textAlignment w:val="auto"/>
        <w:outlineLvl w:val="9"/>
        <w:rPr>
          <w:rFonts w:hint="default" w:ascii="Times New Roman" w:hAnsi="Times New Roman" w:cs="Times New Roman"/>
          <w:szCs w:val="30"/>
        </w:rPr>
      </w:pPr>
      <w:r>
        <w:rPr>
          <w:rFonts w:hint="default" w:ascii="Times New Roman" w:hAnsi="Times New Roman" w:cs="Times New Roman"/>
          <w:szCs w:val="30"/>
        </w:rPr>
        <w:t>3</w:t>
      </w:r>
      <w:r>
        <w:rPr>
          <w:rFonts w:hint="eastAsia" w:ascii="Times New Roman" w:hAnsi="Times New Roman" w:cs="Times New Roman"/>
          <w:szCs w:val="30"/>
          <w:lang w:eastAsia="zh-CN"/>
        </w:rPr>
        <w:t>．</w:t>
      </w:r>
      <w:r>
        <w:rPr>
          <w:rFonts w:hint="default" w:ascii="Times New Roman" w:hAnsi="Times New Roman" w:cs="Times New Roman"/>
          <w:szCs w:val="30"/>
        </w:rPr>
        <w:t>GB 24408-2009《建筑用外墙涂料中有害物质限量》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92" w:firstLineChars="185"/>
        <w:jc w:val="left"/>
        <w:textAlignment w:val="auto"/>
        <w:outlineLvl w:val="9"/>
        <w:rPr>
          <w:rFonts w:hint="default" w:ascii="Times New Roman" w:hAnsi="Times New Roman" w:cs="Times New Roman"/>
          <w:szCs w:val="30"/>
        </w:rPr>
      </w:pPr>
      <w:r>
        <w:rPr>
          <w:rFonts w:hint="default" w:ascii="Times New Roman" w:hAnsi="Times New Roman" w:cs="Times New Roman"/>
          <w:szCs w:val="30"/>
        </w:rPr>
        <w:t>4</w:t>
      </w:r>
      <w:r>
        <w:rPr>
          <w:rFonts w:hint="eastAsia" w:ascii="Times New Roman" w:hAnsi="Times New Roman" w:cs="Times New Roman"/>
          <w:szCs w:val="30"/>
          <w:lang w:eastAsia="zh-CN"/>
        </w:rPr>
        <w:t>．</w:t>
      </w:r>
      <w:r>
        <w:rPr>
          <w:rFonts w:hint="default" w:ascii="Times New Roman" w:hAnsi="Times New Roman" w:cs="Times New Roman"/>
          <w:szCs w:val="30"/>
        </w:rPr>
        <w:t>JC 1066-2008《建筑防水涂料中有害物质限量》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92" w:firstLineChars="185"/>
        <w:jc w:val="left"/>
        <w:textAlignment w:val="auto"/>
        <w:outlineLvl w:val="9"/>
        <w:rPr>
          <w:rFonts w:hint="default" w:ascii="Times New Roman" w:hAnsi="Times New Roman" w:cs="Times New Roman"/>
          <w:szCs w:val="30"/>
        </w:rPr>
      </w:pPr>
      <w:r>
        <w:rPr>
          <w:rFonts w:hint="default" w:ascii="Times New Roman" w:hAnsi="Times New Roman" w:cs="Times New Roman"/>
          <w:szCs w:val="30"/>
        </w:rPr>
        <w:t>5</w:t>
      </w:r>
      <w:r>
        <w:rPr>
          <w:rFonts w:hint="eastAsia" w:ascii="Times New Roman" w:hAnsi="Times New Roman" w:cs="Times New Roman"/>
          <w:szCs w:val="30"/>
          <w:lang w:eastAsia="zh-CN"/>
        </w:rPr>
        <w:t>．</w:t>
      </w:r>
      <w:r>
        <w:rPr>
          <w:rFonts w:hint="default" w:ascii="Times New Roman" w:hAnsi="Times New Roman" w:cs="Times New Roman"/>
          <w:szCs w:val="30"/>
        </w:rPr>
        <w:t>GB 24410-2009《室内装饰装修材料水性木器涂料中有害物质限量》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left"/>
        <w:textAlignment w:val="auto"/>
        <w:outlineLvl w:val="9"/>
        <w:rPr>
          <w:rFonts w:hint="default" w:ascii="Times New Roman" w:hAnsi="Times New Roman" w:cs="Times New Roman"/>
          <w:szCs w:val="32"/>
        </w:rPr>
      </w:pPr>
      <w:r>
        <w:rPr>
          <w:rFonts w:hint="default" w:ascii="Times New Roman" w:hAnsi="Times New Roman" w:cs="Times New Roman"/>
          <w:szCs w:val="32"/>
        </w:rPr>
        <w:t xml:space="preserve">    （二）产品标示执行的标准或产品明示指标。产品标示执行的标准或产品明示指标劣于相关强制性标准的，以相关强制性标准作为依据；被抽样产品未能提供有效企业标准的，按相关国家或行业推荐性标准进行判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default" w:ascii="Times New Roman" w:hAnsi="Times New Roman" w:cs="Times New Roman"/>
          <w:szCs w:val="32"/>
        </w:rPr>
      </w:pPr>
      <w:r>
        <w:rPr>
          <w:rFonts w:hint="default" w:ascii="Times New Roman" w:hAnsi="Times New Roman" w:cs="Times New Roman"/>
          <w:szCs w:val="32"/>
        </w:rPr>
        <w:t>本类产品推荐性标准如下：</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92" w:firstLineChars="185"/>
        <w:jc w:val="left"/>
        <w:textAlignment w:val="auto"/>
        <w:outlineLvl w:val="9"/>
        <w:rPr>
          <w:rFonts w:hint="default" w:ascii="Times New Roman" w:hAnsi="Times New Roman" w:cs="Times New Roman"/>
          <w:szCs w:val="30"/>
        </w:rPr>
      </w:pPr>
      <w:r>
        <w:rPr>
          <w:rFonts w:hint="default" w:ascii="Times New Roman" w:hAnsi="Times New Roman" w:cs="Times New Roman"/>
          <w:szCs w:val="30"/>
        </w:rPr>
        <w:t>1</w:t>
      </w:r>
      <w:r>
        <w:rPr>
          <w:rFonts w:hint="eastAsia" w:ascii="Times New Roman" w:hAnsi="Times New Roman" w:cs="Times New Roman"/>
          <w:szCs w:val="30"/>
          <w:lang w:eastAsia="zh-CN"/>
        </w:rPr>
        <w:t>．</w:t>
      </w:r>
      <w:r>
        <w:rPr>
          <w:rFonts w:hint="default" w:ascii="Times New Roman" w:hAnsi="Times New Roman" w:cs="Times New Roman"/>
          <w:szCs w:val="30"/>
        </w:rPr>
        <w:t>GB/T 9756-2018《合成树脂乳液内墙涂料》</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92" w:firstLineChars="185"/>
        <w:jc w:val="left"/>
        <w:textAlignment w:val="auto"/>
        <w:outlineLvl w:val="9"/>
        <w:rPr>
          <w:rFonts w:hint="default" w:ascii="Times New Roman" w:hAnsi="Times New Roman" w:cs="Times New Roman"/>
          <w:szCs w:val="30"/>
        </w:rPr>
      </w:pPr>
      <w:r>
        <w:rPr>
          <w:rFonts w:hint="default" w:ascii="Times New Roman" w:hAnsi="Times New Roman" w:cs="Times New Roman"/>
          <w:szCs w:val="30"/>
        </w:rPr>
        <w:t>2</w:t>
      </w:r>
      <w:r>
        <w:rPr>
          <w:rFonts w:hint="eastAsia" w:ascii="Times New Roman" w:hAnsi="Times New Roman" w:cs="Times New Roman"/>
          <w:szCs w:val="30"/>
          <w:lang w:eastAsia="zh-CN"/>
        </w:rPr>
        <w:t>．</w:t>
      </w:r>
      <w:r>
        <w:rPr>
          <w:rFonts w:hint="default" w:ascii="Times New Roman" w:hAnsi="Times New Roman" w:cs="Times New Roman"/>
          <w:szCs w:val="30"/>
        </w:rPr>
        <w:t>GB/T 9755-2014《合成树脂乳液外墙涂料》</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default" w:ascii="Times New Roman" w:hAnsi="Times New Roman" w:eastAsia="仿宋" w:cs="Times New Roman"/>
          <w:spacing w:val="-4"/>
          <w:szCs w:val="32"/>
        </w:rPr>
      </w:pPr>
      <w:r>
        <w:rPr>
          <w:rFonts w:hint="default" w:ascii="Times New Roman" w:hAnsi="Times New Roman" w:eastAsia="楷体_GB2312" w:cs="Times New Roman"/>
          <w:szCs w:val="32"/>
        </w:rPr>
        <w:t>（三）涉及本类产品质量判定相关法律法规、国家有关规定。</w:t>
      </w:r>
      <w:r>
        <w:rPr>
          <w:rFonts w:hint="default" w:ascii="Times New Roman" w:hAnsi="Times New Roman" w:cs="Times New Roman"/>
          <w:szCs w:val="32"/>
        </w:rPr>
        <w:t>主要包括《中华人民共和国产品质量法》《中华人民共和国消费者权益保护法》《流通领域商品质量监督抽查办法》《产品质量监督抽查管理办法》《广东省查处生产销售假冒伪劣产品违法行为条例》等法律法规规章，《广东省工商行政管理局关于广东省流通领域商品质量抽查检验的工作规范》（粤工商消字〔2016〕111号）、《广东省质量技术监督局关于产品质量监督抽查的管理办法》（粤质监〔2014〕11号)等规范性文件及《广东省市场监督管理局产品质量监督抽查工作指导意见（试行）》（粤市监质监〔2019〕494号）。</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default" w:ascii="Times New Roman" w:hAnsi="Times New Roman" w:eastAsia="黑体" w:cs="Times New Roman"/>
          <w:szCs w:val="32"/>
        </w:rPr>
      </w:pPr>
      <w:r>
        <w:rPr>
          <w:rFonts w:hint="eastAsia" w:eastAsia="黑体" w:cs="Times New Roman"/>
          <w:szCs w:val="32"/>
          <w:lang w:eastAsia="zh-CN"/>
        </w:rPr>
        <w:t>五</w:t>
      </w:r>
      <w:r>
        <w:rPr>
          <w:rFonts w:hint="default" w:ascii="Times New Roman" w:hAnsi="Times New Roman" w:eastAsia="黑体" w:cs="Times New Roman"/>
          <w:szCs w:val="32"/>
        </w:rPr>
        <w:t>、主要检验项目及不合格类别的划分指标</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default" w:ascii="Times New Roman" w:hAnsi="Times New Roman" w:eastAsia="楷体_GB2312" w:cs="Times New Roman"/>
          <w:szCs w:val="32"/>
        </w:rPr>
      </w:pPr>
      <w:r>
        <w:rPr>
          <w:rFonts w:hint="default" w:ascii="Times New Roman" w:hAnsi="Times New Roman" w:eastAsia="楷体_GB2312" w:cs="Times New Roman"/>
          <w:szCs w:val="32"/>
        </w:rPr>
        <w:t>（一）内在质量检验项目及其重要性划分表。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eastAsia="楷体_GB2312"/>
          <w:szCs w:val="32"/>
        </w:rPr>
      </w:pPr>
      <w:r>
        <w:rPr>
          <w:rFonts w:hint="default" w:ascii="Times New Roman" w:hAnsi="Times New Roman" w:eastAsia="楷体_GB2312" w:cs="Times New Roman"/>
          <w:szCs w:val="32"/>
        </w:rPr>
        <w:t>1</w:t>
      </w:r>
      <w:r>
        <w:rPr>
          <w:rFonts w:hint="eastAsia" w:ascii="Times New Roman" w:hAnsi="Times New Roman" w:eastAsia="楷体_GB2312" w:cs="Times New Roman"/>
          <w:szCs w:val="32"/>
          <w:lang w:eastAsia="zh-CN"/>
        </w:rPr>
        <w:t>．</w:t>
      </w:r>
      <w:r>
        <w:rPr>
          <w:rFonts w:hint="default" w:ascii="Times New Roman" w:hAnsi="Times New Roman" w:eastAsia="楷体_GB2312" w:cs="Times New Roman"/>
          <w:szCs w:val="32"/>
        </w:rPr>
        <w:t>溶剂型木器涂</w:t>
      </w:r>
      <w:r>
        <w:rPr>
          <w:rFonts w:hint="eastAsia" w:eastAsia="楷体_GB2312"/>
          <w:szCs w:val="32"/>
        </w:rPr>
        <w:t>料</w:t>
      </w:r>
    </w:p>
    <w:tbl>
      <w:tblPr>
        <w:tblStyle w:val="3"/>
        <w:tblW w:w="874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1"/>
        <w:gridCol w:w="2706"/>
        <w:gridCol w:w="2457"/>
        <w:gridCol w:w="601"/>
        <w:gridCol w:w="601"/>
        <w:gridCol w:w="601"/>
        <w:gridCol w:w="601"/>
        <w:gridCol w:w="6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8" w:hRule="atLeast"/>
          <w:tblHeader/>
          <w:jc w:val="center"/>
        </w:trPr>
        <w:tc>
          <w:tcPr>
            <w:tcW w:w="581"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sz w:val="18"/>
                <w:szCs w:val="18"/>
              </w:rPr>
              <w:t>序号</w:t>
            </w:r>
          </w:p>
        </w:tc>
        <w:tc>
          <w:tcPr>
            <w:tcW w:w="2706"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sz w:val="18"/>
                <w:szCs w:val="18"/>
              </w:rPr>
              <w:t>检验项目</w:t>
            </w:r>
          </w:p>
        </w:tc>
        <w:tc>
          <w:tcPr>
            <w:tcW w:w="2457"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sz w:val="18"/>
                <w:szCs w:val="18"/>
              </w:rPr>
              <w:t>依据标准</w:t>
            </w:r>
          </w:p>
        </w:tc>
        <w:tc>
          <w:tcPr>
            <w:tcW w:w="601"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sz w:val="18"/>
                <w:szCs w:val="18"/>
              </w:rPr>
              <w:t>强制性</w:t>
            </w:r>
          </w:p>
        </w:tc>
        <w:tc>
          <w:tcPr>
            <w:tcW w:w="601"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sz w:val="18"/>
                <w:szCs w:val="18"/>
              </w:rPr>
              <w:t>非强制性</w:t>
            </w:r>
          </w:p>
        </w:tc>
        <w:tc>
          <w:tcPr>
            <w:tcW w:w="601"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sz w:val="18"/>
                <w:szCs w:val="18"/>
              </w:rPr>
              <w:t>重要项</w:t>
            </w:r>
          </w:p>
        </w:tc>
        <w:tc>
          <w:tcPr>
            <w:tcW w:w="601"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sz w:val="18"/>
                <w:szCs w:val="18"/>
              </w:rPr>
              <w:t>较重要项</w:t>
            </w:r>
          </w:p>
        </w:tc>
        <w:tc>
          <w:tcPr>
            <w:tcW w:w="601" w:type="dxa"/>
            <w:tcBorders>
              <w:top w:val="single" w:color="auto" w:sz="4" w:space="0"/>
              <w:left w:val="single" w:color="auto" w:sz="4" w:space="0"/>
              <w:right w:val="single" w:color="auto" w:sz="4" w:space="0"/>
            </w:tcBorders>
            <w:vAlign w:val="center"/>
          </w:tcPr>
          <w:p>
            <w:pPr>
              <w:spacing w:line="240" w:lineRule="atLeast"/>
              <w:jc w:val="center"/>
              <w:rPr>
                <w:sz w:val="18"/>
                <w:szCs w:val="18"/>
              </w:rPr>
            </w:pPr>
            <w:r>
              <w:rPr>
                <w:sz w:val="18"/>
                <w:szCs w:val="18"/>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81" w:type="dxa"/>
            <w:vAlign w:val="center"/>
          </w:tcPr>
          <w:p>
            <w:pPr>
              <w:spacing w:line="240" w:lineRule="atLeast"/>
              <w:jc w:val="center"/>
              <w:rPr>
                <w:sz w:val="18"/>
                <w:szCs w:val="18"/>
              </w:rPr>
            </w:pPr>
            <w:r>
              <w:rPr>
                <w:sz w:val="18"/>
                <w:szCs w:val="18"/>
              </w:rPr>
              <w:t>1</w:t>
            </w:r>
          </w:p>
        </w:tc>
        <w:tc>
          <w:tcPr>
            <w:tcW w:w="2706" w:type="dxa"/>
            <w:vAlign w:val="center"/>
          </w:tcPr>
          <w:p>
            <w:pPr>
              <w:spacing w:line="240" w:lineRule="atLeast"/>
              <w:jc w:val="center"/>
              <w:rPr>
                <w:sz w:val="18"/>
                <w:szCs w:val="18"/>
              </w:rPr>
            </w:pPr>
            <w:r>
              <w:rPr>
                <w:sz w:val="18"/>
                <w:szCs w:val="18"/>
              </w:rPr>
              <w:t>挥发性有机化合物</w:t>
            </w:r>
            <w:r>
              <w:rPr>
                <w:rFonts w:hint="eastAsia"/>
                <w:sz w:val="18"/>
                <w:szCs w:val="18"/>
              </w:rPr>
              <w:t>（VOC）含量</w:t>
            </w:r>
          </w:p>
        </w:tc>
        <w:tc>
          <w:tcPr>
            <w:tcW w:w="2457" w:type="dxa"/>
            <w:vAlign w:val="center"/>
          </w:tcPr>
          <w:p>
            <w:pPr>
              <w:spacing w:line="240" w:lineRule="atLeast"/>
              <w:jc w:val="center"/>
              <w:rPr>
                <w:sz w:val="18"/>
                <w:szCs w:val="18"/>
              </w:rPr>
            </w:pPr>
            <w:r>
              <w:rPr>
                <w:sz w:val="18"/>
                <w:szCs w:val="18"/>
              </w:rPr>
              <w:t>GB 18581-2009</w:t>
            </w: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81" w:type="dxa"/>
            <w:vAlign w:val="center"/>
          </w:tcPr>
          <w:p>
            <w:pPr>
              <w:spacing w:line="240" w:lineRule="atLeast"/>
              <w:jc w:val="center"/>
              <w:rPr>
                <w:sz w:val="18"/>
                <w:szCs w:val="18"/>
              </w:rPr>
            </w:pPr>
            <w:r>
              <w:rPr>
                <w:sz w:val="18"/>
                <w:szCs w:val="18"/>
              </w:rPr>
              <w:t>2</w:t>
            </w:r>
          </w:p>
        </w:tc>
        <w:tc>
          <w:tcPr>
            <w:tcW w:w="2706" w:type="dxa"/>
            <w:vAlign w:val="center"/>
          </w:tcPr>
          <w:p>
            <w:pPr>
              <w:spacing w:line="240" w:lineRule="atLeast"/>
              <w:jc w:val="center"/>
              <w:rPr>
                <w:sz w:val="18"/>
                <w:szCs w:val="18"/>
              </w:rPr>
            </w:pPr>
            <w:r>
              <w:rPr>
                <w:sz w:val="18"/>
                <w:szCs w:val="18"/>
              </w:rPr>
              <w:t>苯</w:t>
            </w:r>
            <w:r>
              <w:rPr>
                <w:rFonts w:hint="eastAsia"/>
                <w:sz w:val="18"/>
                <w:szCs w:val="18"/>
              </w:rPr>
              <w:t>含量</w:t>
            </w:r>
          </w:p>
        </w:tc>
        <w:tc>
          <w:tcPr>
            <w:tcW w:w="2457" w:type="dxa"/>
            <w:vAlign w:val="center"/>
          </w:tcPr>
          <w:p>
            <w:pPr>
              <w:jc w:val="center"/>
              <w:rPr>
                <w:sz w:val="18"/>
                <w:szCs w:val="18"/>
              </w:rPr>
            </w:pPr>
            <w:r>
              <w:rPr>
                <w:sz w:val="18"/>
                <w:szCs w:val="18"/>
              </w:rPr>
              <w:t>GB 18581-2009</w:t>
            </w: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81" w:type="dxa"/>
            <w:vAlign w:val="center"/>
          </w:tcPr>
          <w:p>
            <w:pPr>
              <w:spacing w:line="240" w:lineRule="atLeast"/>
              <w:jc w:val="center"/>
              <w:rPr>
                <w:sz w:val="18"/>
                <w:szCs w:val="18"/>
              </w:rPr>
            </w:pPr>
            <w:r>
              <w:rPr>
                <w:sz w:val="18"/>
                <w:szCs w:val="18"/>
              </w:rPr>
              <w:t>3</w:t>
            </w:r>
          </w:p>
        </w:tc>
        <w:tc>
          <w:tcPr>
            <w:tcW w:w="2706" w:type="dxa"/>
            <w:vAlign w:val="center"/>
          </w:tcPr>
          <w:p>
            <w:pPr>
              <w:spacing w:line="240" w:lineRule="atLeast"/>
              <w:jc w:val="center"/>
              <w:rPr>
                <w:sz w:val="18"/>
                <w:szCs w:val="18"/>
              </w:rPr>
            </w:pPr>
            <w:r>
              <w:rPr>
                <w:sz w:val="18"/>
                <w:szCs w:val="18"/>
              </w:rPr>
              <w:t>甲苯、乙苯</w:t>
            </w:r>
            <w:r>
              <w:rPr>
                <w:rFonts w:hint="eastAsia"/>
                <w:sz w:val="18"/>
                <w:szCs w:val="18"/>
              </w:rPr>
              <w:t>、</w:t>
            </w:r>
            <w:r>
              <w:rPr>
                <w:sz w:val="18"/>
                <w:szCs w:val="18"/>
              </w:rPr>
              <w:t>二甲苯</w:t>
            </w:r>
            <w:r>
              <w:rPr>
                <w:rFonts w:hint="eastAsia"/>
                <w:sz w:val="18"/>
                <w:szCs w:val="18"/>
              </w:rPr>
              <w:t>含量</w:t>
            </w:r>
            <w:r>
              <w:rPr>
                <w:sz w:val="18"/>
                <w:szCs w:val="18"/>
              </w:rPr>
              <w:t>总和</w:t>
            </w:r>
          </w:p>
        </w:tc>
        <w:tc>
          <w:tcPr>
            <w:tcW w:w="2457" w:type="dxa"/>
            <w:vAlign w:val="center"/>
          </w:tcPr>
          <w:p>
            <w:pPr>
              <w:jc w:val="center"/>
              <w:rPr>
                <w:sz w:val="18"/>
                <w:szCs w:val="18"/>
              </w:rPr>
            </w:pPr>
            <w:r>
              <w:rPr>
                <w:sz w:val="18"/>
                <w:szCs w:val="18"/>
              </w:rPr>
              <w:t>GB 18581-2009</w:t>
            </w: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81" w:type="dxa"/>
            <w:vAlign w:val="center"/>
          </w:tcPr>
          <w:p>
            <w:pPr>
              <w:spacing w:line="240" w:lineRule="atLeast"/>
              <w:jc w:val="center"/>
              <w:rPr>
                <w:sz w:val="18"/>
                <w:szCs w:val="18"/>
              </w:rPr>
            </w:pPr>
            <w:r>
              <w:rPr>
                <w:sz w:val="18"/>
                <w:szCs w:val="18"/>
              </w:rPr>
              <w:t>4</w:t>
            </w:r>
          </w:p>
        </w:tc>
        <w:tc>
          <w:tcPr>
            <w:tcW w:w="2706" w:type="dxa"/>
            <w:vAlign w:val="center"/>
          </w:tcPr>
          <w:p>
            <w:pPr>
              <w:spacing w:line="240" w:lineRule="atLeast"/>
              <w:jc w:val="center"/>
              <w:rPr>
                <w:sz w:val="18"/>
                <w:szCs w:val="18"/>
              </w:rPr>
            </w:pPr>
            <w:r>
              <w:rPr>
                <w:sz w:val="18"/>
                <w:szCs w:val="18"/>
              </w:rPr>
              <w:t>游离二异氰酸酯(TDI、HDI)含量</w:t>
            </w:r>
            <w:r>
              <w:rPr>
                <w:rFonts w:hint="eastAsia"/>
                <w:sz w:val="18"/>
                <w:szCs w:val="18"/>
              </w:rPr>
              <w:t>总和</w:t>
            </w:r>
            <w:r>
              <w:rPr>
                <w:sz w:val="18"/>
                <w:szCs w:val="18"/>
              </w:rPr>
              <w:t>（</w:t>
            </w:r>
            <w:r>
              <w:rPr>
                <w:rFonts w:hint="eastAsia"/>
                <w:sz w:val="18"/>
                <w:szCs w:val="18"/>
              </w:rPr>
              <w:t>限</w:t>
            </w:r>
            <w:r>
              <w:rPr>
                <w:sz w:val="18"/>
                <w:szCs w:val="18"/>
              </w:rPr>
              <w:t>聚氨酯</w:t>
            </w:r>
            <w:r>
              <w:rPr>
                <w:rFonts w:hint="eastAsia"/>
                <w:sz w:val="18"/>
                <w:szCs w:val="18"/>
              </w:rPr>
              <w:t>类</w:t>
            </w:r>
            <w:r>
              <w:rPr>
                <w:sz w:val="18"/>
                <w:szCs w:val="18"/>
              </w:rPr>
              <w:t>）</w:t>
            </w:r>
          </w:p>
        </w:tc>
        <w:tc>
          <w:tcPr>
            <w:tcW w:w="2457" w:type="dxa"/>
            <w:vAlign w:val="center"/>
          </w:tcPr>
          <w:p>
            <w:pPr>
              <w:jc w:val="center"/>
              <w:rPr>
                <w:sz w:val="18"/>
                <w:szCs w:val="18"/>
              </w:rPr>
            </w:pPr>
            <w:r>
              <w:rPr>
                <w:sz w:val="18"/>
                <w:szCs w:val="18"/>
              </w:rPr>
              <w:t>GB 18581-2009</w:t>
            </w: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81" w:type="dxa"/>
            <w:vAlign w:val="center"/>
          </w:tcPr>
          <w:p>
            <w:pPr>
              <w:spacing w:line="240" w:lineRule="atLeast"/>
              <w:jc w:val="center"/>
              <w:rPr>
                <w:sz w:val="18"/>
                <w:szCs w:val="18"/>
              </w:rPr>
            </w:pPr>
            <w:r>
              <w:rPr>
                <w:sz w:val="18"/>
                <w:szCs w:val="18"/>
              </w:rPr>
              <w:t>5</w:t>
            </w:r>
          </w:p>
        </w:tc>
        <w:tc>
          <w:tcPr>
            <w:tcW w:w="2706" w:type="dxa"/>
            <w:vAlign w:val="center"/>
          </w:tcPr>
          <w:p>
            <w:pPr>
              <w:spacing w:line="240" w:lineRule="atLeast"/>
              <w:jc w:val="center"/>
              <w:rPr>
                <w:sz w:val="18"/>
                <w:szCs w:val="18"/>
              </w:rPr>
            </w:pPr>
            <w:r>
              <w:rPr>
                <w:sz w:val="18"/>
                <w:szCs w:val="18"/>
              </w:rPr>
              <w:t>甲醇含量（</w:t>
            </w:r>
            <w:r>
              <w:rPr>
                <w:rFonts w:hint="eastAsia"/>
                <w:sz w:val="18"/>
                <w:szCs w:val="18"/>
              </w:rPr>
              <w:t>限</w:t>
            </w:r>
            <w:r>
              <w:rPr>
                <w:sz w:val="18"/>
                <w:szCs w:val="18"/>
              </w:rPr>
              <w:t>硝基</w:t>
            </w:r>
            <w:r>
              <w:rPr>
                <w:rFonts w:hint="eastAsia"/>
                <w:sz w:val="18"/>
                <w:szCs w:val="18"/>
              </w:rPr>
              <w:t>类</w:t>
            </w:r>
            <w:r>
              <w:rPr>
                <w:sz w:val="18"/>
                <w:szCs w:val="18"/>
              </w:rPr>
              <w:t>）</w:t>
            </w:r>
          </w:p>
        </w:tc>
        <w:tc>
          <w:tcPr>
            <w:tcW w:w="2457" w:type="dxa"/>
            <w:vAlign w:val="center"/>
          </w:tcPr>
          <w:p>
            <w:pPr>
              <w:jc w:val="center"/>
              <w:rPr>
                <w:sz w:val="18"/>
                <w:szCs w:val="18"/>
              </w:rPr>
            </w:pPr>
            <w:r>
              <w:rPr>
                <w:sz w:val="18"/>
                <w:szCs w:val="18"/>
              </w:rPr>
              <w:t>GB 18581-2009</w:t>
            </w: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81" w:type="dxa"/>
            <w:vAlign w:val="center"/>
          </w:tcPr>
          <w:p>
            <w:pPr>
              <w:spacing w:line="240" w:lineRule="atLeast"/>
              <w:jc w:val="center"/>
              <w:rPr>
                <w:sz w:val="18"/>
                <w:szCs w:val="18"/>
              </w:rPr>
            </w:pPr>
            <w:r>
              <w:rPr>
                <w:sz w:val="18"/>
                <w:szCs w:val="18"/>
              </w:rPr>
              <w:t>6</w:t>
            </w:r>
          </w:p>
        </w:tc>
        <w:tc>
          <w:tcPr>
            <w:tcW w:w="2706" w:type="dxa"/>
            <w:vAlign w:val="center"/>
          </w:tcPr>
          <w:p>
            <w:pPr>
              <w:spacing w:line="240" w:lineRule="atLeast"/>
              <w:jc w:val="center"/>
              <w:rPr>
                <w:sz w:val="18"/>
                <w:szCs w:val="18"/>
              </w:rPr>
            </w:pPr>
            <w:r>
              <w:rPr>
                <w:sz w:val="18"/>
                <w:szCs w:val="18"/>
              </w:rPr>
              <w:t>卤代烃含量</w:t>
            </w:r>
          </w:p>
        </w:tc>
        <w:tc>
          <w:tcPr>
            <w:tcW w:w="2457" w:type="dxa"/>
            <w:vAlign w:val="center"/>
          </w:tcPr>
          <w:p>
            <w:pPr>
              <w:jc w:val="center"/>
              <w:rPr>
                <w:sz w:val="18"/>
                <w:szCs w:val="18"/>
              </w:rPr>
            </w:pPr>
            <w:r>
              <w:rPr>
                <w:sz w:val="18"/>
                <w:szCs w:val="18"/>
              </w:rPr>
              <w:t>GB 18581-2009</w:t>
            </w: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81" w:type="dxa"/>
            <w:vAlign w:val="center"/>
          </w:tcPr>
          <w:p>
            <w:pPr>
              <w:spacing w:line="240" w:lineRule="atLeast"/>
              <w:jc w:val="center"/>
              <w:rPr>
                <w:sz w:val="18"/>
                <w:szCs w:val="18"/>
              </w:rPr>
            </w:pPr>
            <w:r>
              <w:rPr>
                <w:sz w:val="18"/>
                <w:szCs w:val="18"/>
              </w:rPr>
              <w:t>7</w:t>
            </w:r>
          </w:p>
        </w:tc>
        <w:tc>
          <w:tcPr>
            <w:tcW w:w="2706" w:type="dxa"/>
            <w:vAlign w:val="center"/>
          </w:tcPr>
          <w:p>
            <w:pPr>
              <w:spacing w:line="240" w:lineRule="atLeast"/>
              <w:jc w:val="center"/>
              <w:rPr>
                <w:sz w:val="18"/>
                <w:szCs w:val="18"/>
              </w:rPr>
            </w:pPr>
            <w:r>
              <w:rPr>
                <w:sz w:val="18"/>
                <w:szCs w:val="18"/>
              </w:rPr>
              <w:t>可溶性铅</w:t>
            </w:r>
            <w:r>
              <w:rPr>
                <w:rFonts w:hint="eastAsia" w:ascii="宋体" w:hAnsi="宋体"/>
                <w:sz w:val="18"/>
                <w:szCs w:val="18"/>
              </w:rPr>
              <w:t>（限色漆）</w:t>
            </w:r>
          </w:p>
        </w:tc>
        <w:tc>
          <w:tcPr>
            <w:tcW w:w="2457" w:type="dxa"/>
            <w:vAlign w:val="center"/>
          </w:tcPr>
          <w:p>
            <w:pPr>
              <w:jc w:val="center"/>
              <w:rPr>
                <w:sz w:val="18"/>
                <w:szCs w:val="18"/>
              </w:rPr>
            </w:pPr>
            <w:r>
              <w:rPr>
                <w:sz w:val="18"/>
                <w:szCs w:val="18"/>
              </w:rPr>
              <w:t>GB 18581-2009</w:t>
            </w: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81" w:type="dxa"/>
            <w:vAlign w:val="center"/>
          </w:tcPr>
          <w:p>
            <w:pPr>
              <w:spacing w:line="240" w:lineRule="atLeast"/>
              <w:jc w:val="center"/>
              <w:rPr>
                <w:sz w:val="18"/>
                <w:szCs w:val="18"/>
              </w:rPr>
            </w:pPr>
            <w:r>
              <w:rPr>
                <w:sz w:val="18"/>
                <w:szCs w:val="18"/>
              </w:rPr>
              <w:t>8</w:t>
            </w:r>
          </w:p>
        </w:tc>
        <w:tc>
          <w:tcPr>
            <w:tcW w:w="2706" w:type="dxa"/>
            <w:vAlign w:val="center"/>
          </w:tcPr>
          <w:p>
            <w:pPr>
              <w:spacing w:line="240" w:lineRule="atLeast"/>
              <w:jc w:val="center"/>
              <w:rPr>
                <w:sz w:val="18"/>
                <w:szCs w:val="18"/>
              </w:rPr>
            </w:pPr>
            <w:r>
              <w:rPr>
                <w:sz w:val="18"/>
                <w:szCs w:val="18"/>
              </w:rPr>
              <w:t>可溶性镉</w:t>
            </w:r>
            <w:r>
              <w:rPr>
                <w:rFonts w:hint="eastAsia" w:ascii="宋体" w:hAnsi="宋体"/>
                <w:sz w:val="18"/>
                <w:szCs w:val="18"/>
              </w:rPr>
              <w:t>（限色漆）</w:t>
            </w:r>
          </w:p>
        </w:tc>
        <w:tc>
          <w:tcPr>
            <w:tcW w:w="2457" w:type="dxa"/>
            <w:vAlign w:val="center"/>
          </w:tcPr>
          <w:p>
            <w:pPr>
              <w:jc w:val="center"/>
              <w:rPr>
                <w:sz w:val="18"/>
                <w:szCs w:val="18"/>
              </w:rPr>
            </w:pPr>
            <w:r>
              <w:rPr>
                <w:sz w:val="18"/>
                <w:szCs w:val="18"/>
              </w:rPr>
              <w:t>GB 18581-2009</w:t>
            </w: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81" w:type="dxa"/>
            <w:vAlign w:val="center"/>
          </w:tcPr>
          <w:p>
            <w:pPr>
              <w:spacing w:line="240" w:lineRule="atLeast"/>
              <w:jc w:val="center"/>
              <w:rPr>
                <w:sz w:val="18"/>
                <w:szCs w:val="18"/>
              </w:rPr>
            </w:pPr>
            <w:r>
              <w:rPr>
                <w:sz w:val="18"/>
                <w:szCs w:val="18"/>
              </w:rPr>
              <w:t>9</w:t>
            </w:r>
          </w:p>
        </w:tc>
        <w:tc>
          <w:tcPr>
            <w:tcW w:w="2706" w:type="dxa"/>
            <w:vAlign w:val="center"/>
          </w:tcPr>
          <w:p>
            <w:pPr>
              <w:spacing w:line="240" w:lineRule="atLeast"/>
              <w:jc w:val="center"/>
              <w:rPr>
                <w:sz w:val="18"/>
                <w:szCs w:val="18"/>
              </w:rPr>
            </w:pPr>
            <w:r>
              <w:rPr>
                <w:sz w:val="18"/>
                <w:szCs w:val="18"/>
              </w:rPr>
              <w:t>可溶性铬</w:t>
            </w:r>
            <w:r>
              <w:rPr>
                <w:rFonts w:hint="eastAsia" w:ascii="宋体" w:hAnsi="宋体"/>
                <w:sz w:val="18"/>
                <w:szCs w:val="18"/>
              </w:rPr>
              <w:t>（限色漆）</w:t>
            </w:r>
          </w:p>
        </w:tc>
        <w:tc>
          <w:tcPr>
            <w:tcW w:w="2457" w:type="dxa"/>
            <w:vAlign w:val="center"/>
          </w:tcPr>
          <w:p>
            <w:pPr>
              <w:jc w:val="center"/>
              <w:rPr>
                <w:sz w:val="18"/>
                <w:szCs w:val="18"/>
              </w:rPr>
            </w:pPr>
            <w:r>
              <w:rPr>
                <w:sz w:val="18"/>
                <w:szCs w:val="18"/>
              </w:rPr>
              <w:t>GB 18581-2009</w:t>
            </w: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81" w:type="dxa"/>
            <w:vAlign w:val="center"/>
          </w:tcPr>
          <w:p>
            <w:pPr>
              <w:spacing w:line="240" w:lineRule="atLeast"/>
              <w:jc w:val="center"/>
              <w:rPr>
                <w:sz w:val="18"/>
                <w:szCs w:val="18"/>
              </w:rPr>
            </w:pPr>
            <w:r>
              <w:rPr>
                <w:rFonts w:hint="eastAsia"/>
                <w:sz w:val="18"/>
                <w:szCs w:val="18"/>
              </w:rPr>
              <w:t>10</w:t>
            </w:r>
          </w:p>
        </w:tc>
        <w:tc>
          <w:tcPr>
            <w:tcW w:w="2706" w:type="dxa"/>
            <w:vAlign w:val="center"/>
          </w:tcPr>
          <w:p>
            <w:pPr>
              <w:spacing w:line="240" w:lineRule="atLeast"/>
              <w:jc w:val="center"/>
              <w:rPr>
                <w:sz w:val="18"/>
                <w:szCs w:val="18"/>
              </w:rPr>
            </w:pPr>
            <w:r>
              <w:rPr>
                <w:sz w:val="18"/>
                <w:szCs w:val="18"/>
              </w:rPr>
              <w:t>可溶性汞</w:t>
            </w:r>
            <w:r>
              <w:rPr>
                <w:rFonts w:hint="eastAsia" w:ascii="宋体" w:hAnsi="宋体"/>
                <w:sz w:val="18"/>
                <w:szCs w:val="18"/>
              </w:rPr>
              <w:t>（限色漆）</w:t>
            </w:r>
          </w:p>
        </w:tc>
        <w:tc>
          <w:tcPr>
            <w:tcW w:w="2457" w:type="dxa"/>
            <w:vAlign w:val="center"/>
          </w:tcPr>
          <w:p>
            <w:pPr>
              <w:jc w:val="center"/>
              <w:rPr>
                <w:sz w:val="18"/>
                <w:szCs w:val="18"/>
              </w:rPr>
            </w:pPr>
            <w:r>
              <w:rPr>
                <w:sz w:val="18"/>
                <w:szCs w:val="18"/>
              </w:rPr>
              <w:t>GB 18581-2009</w:t>
            </w: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p>
        </w:tc>
      </w:tr>
    </w:tbl>
    <w:p>
      <w:pPr>
        <w:ind w:firstLine="640" w:firstLineChars="200"/>
        <w:rPr>
          <w:rFonts w:eastAsia="楷体_GB2312"/>
          <w:szCs w:val="32"/>
        </w:rPr>
      </w:pPr>
      <w:r>
        <w:rPr>
          <w:rFonts w:hint="eastAsia" w:eastAsia="楷体_GB2312"/>
          <w:szCs w:val="32"/>
        </w:rPr>
        <w:t>2</w:t>
      </w:r>
      <w:r>
        <w:rPr>
          <w:rFonts w:hint="eastAsia" w:eastAsia="楷体_GB2312"/>
          <w:szCs w:val="32"/>
          <w:lang w:eastAsia="zh-CN"/>
        </w:rPr>
        <w:t>．</w:t>
      </w:r>
      <w:r>
        <w:rPr>
          <w:rFonts w:hint="eastAsia" w:eastAsia="楷体_GB2312"/>
          <w:szCs w:val="32"/>
        </w:rPr>
        <w:t>合成树脂乳液内墙涂料（面漆）</w:t>
      </w:r>
    </w:p>
    <w:tbl>
      <w:tblPr>
        <w:tblStyle w:val="3"/>
        <w:tblW w:w="874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1"/>
        <w:gridCol w:w="2706"/>
        <w:gridCol w:w="2457"/>
        <w:gridCol w:w="601"/>
        <w:gridCol w:w="601"/>
        <w:gridCol w:w="601"/>
        <w:gridCol w:w="601"/>
        <w:gridCol w:w="6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8" w:hRule="atLeast"/>
          <w:jc w:val="center"/>
        </w:trPr>
        <w:tc>
          <w:tcPr>
            <w:tcW w:w="581"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sz w:val="18"/>
                <w:szCs w:val="18"/>
              </w:rPr>
              <w:t>序号</w:t>
            </w:r>
          </w:p>
        </w:tc>
        <w:tc>
          <w:tcPr>
            <w:tcW w:w="2706"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sz w:val="18"/>
                <w:szCs w:val="18"/>
              </w:rPr>
              <w:t>检验项目</w:t>
            </w:r>
          </w:p>
        </w:tc>
        <w:tc>
          <w:tcPr>
            <w:tcW w:w="2457"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sz w:val="18"/>
                <w:szCs w:val="18"/>
              </w:rPr>
              <w:t>依据标准</w:t>
            </w:r>
          </w:p>
        </w:tc>
        <w:tc>
          <w:tcPr>
            <w:tcW w:w="601"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sz w:val="18"/>
                <w:szCs w:val="18"/>
              </w:rPr>
              <w:t>强制性</w:t>
            </w:r>
          </w:p>
        </w:tc>
        <w:tc>
          <w:tcPr>
            <w:tcW w:w="601"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sz w:val="18"/>
                <w:szCs w:val="18"/>
              </w:rPr>
              <w:t>非强制性</w:t>
            </w:r>
          </w:p>
        </w:tc>
        <w:tc>
          <w:tcPr>
            <w:tcW w:w="601"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sz w:val="18"/>
                <w:szCs w:val="18"/>
              </w:rPr>
              <w:t>重要项</w:t>
            </w:r>
          </w:p>
        </w:tc>
        <w:tc>
          <w:tcPr>
            <w:tcW w:w="601"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sz w:val="18"/>
                <w:szCs w:val="18"/>
              </w:rPr>
              <w:t>较重要项</w:t>
            </w:r>
          </w:p>
        </w:tc>
        <w:tc>
          <w:tcPr>
            <w:tcW w:w="601" w:type="dxa"/>
            <w:tcBorders>
              <w:top w:val="single" w:color="auto" w:sz="4" w:space="0"/>
              <w:left w:val="single" w:color="auto" w:sz="4" w:space="0"/>
              <w:right w:val="single" w:color="auto" w:sz="4" w:space="0"/>
            </w:tcBorders>
            <w:vAlign w:val="center"/>
          </w:tcPr>
          <w:p>
            <w:pPr>
              <w:spacing w:line="240" w:lineRule="atLeast"/>
              <w:jc w:val="center"/>
              <w:rPr>
                <w:sz w:val="18"/>
                <w:szCs w:val="18"/>
              </w:rPr>
            </w:pPr>
            <w:r>
              <w:rPr>
                <w:sz w:val="18"/>
                <w:szCs w:val="18"/>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81" w:type="dxa"/>
            <w:vAlign w:val="center"/>
          </w:tcPr>
          <w:p>
            <w:pPr>
              <w:spacing w:line="240" w:lineRule="atLeast"/>
              <w:jc w:val="center"/>
              <w:rPr>
                <w:sz w:val="18"/>
                <w:szCs w:val="18"/>
              </w:rPr>
            </w:pPr>
            <w:r>
              <w:rPr>
                <w:sz w:val="18"/>
                <w:szCs w:val="18"/>
              </w:rPr>
              <w:t>1</w:t>
            </w:r>
          </w:p>
        </w:tc>
        <w:tc>
          <w:tcPr>
            <w:tcW w:w="2706" w:type="dxa"/>
            <w:vAlign w:val="center"/>
          </w:tcPr>
          <w:p>
            <w:pPr>
              <w:spacing w:line="240" w:lineRule="atLeast"/>
              <w:jc w:val="center"/>
              <w:rPr>
                <w:sz w:val="18"/>
                <w:szCs w:val="18"/>
              </w:rPr>
            </w:pPr>
            <w:r>
              <w:rPr>
                <w:sz w:val="18"/>
                <w:szCs w:val="18"/>
              </w:rPr>
              <w:t>挥发性有机化合物（VOC）</w:t>
            </w:r>
          </w:p>
        </w:tc>
        <w:tc>
          <w:tcPr>
            <w:tcW w:w="2457" w:type="dxa"/>
            <w:vAlign w:val="center"/>
          </w:tcPr>
          <w:p>
            <w:pPr>
              <w:spacing w:line="240" w:lineRule="atLeast"/>
              <w:jc w:val="center"/>
              <w:rPr>
                <w:sz w:val="18"/>
                <w:szCs w:val="18"/>
              </w:rPr>
            </w:pPr>
            <w:r>
              <w:rPr>
                <w:sz w:val="18"/>
                <w:szCs w:val="18"/>
              </w:rPr>
              <w:t>GB 18582</w:t>
            </w:r>
            <w:r>
              <w:rPr>
                <w:rFonts w:hint="eastAsia"/>
                <w:sz w:val="18"/>
                <w:szCs w:val="18"/>
              </w:rPr>
              <w:t>-2008</w:t>
            </w: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81" w:type="dxa"/>
            <w:vAlign w:val="center"/>
          </w:tcPr>
          <w:p>
            <w:pPr>
              <w:spacing w:line="240" w:lineRule="atLeast"/>
              <w:jc w:val="center"/>
              <w:rPr>
                <w:sz w:val="18"/>
                <w:szCs w:val="18"/>
              </w:rPr>
            </w:pPr>
            <w:r>
              <w:rPr>
                <w:sz w:val="18"/>
                <w:szCs w:val="18"/>
              </w:rPr>
              <w:t>2</w:t>
            </w:r>
          </w:p>
        </w:tc>
        <w:tc>
          <w:tcPr>
            <w:tcW w:w="2706" w:type="dxa"/>
            <w:vAlign w:val="center"/>
          </w:tcPr>
          <w:p>
            <w:pPr>
              <w:spacing w:line="240" w:lineRule="atLeast"/>
              <w:jc w:val="center"/>
              <w:rPr>
                <w:sz w:val="18"/>
                <w:szCs w:val="18"/>
              </w:rPr>
            </w:pPr>
            <w:r>
              <w:rPr>
                <w:sz w:val="18"/>
                <w:szCs w:val="18"/>
              </w:rPr>
              <w:t>苯、甲苯、乙苯、二甲苯总和</w:t>
            </w:r>
          </w:p>
        </w:tc>
        <w:tc>
          <w:tcPr>
            <w:tcW w:w="2457" w:type="dxa"/>
            <w:vAlign w:val="center"/>
          </w:tcPr>
          <w:p>
            <w:pPr>
              <w:spacing w:line="240" w:lineRule="atLeast"/>
              <w:jc w:val="center"/>
              <w:rPr>
                <w:sz w:val="18"/>
                <w:szCs w:val="18"/>
              </w:rPr>
            </w:pPr>
            <w:r>
              <w:rPr>
                <w:sz w:val="18"/>
                <w:szCs w:val="18"/>
              </w:rPr>
              <w:t>GB 18582</w:t>
            </w:r>
            <w:r>
              <w:rPr>
                <w:rFonts w:hint="eastAsia"/>
                <w:sz w:val="18"/>
                <w:szCs w:val="18"/>
              </w:rPr>
              <w:t>-2008</w:t>
            </w: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81" w:type="dxa"/>
            <w:vAlign w:val="center"/>
          </w:tcPr>
          <w:p>
            <w:pPr>
              <w:spacing w:line="240" w:lineRule="atLeast"/>
              <w:jc w:val="center"/>
              <w:rPr>
                <w:sz w:val="18"/>
                <w:szCs w:val="18"/>
              </w:rPr>
            </w:pPr>
            <w:r>
              <w:rPr>
                <w:sz w:val="18"/>
                <w:szCs w:val="18"/>
              </w:rPr>
              <w:t>3</w:t>
            </w:r>
          </w:p>
        </w:tc>
        <w:tc>
          <w:tcPr>
            <w:tcW w:w="2706" w:type="dxa"/>
            <w:vAlign w:val="center"/>
          </w:tcPr>
          <w:p>
            <w:pPr>
              <w:spacing w:line="240" w:lineRule="atLeast"/>
              <w:jc w:val="center"/>
              <w:rPr>
                <w:sz w:val="18"/>
                <w:szCs w:val="18"/>
              </w:rPr>
            </w:pPr>
            <w:r>
              <w:rPr>
                <w:sz w:val="18"/>
                <w:szCs w:val="18"/>
              </w:rPr>
              <w:t>游离甲醛</w:t>
            </w:r>
          </w:p>
        </w:tc>
        <w:tc>
          <w:tcPr>
            <w:tcW w:w="2457" w:type="dxa"/>
            <w:vAlign w:val="center"/>
          </w:tcPr>
          <w:p>
            <w:pPr>
              <w:spacing w:line="240" w:lineRule="atLeast"/>
              <w:jc w:val="center"/>
              <w:rPr>
                <w:sz w:val="18"/>
                <w:szCs w:val="18"/>
              </w:rPr>
            </w:pPr>
            <w:r>
              <w:rPr>
                <w:sz w:val="18"/>
                <w:szCs w:val="18"/>
              </w:rPr>
              <w:t>GB 18582</w:t>
            </w:r>
            <w:r>
              <w:rPr>
                <w:rFonts w:hint="eastAsia"/>
                <w:sz w:val="18"/>
                <w:szCs w:val="18"/>
              </w:rPr>
              <w:t>-2008</w:t>
            </w: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81" w:type="dxa"/>
            <w:vAlign w:val="center"/>
          </w:tcPr>
          <w:p>
            <w:pPr>
              <w:spacing w:line="240" w:lineRule="atLeast"/>
              <w:jc w:val="center"/>
              <w:rPr>
                <w:sz w:val="18"/>
                <w:szCs w:val="18"/>
              </w:rPr>
            </w:pPr>
            <w:r>
              <w:rPr>
                <w:sz w:val="18"/>
                <w:szCs w:val="18"/>
              </w:rPr>
              <w:t>4</w:t>
            </w:r>
          </w:p>
        </w:tc>
        <w:tc>
          <w:tcPr>
            <w:tcW w:w="2706" w:type="dxa"/>
            <w:vAlign w:val="center"/>
          </w:tcPr>
          <w:p>
            <w:pPr>
              <w:spacing w:line="240" w:lineRule="atLeast"/>
              <w:jc w:val="center"/>
              <w:rPr>
                <w:sz w:val="18"/>
                <w:szCs w:val="18"/>
              </w:rPr>
            </w:pPr>
            <w:r>
              <w:rPr>
                <w:sz w:val="18"/>
                <w:szCs w:val="18"/>
              </w:rPr>
              <w:t>可溶性铅</w:t>
            </w:r>
          </w:p>
        </w:tc>
        <w:tc>
          <w:tcPr>
            <w:tcW w:w="2457" w:type="dxa"/>
            <w:vAlign w:val="center"/>
          </w:tcPr>
          <w:p>
            <w:pPr>
              <w:snapToGrid w:val="0"/>
              <w:spacing w:line="240" w:lineRule="atLeast"/>
              <w:jc w:val="center"/>
              <w:rPr>
                <w:sz w:val="18"/>
                <w:szCs w:val="18"/>
              </w:rPr>
            </w:pPr>
            <w:r>
              <w:rPr>
                <w:sz w:val="18"/>
                <w:szCs w:val="18"/>
              </w:rPr>
              <w:t>GB 18582</w:t>
            </w:r>
            <w:r>
              <w:rPr>
                <w:rFonts w:hint="eastAsia"/>
                <w:sz w:val="18"/>
                <w:szCs w:val="18"/>
              </w:rPr>
              <w:t>-2008</w:t>
            </w: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81" w:type="dxa"/>
            <w:vAlign w:val="center"/>
          </w:tcPr>
          <w:p>
            <w:pPr>
              <w:spacing w:line="240" w:lineRule="atLeast"/>
              <w:jc w:val="center"/>
              <w:rPr>
                <w:sz w:val="18"/>
                <w:szCs w:val="18"/>
              </w:rPr>
            </w:pPr>
            <w:r>
              <w:rPr>
                <w:sz w:val="18"/>
                <w:szCs w:val="18"/>
              </w:rPr>
              <w:t>5</w:t>
            </w:r>
          </w:p>
        </w:tc>
        <w:tc>
          <w:tcPr>
            <w:tcW w:w="2706" w:type="dxa"/>
            <w:vAlign w:val="center"/>
          </w:tcPr>
          <w:p>
            <w:pPr>
              <w:spacing w:line="240" w:lineRule="atLeast"/>
              <w:jc w:val="center"/>
              <w:rPr>
                <w:sz w:val="18"/>
                <w:szCs w:val="18"/>
              </w:rPr>
            </w:pPr>
            <w:r>
              <w:rPr>
                <w:sz w:val="18"/>
                <w:szCs w:val="18"/>
              </w:rPr>
              <w:t>可溶性镉</w:t>
            </w:r>
          </w:p>
        </w:tc>
        <w:tc>
          <w:tcPr>
            <w:tcW w:w="2457" w:type="dxa"/>
            <w:vAlign w:val="center"/>
          </w:tcPr>
          <w:p>
            <w:pPr>
              <w:snapToGrid w:val="0"/>
              <w:spacing w:line="240" w:lineRule="atLeast"/>
              <w:jc w:val="center"/>
              <w:rPr>
                <w:sz w:val="18"/>
                <w:szCs w:val="18"/>
              </w:rPr>
            </w:pPr>
            <w:r>
              <w:rPr>
                <w:sz w:val="18"/>
                <w:szCs w:val="18"/>
              </w:rPr>
              <w:t>GB 18582</w:t>
            </w:r>
            <w:r>
              <w:rPr>
                <w:rFonts w:hint="eastAsia"/>
                <w:sz w:val="18"/>
                <w:szCs w:val="18"/>
              </w:rPr>
              <w:t>-2008</w:t>
            </w: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81" w:type="dxa"/>
            <w:vAlign w:val="center"/>
          </w:tcPr>
          <w:p>
            <w:pPr>
              <w:spacing w:line="240" w:lineRule="atLeast"/>
              <w:jc w:val="center"/>
              <w:rPr>
                <w:sz w:val="18"/>
                <w:szCs w:val="18"/>
              </w:rPr>
            </w:pPr>
            <w:r>
              <w:rPr>
                <w:sz w:val="18"/>
                <w:szCs w:val="18"/>
              </w:rPr>
              <w:t>6</w:t>
            </w:r>
          </w:p>
        </w:tc>
        <w:tc>
          <w:tcPr>
            <w:tcW w:w="2706" w:type="dxa"/>
            <w:vAlign w:val="center"/>
          </w:tcPr>
          <w:p>
            <w:pPr>
              <w:spacing w:line="240" w:lineRule="atLeast"/>
              <w:jc w:val="center"/>
              <w:rPr>
                <w:sz w:val="18"/>
                <w:szCs w:val="18"/>
              </w:rPr>
            </w:pPr>
            <w:r>
              <w:rPr>
                <w:sz w:val="18"/>
                <w:szCs w:val="18"/>
              </w:rPr>
              <w:t>可溶性铬</w:t>
            </w:r>
          </w:p>
        </w:tc>
        <w:tc>
          <w:tcPr>
            <w:tcW w:w="2457" w:type="dxa"/>
            <w:vAlign w:val="center"/>
          </w:tcPr>
          <w:p>
            <w:pPr>
              <w:snapToGrid w:val="0"/>
              <w:spacing w:line="240" w:lineRule="atLeast"/>
              <w:jc w:val="center"/>
              <w:rPr>
                <w:sz w:val="18"/>
                <w:szCs w:val="18"/>
              </w:rPr>
            </w:pPr>
            <w:r>
              <w:rPr>
                <w:sz w:val="18"/>
                <w:szCs w:val="18"/>
              </w:rPr>
              <w:t>GB 18582</w:t>
            </w:r>
            <w:r>
              <w:rPr>
                <w:rFonts w:hint="eastAsia"/>
                <w:sz w:val="18"/>
                <w:szCs w:val="18"/>
              </w:rPr>
              <w:t>-2008</w:t>
            </w: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81" w:type="dxa"/>
            <w:vAlign w:val="center"/>
          </w:tcPr>
          <w:p>
            <w:pPr>
              <w:spacing w:line="240" w:lineRule="atLeast"/>
              <w:jc w:val="center"/>
              <w:rPr>
                <w:sz w:val="18"/>
                <w:szCs w:val="18"/>
              </w:rPr>
            </w:pPr>
            <w:r>
              <w:rPr>
                <w:sz w:val="18"/>
                <w:szCs w:val="18"/>
              </w:rPr>
              <w:t>7</w:t>
            </w:r>
          </w:p>
        </w:tc>
        <w:tc>
          <w:tcPr>
            <w:tcW w:w="2706" w:type="dxa"/>
            <w:vAlign w:val="center"/>
          </w:tcPr>
          <w:p>
            <w:pPr>
              <w:spacing w:line="240" w:lineRule="atLeast"/>
              <w:jc w:val="center"/>
              <w:rPr>
                <w:sz w:val="18"/>
                <w:szCs w:val="18"/>
              </w:rPr>
            </w:pPr>
            <w:r>
              <w:rPr>
                <w:sz w:val="18"/>
                <w:szCs w:val="18"/>
              </w:rPr>
              <w:t>可溶性汞</w:t>
            </w:r>
          </w:p>
        </w:tc>
        <w:tc>
          <w:tcPr>
            <w:tcW w:w="2457" w:type="dxa"/>
            <w:vAlign w:val="center"/>
          </w:tcPr>
          <w:p>
            <w:pPr>
              <w:snapToGrid w:val="0"/>
              <w:spacing w:line="240" w:lineRule="atLeast"/>
              <w:jc w:val="center"/>
              <w:rPr>
                <w:sz w:val="18"/>
                <w:szCs w:val="18"/>
              </w:rPr>
            </w:pPr>
            <w:r>
              <w:rPr>
                <w:sz w:val="18"/>
                <w:szCs w:val="18"/>
              </w:rPr>
              <w:t>GB 18582</w:t>
            </w:r>
            <w:r>
              <w:rPr>
                <w:rFonts w:hint="eastAsia"/>
                <w:sz w:val="18"/>
                <w:szCs w:val="18"/>
              </w:rPr>
              <w:t>-2008</w:t>
            </w: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81" w:type="dxa"/>
            <w:vAlign w:val="center"/>
          </w:tcPr>
          <w:p>
            <w:pPr>
              <w:spacing w:line="240" w:lineRule="atLeast"/>
              <w:jc w:val="center"/>
              <w:rPr>
                <w:sz w:val="18"/>
                <w:szCs w:val="18"/>
              </w:rPr>
            </w:pPr>
            <w:r>
              <w:rPr>
                <w:sz w:val="18"/>
                <w:szCs w:val="18"/>
              </w:rPr>
              <w:t>8</w:t>
            </w:r>
          </w:p>
        </w:tc>
        <w:tc>
          <w:tcPr>
            <w:tcW w:w="2706" w:type="dxa"/>
            <w:vAlign w:val="center"/>
          </w:tcPr>
          <w:p>
            <w:pPr>
              <w:spacing w:line="240" w:lineRule="atLeast"/>
              <w:jc w:val="center"/>
              <w:rPr>
                <w:sz w:val="18"/>
                <w:szCs w:val="18"/>
              </w:rPr>
            </w:pPr>
            <w:r>
              <w:rPr>
                <w:sz w:val="18"/>
                <w:szCs w:val="18"/>
              </w:rPr>
              <w:t>干燥时间</w:t>
            </w:r>
          </w:p>
        </w:tc>
        <w:tc>
          <w:tcPr>
            <w:tcW w:w="2457" w:type="dxa"/>
            <w:vAlign w:val="center"/>
          </w:tcPr>
          <w:p>
            <w:pPr>
              <w:spacing w:line="240" w:lineRule="atLeast"/>
              <w:jc w:val="center"/>
              <w:rPr>
                <w:sz w:val="18"/>
                <w:szCs w:val="18"/>
              </w:rPr>
            </w:pPr>
            <w:r>
              <w:rPr>
                <w:sz w:val="18"/>
                <w:szCs w:val="18"/>
              </w:rPr>
              <w:t>GB/T 9756</w:t>
            </w:r>
            <w:r>
              <w:rPr>
                <w:rFonts w:hint="eastAsia"/>
                <w:sz w:val="18"/>
                <w:szCs w:val="18"/>
              </w:rPr>
              <w:t>-2018</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r>
              <w:rPr>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81" w:type="dxa"/>
            <w:vAlign w:val="center"/>
          </w:tcPr>
          <w:p>
            <w:pPr>
              <w:spacing w:line="240" w:lineRule="atLeast"/>
              <w:jc w:val="center"/>
              <w:rPr>
                <w:sz w:val="18"/>
                <w:szCs w:val="18"/>
              </w:rPr>
            </w:pPr>
            <w:r>
              <w:rPr>
                <w:sz w:val="18"/>
                <w:szCs w:val="18"/>
              </w:rPr>
              <w:t>9</w:t>
            </w:r>
          </w:p>
        </w:tc>
        <w:tc>
          <w:tcPr>
            <w:tcW w:w="2706" w:type="dxa"/>
            <w:vAlign w:val="center"/>
          </w:tcPr>
          <w:p>
            <w:pPr>
              <w:spacing w:line="240" w:lineRule="atLeast"/>
              <w:jc w:val="center"/>
              <w:rPr>
                <w:sz w:val="18"/>
                <w:szCs w:val="18"/>
              </w:rPr>
            </w:pPr>
            <w:r>
              <w:rPr>
                <w:sz w:val="18"/>
                <w:szCs w:val="18"/>
              </w:rPr>
              <w:t>耐洗刷性</w:t>
            </w:r>
          </w:p>
        </w:tc>
        <w:tc>
          <w:tcPr>
            <w:tcW w:w="2457" w:type="dxa"/>
            <w:vAlign w:val="center"/>
          </w:tcPr>
          <w:p>
            <w:pPr>
              <w:spacing w:line="240" w:lineRule="atLeast"/>
              <w:jc w:val="center"/>
              <w:rPr>
                <w:sz w:val="18"/>
                <w:szCs w:val="18"/>
              </w:rPr>
            </w:pPr>
            <w:r>
              <w:rPr>
                <w:sz w:val="18"/>
                <w:szCs w:val="18"/>
              </w:rPr>
              <w:t>GB/T 9756</w:t>
            </w:r>
            <w:r>
              <w:rPr>
                <w:rFonts w:hint="eastAsia"/>
                <w:sz w:val="18"/>
                <w:szCs w:val="18"/>
              </w:rPr>
              <w:t>-2018</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r>
    </w:tbl>
    <w:p>
      <w:pPr>
        <w:ind w:firstLine="640" w:firstLineChars="200"/>
        <w:rPr>
          <w:rFonts w:eastAsia="楷体_GB2312"/>
          <w:szCs w:val="32"/>
        </w:rPr>
      </w:pPr>
      <w:r>
        <w:rPr>
          <w:rFonts w:hint="eastAsia" w:eastAsia="楷体_GB2312"/>
          <w:szCs w:val="32"/>
        </w:rPr>
        <w:t>3</w:t>
      </w:r>
      <w:r>
        <w:rPr>
          <w:rFonts w:hint="eastAsia" w:eastAsia="楷体_GB2312"/>
          <w:szCs w:val="32"/>
          <w:lang w:eastAsia="zh-CN"/>
        </w:rPr>
        <w:t>．</w:t>
      </w:r>
      <w:r>
        <w:rPr>
          <w:rFonts w:hint="eastAsia" w:eastAsia="楷体_GB2312"/>
          <w:szCs w:val="32"/>
        </w:rPr>
        <w:t>建筑用外墙涂料（水性，面漆）</w:t>
      </w:r>
    </w:p>
    <w:tbl>
      <w:tblPr>
        <w:tblStyle w:val="3"/>
        <w:tblW w:w="874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1"/>
        <w:gridCol w:w="2706"/>
        <w:gridCol w:w="2457"/>
        <w:gridCol w:w="601"/>
        <w:gridCol w:w="601"/>
        <w:gridCol w:w="601"/>
        <w:gridCol w:w="601"/>
        <w:gridCol w:w="6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8" w:hRule="atLeast"/>
          <w:tblHeader/>
          <w:jc w:val="center"/>
        </w:trPr>
        <w:tc>
          <w:tcPr>
            <w:tcW w:w="581"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sz w:val="18"/>
                <w:szCs w:val="18"/>
              </w:rPr>
              <w:t>序号</w:t>
            </w:r>
          </w:p>
        </w:tc>
        <w:tc>
          <w:tcPr>
            <w:tcW w:w="2706"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sz w:val="18"/>
                <w:szCs w:val="18"/>
              </w:rPr>
              <w:t>检验项目</w:t>
            </w:r>
          </w:p>
        </w:tc>
        <w:tc>
          <w:tcPr>
            <w:tcW w:w="2457"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sz w:val="18"/>
                <w:szCs w:val="18"/>
              </w:rPr>
              <w:t>依据标准</w:t>
            </w:r>
          </w:p>
        </w:tc>
        <w:tc>
          <w:tcPr>
            <w:tcW w:w="601"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sz w:val="18"/>
                <w:szCs w:val="18"/>
              </w:rPr>
              <w:t>强制性</w:t>
            </w:r>
          </w:p>
        </w:tc>
        <w:tc>
          <w:tcPr>
            <w:tcW w:w="601"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sz w:val="18"/>
                <w:szCs w:val="18"/>
              </w:rPr>
              <w:t>非强制性</w:t>
            </w:r>
          </w:p>
        </w:tc>
        <w:tc>
          <w:tcPr>
            <w:tcW w:w="601"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sz w:val="18"/>
                <w:szCs w:val="18"/>
              </w:rPr>
              <w:t>重要项</w:t>
            </w:r>
          </w:p>
        </w:tc>
        <w:tc>
          <w:tcPr>
            <w:tcW w:w="601"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sz w:val="18"/>
                <w:szCs w:val="18"/>
              </w:rPr>
              <w:t>较重要项</w:t>
            </w:r>
          </w:p>
        </w:tc>
        <w:tc>
          <w:tcPr>
            <w:tcW w:w="601" w:type="dxa"/>
            <w:tcBorders>
              <w:top w:val="single" w:color="auto" w:sz="4" w:space="0"/>
              <w:left w:val="single" w:color="auto" w:sz="4" w:space="0"/>
              <w:right w:val="single" w:color="auto" w:sz="4" w:space="0"/>
            </w:tcBorders>
            <w:vAlign w:val="center"/>
          </w:tcPr>
          <w:p>
            <w:pPr>
              <w:spacing w:line="240" w:lineRule="atLeast"/>
              <w:jc w:val="center"/>
              <w:rPr>
                <w:sz w:val="18"/>
                <w:szCs w:val="18"/>
              </w:rPr>
            </w:pPr>
            <w:r>
              <w:rPr>
                <w:sz w:val="18"/>
                <w:szCs w:val="18"/>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81" w:type="dxa"/>
            <w:vAlign w:val="center"/>
          </w:tcPr>
          <w:p>
            <w:pPr>
              <w:spacing w:line="240" w:lineRule="atLeast"/>
              <w:jc w:val="center"/>
              <w:rPr>
                <w:sz w:val="18"/>
                <w:szCs w:val="18"/>
              </w:rPr>
            </w:pPr>
            <w:r>
              <w:rPr>
                <w:sz w:val="18"/>
                <w:szCs w:val="18"/>
              </w:rPr>
              <w:t>1</w:t>
            </w:r>
          </w:p>
        </w:tc>
        <w:tc>
          <w:tcPr>
            <w:tcW w:w="2706" w:type="dxa"/>
            <w:vAlign w:val="center"/>
          </w:tcPr>
          <w:p>
            <w:pPr>
              <w:spacing w:line="240" w:lineRule="atLeast"/>
              <w:jc w:val="center"/>
              <w:rPr>
                <w:sz w:val="18"/>
                <w:szCs w:val="18"/>
              </w:rPr>
            </w:pPr>
            <w:r>
              <w:rPr>
                <w:sz w:val="18"/>
                <w:szCs w:val="18"/>
              </w:rPr>
              <w:t>挥发性有机化合物(VOC)含量</w:t>
            </w:r>
          </w:p>
        </w:tc>
        <w:tc>
          <w:tcPr>
            <w:tcW w:w="2457" w:type="dxa"/>
            <w:vAlign w:val="center"/>
          </w:tcPr>
          <w:p>
            <w:pPr>
              <w:spacing w:line="240" w:lineRule="atLeast"/>
              <w:jc w:val="center"/>
              <w:rPr>
                <w:sz w:val="18"/>
                <w:szCs w:val="18"/>
              </w:rPr>
            </w:pPr>
            <w:r>
              <w:rPr>
                <w:sz w:val="18"/>
                <w:szCs w:val="18"/>
              </w:rPr>
              <w:t>GB 24408</w:t>
            </w:r>
            <w:r>
              <w:rPr>
                <w:rFonts w:hint="eastAsia"/>
                <w:sz w:val="18"/>
                <w:szCs w:val="18"/>
              </w:rPr>
              <w:t>-2009</w:t>
            </w: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81" w:type="dxa"/>
            <w:vAlign w:val="center"/>
          </w:tcPr>
          <w:p>
            <w:pPr>
              <w:spacing w:line="240" w:lineRule="atLeast"/>
              <w:jc w:val="center"/>
              <w:rPr>
                <w:sz w:val="18"/>
                <w:szCs w:val="18"/>
              </w:rPr>
            </w:pPr>
            <w:r>
              <w:rPr>
                <w:sz w:val="18"/>
                <w:szCs w:val="18"/>
              </w:rPr>
              <w:t>2</w:t>
            </w:r>
          </w:p>
        </w:tc>
        <w:tc>
          <w:tcPr>
            <w:tcW w:w="2706" w:type="dxa"/>
            <w:vAlign w:val="center"/>
          </w:tcPr>
          <w:p>
            <w:pPr>
              <w:spacing w:line="240" w:lineRule="atLeast"/>
              <w:jc w:val="center"/>
              <w:rPr>
                <w:sz w:val="18"/>
                <w:szCs w:val="18"/>
              </w:rPr>
            </w:pPr>
            <w:r>
              <w:rPr>
                <w:sz w:val="18"/>
                <w:szCs w:val="18"/>
              </w:rPr>
              <w:t>游离甲醛含量</w:t>
            </w:r>
          </w:p>
        </w:tc>
        <w:tc>
          <w:tcPr>
            <w:tcW w:w="2457" w:type="dxa"/>
            <w:vAlign w:val="center"/>
          </w:tcPr>
          <w:p>
            <w:pPr>
              <w:spacing w:line="240" w:lineRule="atLeast"/>
              <w:jc w:val="center"/>
              <w:rPr>
                <w:sz w:val="18"/>
                <w:szCs w:val="18"/>
              </w:rPr>
            </w:pPr>
            <w:r>
              <w:rPr>
                <w:sz w:val="18"/>
                <w:szCs w:val="18"/>
              </w:rPr>
              <w:t>GB 24408</w:t>
            </w:r>
            <w:r>
              <w:rPr>
                <w:rFonts w:hint="eastAsia"/>
                <w:sz w:val="18"/>
                <w:szCs w:val="18"/>
              </w:rPr>
              <w:t>-2009</w:t>
            </w: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81" w:type="dxa"/>
            <w:vAlign w:val="center"/>
          </w:tcPr>
          <w:p>
            <w:pPr>
              <w:spacing w:line="240" w:lineRule="atLeast"/>
              <w:jc w:val="center"/>
              <w:rPr>
                <w:sz w:val="18"/>
                <w:szCs w:val="18"/>
              </w:rPr>
            </w:pPr>
            <w:r>
              <w:rPr>
                <w:sz w:val="18"/>
                <w:szCs w:val="18"/>
              </w:rPr>
              <w:t>3</w:t>
            </w:r>
          </w:p>
        </w:tc>
        <w:tc>
          <w:tcPr>
            <w:tcW w:w="2706" w:type="dxa"/>
            <w:vAlign w:val="center"/>
          </w:tcPr>
          <w:p>
            <w:pPr>
              <w:spacing w:line="240" w:lineRule="atLeast"/>
              <w:jc w:val="center"/>
              <w:rPr>
                <w:sz w:val="18"/>
                <w:szCs w:val="18"/>
              </w:rPr>
            </w:pPr>
            <w:r>
              <w:rPr>
                <w:sz w:val="18"/>
                <w:szCs w:val="18"/>
              </w:rPr>
              <w:t>乙二醇醚及醚酯含量总和(限乙二醇甲醚、乙二醇甲醚醋酸酯、乙二醇乙醚、乙二醇乙醚醋酸酯和二乙二醇丁醚醋酸酯)</w:t>
            </w:r>
          </w:p>
        </w:tc>
        <w:tc>
          <w:tcPr>
            <w:tcW w:w="2457" w:type="dxa"/>
            <w:vAlign w:val="center"/>
          </w:tcPr>
          <w:p>
            <w:pPr>
              <w:spacing w:line="240" w:lineRule="atLeast"/>
              <w:jc w:val="center"/>
              <w:rPr>
                <w:sz w:val="18"/>
                <w:szCs w:val="18"/>
              </w:rPr>
            </w:pPr>
            <w:r>
              <w:rPr>
                <w:sz w:val="18"/>
                <w:szCs w:val="18"/>
              </w:rPr>
              <w:t>GB 24408</w:t>
            </w:r>
            <w:r>
              <w:rPr>
                <w:rFonts w:hint="eastAsia"/>
                <w:sz w:val="18"/>
                <w:szCs w:val="18"/>
              </w:rPr>
              <w:t>-2009</w:t>
            </w: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81" w:type="dxa"/>
            <w:vAlign w:val="center"/>
          </w:tcPr>
          <w:p>
            <w:pPr>
              <w:spacing w:line="240" w:lineRule="atLeast"/>
              <w:jc w:val="center"/>
              <w:rPr>
                <w:sz w:val="18"/>
                <w:szCs w:val="18"/>
              </w:rPr>
            </w:pPr>
            <w:r>
              <w:rPr>
                <w:sz w:val="18"/>
                <w:szCs w:val="18"/>
              </w:rPr>
              <w:t>4</w:t>
            </w:r>
          </w:p>
        </w:tc>
        <w:tc>
          <w:tcPr>
            <w:tcW w:w="2706" w:type="dxa"/>
            <w:vAlign w:val="center"/>
          </w:tcPr>
          <w:p>
            <w:pPr>
              <w:spacing w:line="240" w:lineRule="atLeast"/>
              <w:jc w:val="center"/>
              <w:rPr>
                <w:sz w:val="18"/>
                <w:szCs w:val="18"/>
              </w:rPr>
            </w:pPr>
            <w:r>
              <w:rPr>
                <w:sz w:val="18"/>
                <w:szCs w:val="18"/>
              </w:rPr>
              <w:t>铅</w:t>
            </w:r>
            <w:r>
              <w:rPr>
                <w:rFonts w:hint="eastAsia"/>
                <w:sz w:val="18"/>
                <w:szCs w:val="18"/>
              </w:rPr>
              <w:t>（限色漆）</w:t>
            </w:r>
          </w:p>
        </w:tc>
        <w:tc>
          <w:tcPr>
            <w:tcW w:w="2457" w:type="dxa"/>
            <w:vAlign w:val="center"/>
          </w:tcPr>
          <w:p>
            <w:pPr>
              <w:snapToGrid w:val="0"/>
              <w:spacing w:line="240" w:lineRule="atLeast"/>
              <w:jc w:val="center"/>
              <w:rPr>
                <w:sz w:val="18"/>
                <w:szCs w:val="18"/>
              </w:rPr>
            </w:pPr>
            <w:r>
              <w:rPr>
                <w:sz w:val="18"/>
                <w:szCs w:val="18"/>
              </w:rPr>
              <w:t>GB 24408</w:t>
            </w:r>
            <w:r>
              <w:rPr>
                <w:rFonts w:hint="eastAsia"/>
                <w:sz w:val="18"/>
                <w:szCs w:val="18"/>
              </w:rPr>
              <w:t>-2009</w:t>
            </w: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81" w:type="dxa"/>
            <w:vAlign w:val="center"/>
          </w:tcPr>
          <w:p>
            <w:pPr>
              <w:spacing w:line="240" w:lineRule="atLeast"/>
              <w:jc w:val="center"/>
              <w:rPr>
                <w:sz w:val="18"/>
                <w:szCs w:val="18"/>
              </w:rPr>
            </w:pPr>
            <w:r>
              <w:rPr>
                <w:sz w:val="18"/>
                <w:szCs w:val="18"/>
              </w:rPr>
              <w:t>5</w:t>
            </w:r>
          </w:p>
        </w:tc>
        <w:tc>
          <w:tcPr>
            <w:tcW w:w="2706" w:type="dxa"/>
            <w:vAlign w:val="center"/>
          </w:tcPr>
          <w:p>
            <w:pPr>
              <w:spacing w:line="240" w:lineRule="atLeast"/>
              <w:jc w:val="center"/>
              <w:rPr>
                <w:sz w:val="18"/>
                <w:szCs w:val="18"/>
              </w:rPr>
            </w:pPr>
            <w:r>
              <w:rPr>
                <w:sz w:val="18"/>
                <w:szCs w:val="18"/>
              </w:rPr>
              <w:t>镉</w:t>
            </w:r>
            <w:r>
              <w:rPr>
                <w:rFonts w:hint="eastAsia"/>
                <w:sz w:val="18"/>
                <w:szCs w:val="18"/>
              </w:rPr>
              <w:t>（限色漆）</w:t>
            </w:r>
          </w:p>
        </w:tc>
        <w:tc>
          <w:tcPr>
            <w:tcW w:w="2457" w:type="dxa"/>
            <w:vAlign w:val="center"/>
          </w:tcPr>
          <w:p>
            <w:pPr>
              <w:snapToGrid w:val="0"/>
              <w:spacing w:line="240" w:lineRule="atLeast"/>
              <w:jc w:val="center"/>
              <w:rPr>
                <w:sz w:val="18"/>
                <w:szCs w:val="18"/>
              </w:rPr>
            </w:pPr>
            <w:r>
              <w:rPr>
                <w:sz w:val="18"/>
                <w:szCs w:val="18"/>
              </w:rPr>
              <w:t>GB 24408</w:t>
            </w:r>
            <w:r>
              <w:rPr>
                <w:rFonts w:hint="eastAsia"/>
                <w:sz w:val="18"/>
                <w:szCs w:val="18"/>
              </w:rPr>
              <w:t>-2009</w:t>
            </w: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81" w:type="dxa"/>
            <w:vAlign w:val="center"/>
          </w:tcPr>
          <w:p>
            <w:pPr>
              <w:spacing w:line="240" w:lineRule="atLeast"/>
              <w:jc w:val="center"/>
              <w:rPr>
                <w:sz w:val="18"/>
                <w:szCs w:val="18"/>
              </w:rPr>
            </w:pPr>
            <w:r>
              <w:rPr>
                <w:sz w:val="18"/>
                <w:szCs w:val="18"/>
              </w:rPr>
              <w:t>6</w:t>
            </w:r>
          </w:p>
        </w:tc>
        <w:tc>
          <w:tcPr>
            <w:tcW w:w="2706" w:type="dxa"/>
            <w:vAlign w:val="center"/>
          </w:tcPr>
          <w:p>
            <w:pPr>
              <w:spacing w:line="240" w:lineRule="atLeast"/>
              <w:jc w:val="center"/>
              <w:rPr>
                <w:sz w:val="18"/>
                <w:szCs w:val="18"/>
              </w:rPr>
            </w:pPr>
            <w:r>
              <w:rPr>
                <w:rFonts w:hint="eastAsia"/>
                <w:sz w:val="18"/>
                <w:szCs w:val="18"/>
              </w:rPr>
              <w:t>六价</w:t>
            </w:r>
            <w:r>
              <w:rPr>
                <w:sz w:val="18"/>
                <w:szCs w:val="18"/>
              </w:rPr>
              <w:t>铬</w:t>
            </w:r>
            <w:r>
              <w:rPr>
                <w:rFonts w:hint="eastAsia"/>
                <w:sz w:val="18"/>
                <w:szCs w:val="18"/>
              </w:rPr>
              <w:t>（限色漆）</w:t>
            </w:r>
          </w:p>
        </w:tc>
        <w:tc>
          <w:tcPr>
            <w:tcW w:w="2457" w:type="dxa"/>
            <w:vAlign w:val="center"/>
          </w:tcPr>
          <w:p>
            <w:pPr>
              <w:snapToGrid w:val="0"/>
              <w:spacing w:line="240" w:lineRule="atLeast"/>
              <w:jc w:val="center"/>
              <w:rPr>
                <w:sz w:val="18"/>
                <w:szCs w:val="18"/>
              </w:rPr>
            </w:pPr>
            <w:r>
              <w:rPr>
                <w:sz w:val="18"/>
                <w:szCs w:val="18"/>
              </w:rPr>
              <w:t>GB 24408</w:t>
            </w:r>
            <w:r>
              <w:rPr>
                <w:rFonts w:hint="eastAsia"/>
                <w:sz w:val="18"/>
                <w:szCs w:val="18"/>
              </w:rPr>
              <w:t>-2009</w:t>
            </w: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81" w:type="dxa"/>
            <w:vAlign w:val="center"/>
          </w:tcPr>
          <w:p>
            <w:pPr>
              <w:spacing w:line="240" w:lineRule="atLeast"/>
              <w:jc w:val="center"/>
              <w:rPr>
                <w:sz w:val="18"/>
                <w:szCs w:val="18"/>
              </w:rPr>
            </w:pPr>
            <w:r>
              <w:rPr>
                <w:sz w:val="18"/>
                <w:szCs w:val="18"/>
              </w:rPr>
              <w:t>7</w:t>
            </w:r>
          </w:p>
        </w:tc>
        <w:tc>
          <w:tcPr>
            <w:tcW w:w="2706" w:type="dxa"/>
            <w:vAlign w:val="center"/>
          </w:tcPr>
          <w:p>
            <w:pPr>
              <w:spacing w:line="240" w:lineRule="atLeast"/>
              <w:jc w:val="center"/>
              <w:rPr>
                <w:sz w:val="18"/>
                <w:szCs w:val="18"/>
              </w:rPr>
            </w:pPr>
            <w:r>
              <w:rPr>
                <w:sz w:val="18"/>
                <w:szCs w:val="18"/>
              </w:rPr>
              <w:t>汞</w:t>
            </w:r>
            <w:r>
              <w:rPr>
                <w:rFonts w:hint="eastAsia"/>
                <w:sz w:val="18"/>
                <w:szCs w:val="18"/>
              </w:rPr>
              <w:t>（限色漆）</w:t>
            </w:r>
          </w:p>
        </w:tc>
        <w:tc>
          <w:tcPr>
            <w:tcW w:w="2457" w:type="dxa"/>
            <w:vAlign w:val="center"/>
          </w:tcPr>
          <w:p>
            <w:pPr>
              <w:snapToGrid w:val="0"/>
              <w:spacing w:line="240" w:lineRule="atLeast"/>
              <w:jc w:val="center"/>
              <w:rPr>
                <w:sz w:val="18"/>
                <w:szCs w:val="18"/>
              </w:rPr>
            </w:pPr>
            <w:r>
              <w:rPr>
                <w:sz w:val="18"/>
                <w:szCs w:val="18"/>
              </w:rPr>
              <w:t>GB 24408</w:t>
            </w:r>
            <w:r>
              <w:rPr>
                <w:rFonts w:hint="eastAsia"/>
                <w:sz w:val="18"/>
                <w:szCs w:val="18"/>
              </w:rPr>
              <w:t>-2009</w:t>
            </w: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81" w:type="dxa"/>
            <w:vAlign w:val="center"/>
          </w:tcPr>
          <w:p>
            <w:pPr>
              <w:spacing w:line="240" w:lineRule="atLeast"/>
              <w:jc w:val="center"/>
              <w:rPr>
                <w:sz w:val="18"/>
                <w:szCs w:val="18"/>
              </w:rPr>
            </w:pPr>
            <w:r>
              <w:rPr>
                <w:sz w:val="18"/>
                <w:szCs w:val="18"/>
              </w:rPr>
              <w:t>8</w:t>
            </w:r>
          </w:p>
        </w:tc>
        <w:tc>
          <w:tcPr>
            <w:tcW w:w="2706" w:type="dxa"/>
            <w:vAlign w:val="center"/>
          </w:tcPr>
          <w:p>
            <w:pPr>
              <w:spacing w:line="240" w:lineRule="atLeast"/>
              <w:jc w:val="center"/>
              <w:rPr>
                <w:sz w:val="18"/>
                <w:szCs w:val="18"/>
              </w:rPr>
            </w:pPr>
            <w:r>
              <w:rPr>
                <w:sz w:val="18"/>
                <w:szCs w:val="18"/>
              </w:rPr>
              <w:t>干燥时间</w:t>
            </w:r>
          </w:p>
        </w:tc>
        <w:tc>
          <w:tcPr>
            <w:tcW w:w="2457" w:type="dxa"/>
            <w:vAlign w:val="center"/>
          </w:tcPr>
          <w:p>
            <w:pPr>
              <w:spacing w:line="240" w:lineRule="atLeast"/>
              <w:jc w:val="center"/>
              <w:rPr>
                <w:sz w:val="18"/>
                <w:szCs w:val="18"/>
              </w:rPr>
            </w:pPr>
            <w:r>
              <w:rPr>
                <w:sz w:val="18"/>
                <w:szCs w:val="18"/>
              </w:rPr>
              <w:t>GB/T 9755</w:t>
            </w:r>
            <w:r>
              <w:rPr>
                <w:rFonts w:hint="eastAsia"/>
                <w:sz w:val="18"/>
                <w:szCs w:val="18"/>
              </w:rPr>
              <w:t>-2014</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r>
              <w:rPr>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81" w:type="dxa"/>
            <w:vAlign w:val="center"/>
          </w:tcPr>
          <w:p>
            <w:pPr>
              <w:spacing w:line="240" w:lineRule="atLeast"/>
              <w:jc w:val="center"/>
              <w:rPr>
                <w:sz w:val="18"/>
                <w:szCs w:val="18"/>
              </w:rPr>
            </w:pPr>
            <w:r>
              <w:rPr>
                <w:sz w:val="18"/>
                <w:szCs w:val="18"/>
              </w:rPr>
              <w:t>9</w:t>
            </w:r>
          </w:p>
        </w:tc>
        <w:tc>
          <w:tcPr>
            <w:tcW w:w="2706" w:type="dxa"/>
            <w:vAlign w:val="center"/>
          </w:tcPr>
          <w:p>
            <w:pPr>
              <w:spacing w:line="240" w:lineRule="atLeast"/>
              <w:jc w:val="center"/>
              <w:rPr>
                <w:sz w:val="18"/>
                <w:szCs w:val="18"/>
              </w:rPr>
            </w:pPr>
            <w:r>
              <w:rPr>
                <w:sz w:val="18"/>
                <w:szCs w:val="18"/>
              </w:rPr>
              <w:t>耐水性</w:t>
            </w:r>
          </w:p>
        </w:tc>
        <w:tc>
          <w:tcPr>
            <w:tcW w:w="2457" w:type="dxa"/>
            <w:vAlign w:val="center"/>
          </w:tcPr>
          <w:p>
            <w:pPr>
              <w:spacing w:line="240" w:lineRule="atLeast"/>
              <w:jc w:val="center"/>
              <w:rPr>
                <w:sz w:val="18"/>
                <w:szCs w:val="18"/>
              </w:rPr>
            </w:pPr>
            <w:r>
              <w:rPr>
                <w:sz w:val="18"/>
                <w:szCs w:val="18"/>
              </w:rPr>
              <w:t>GB/T 9755</w:t>
            </w:r>
            <w:r>
              <w:rPr>
                <w:rFonts w:hint="eastAsia"/>
                <w:sz w:val="18"/>
                <w:szCs w:val="18"/>
              </w:rPr>
              <w:t>-2014</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81" w:type="dxa"/>
            <w:vAlign w:val="center"/>
          </w:tcPr>
          <w:p>
            <w:pPr>
              <w:spacing w:line="240" w:lineRule="atLeast"/>
              <w:jc w:val="center"/>
              <w:rPr>
                <w:sz w:val="18"/>
                <w:szCs w:val="18"/>
              </w:rPr>
            </w:pPr>
            <w:r>
              <w:rPr>
                <w:rFonts w:hint="eastAsia"/>
                <w:sz w:val="18"/>
                <w:szCs w:val="18"/>
              </w:rPr>
              <w:t>10</w:t>
            </w:r>
          </w:p>
        </w:tc>
        <w:tc>
          <w:tcPr>
            <w:tcW w:w="2706" w:type="dxa"/>
            <w:vAlign w:val="center"/>
          </w:tcPr>
          <w:p>
            <w:pPr>
              <w:spacing w:line="240" w:lineRule="atLeast"/>
              <w:jc w:val="center"/>
              <w:rPr>
                <w:sz w:val="18"/>
                <w:szCs w:val="18"/>
              </w:rPr>
            </w:pPr>
            <w:r>
              <w:rPr>
                <w:sz w:val="18"/>
                <w:szCs w:val="18"/>
              </w:rPr>
              <w:t>耐碱性</w:t>
            </w:r>
          </w:p>
        </w:tc>
        <w:tc>
          <w:tcPr>
            <w:tcW w:w="2457" w:type="dxa"/>
            <w:vAlign w:val="center"/>
          </w:tcPr>
          <w:p>
            <w:pPr>
              <w:spacing w:line="240" w:lineRule="atLeast"/>
              <w:jc w:val="center"/>
              <w:rPr>
                <w:sz w:val="18"/>
                <w:szCs w:val="18"/>
              </w:rPr>
            </w:pPr>
            <w:r>
              <w:rPr>
                <w:sz w:val="18"/>
                <w:szCs w:val="18"/>
              </w:rPr>
              <w:t>GB/T 9755</w:t>
            </w:r>
            <w:r>
              <w:rPr>
                <w:rFonts w:hint="eastAsia"/>
                <w:sz w:val="18"/>
                <w:szCs w:val="18"/>
              </w:rPr>
              <w:t>-2014</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81" w:type="dxa"/>
            <w:vAlign w:val="center"/>
          </w:tcPr>
          <w:p>
            <w:pPr>
              <w:spacing w:line="240" w:lineRule="atLeast"/>
              <w:jc w:val="center"/>
              <w:rPr>
                <w:sz w:val="18"/>
                <w:szCs w:val="18"/>
              </w:rPr>
            </w:pPr>
            <w:r>
              <w:rPr>
                <w:rFonts w:hint="eastAsia"/>
                <w:sz w:val="18"/>
                <w:szCs w:val="18"/>
              </w:rPr>
              <w:t>11</w:t>
            </w:r>
          </w:p>
        </w:tc>
        <w:tc>
          <w:tcPr>
            <w:tcW w:w="2706" w:type="dxa"/>
            <w:vAlign w:val="center"/>
          </w:tcPr>
          <w:p>
            <w:pPr>
              <w:spacing w:line="240" w:lineRule="atLeast"/>
              <w:jc w:val="center"/>
              <w:rPr>
                <w:sz w:val="18"/>
                <w:szCs w:val="18"/>
              </w:rPr>
            </w:pPr>
            <w:r>
              <w:rPr>
                <w:sz w:val="18"/>
                <w:szCs w:val="18"/>
              </w:rPr>
              <w:t>耐洗刷性</w:t>
            </w:r>
          </w:p>
        </w:tc>
        <w:tc>
          <w:tcPr>
            <w:tcW w:w="2457" w:type="dxa"/>
            <w:vAlign w:val="center"/>
          </w:tcPr>
          <w:p>
            <w:pPr>
              <w:spacing w:line="240" w:lineRule="atLeast"/>
              <w:jc w:val="center"/>
              <w:rPr>
                <w:sz w:val="18"/>
                <w:szCs w:val="18"/>
              </w:rPr>
            </w:pPr>
            <w:r>
              <w:rPr>
                <w:sz w:val="18"/>
                <w:szCs w:val="18"/>
              </w:rPr>
              <w:t>GB/T 9755</w:t>
            </w:r>
            <w:r>
              <w:rPr>
                <w:rFonts w:hint="eastAsia"/>
                <w:sz w:val="18"/>
                <w:szCs w:val="18"/>
              </w:rPr>
              <w:t>-2014</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r>
    </w:tbl>
    <w:p>
      <w:pPr>
        <w:keepNext w:val="0"/>
        <w:keepLines w:val="0"/>
        <w:pageBreakBefore w:val="0"/>
        <w:widowControl w:val="0"/>
        <w:kinsoku/>
        <w:wordWrap/>
        <w:overflowPunct/>
        <w:topLinePunct w:val="0"/>
        <w:autoSpaceDE/>
        <w:autoSpaceDN/>
        <w:bidi w:val="0"/>
        <w:adjustRightInd/>
        <w:snapToGrid/>
        <w:spacing w:before="157" w:beforeLines="50"/>
        <w:ind w:firstLine="640" w:firstLineChars="200"/>
        <w:textAlignment w:val="auto"/>
        <w:rPr>
          <w:rFonts w:eastAsia="楷体_GB2312"/>
          <w:szCs w:val="32"/>
        </w:rPr>
      </w:pPr>
      <w:r>
        <w:rPr>
          <w:rFonts w:hint="eastAsia" w:eastAsia="楷体_GB2312"/>
          <w:szCs w:val="32"/>
        </w:rPr>
        <w:t>4</w:t>
      </w:r>
      <w:r>
        <w:rPr>
          <w:rFonts w:hint="eastAsia" w:eastAsia="楷体_GB2312"/>
          <w:szCs w:val="32"/>
          <w:lang w:eastAsia="zh-CN"/>
        </w:rPr>
        <w:t>．</w:t>
      </w:r>
      <w:r>
        <w:rPr>
          <w:rFonts w:hint="eastAsia" w:eastAsia="楷体_GB2312"/>
          <w:szCs w:val="32"/>
        </w:rPr>
        <w:t>建筑用防水涂料</w:t>
      </w:r>
    </w:p>
    <w:tbl>
      <w:tblPr>
        <w:tblStyle w:val="3"/>
        <w:tblW w:w="874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1"/>
        <w:gridCol w:w="2706"/>
        <w:gridCol w:w="2457"/>
        <w:gridCol w:w="601"/>
        <w:gridCol w:w="601"/>
        <w:gridCol w:w="601"/>
        <w:gridCol w:w="601"/>
        <w:gridCol w:w="6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8" w:hRule="atLeast"/>
          <w:tblHeader/>
          <w:jc w:val="center"/>
        </w:trPr>
        <w:tc>
          <w:tcPr>
            <w:tcW w:w="581"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sz w:val="18"/>
                <w:szCs w:val="18"/>
              </w:rPr>
              <w:t>序号</w:t>
            </w:r>
          </w:p>
        </w:tc>
        <w:tc>
          <w:tcPr>
            <w:tcW w:w="2706"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sz w:val="18"/>
                <w:szCs w:val="18"/>
              </w:rPr>
              <w:t>检验项目</w:t>
            </w:r>
          </w:p>
        </w:tc>
        <w:tc>
          <w:tcPr>
            <w:tcW w:w="2457"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sz w:val="18"/>
                <w:szCs w:val="18"/>
              </w:rPr>
              <w:t>依据标准</w:t>
            </w:r>
          </w:p>
        </w:tc>
        <w:tc>
          <w:tcPr>
            <w:tcW w:w="601"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sz w:val="18"/>
                <w:szCs w:val="18"/>
              </w:rPr>
              <w:t>强制性</w:t>
            </w:r>
          </w:p>
        </w:tc>
        <w:tc>
          <w:tcPr>
            <w:tcW w:w="601"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sz w:val="18"/>
                <w:szCs w:val="18"/>
              </w:rPr>
              <w:t>非强制性</w:t>
            </w:r>
          </w:p>
        </w:tc>
        <w:tc>
          <w:tcPr>
            <w:tcW w:w="601"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sz w:val="18"/>
                <w:szCs w:val="18"/>
              </w:rPr>
              <w:t>重要项</w:t>
            </w:r>
          </w:p>
        </w:tc>
        <w:tc>
          <w:tcPr>
            <w:tcW w:w="601"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sz w:val="18"/>
                <w:szCs w:val="18"/>
              </w:rPr>
              <w:t>较重要项</w:t>
            </w:r>
          </w:p>
        </w:tc>
        <w:tc>
          <w:tcPr>
            <w:tcW w:w="601" w:type="dxa"/>
            <w:tcBorders>
              <w:top w:val="single" w:color="auto" w:sz="4" w:space="0"/>
              <w:left w:val="single" w:color="auto" w:sz="4" w:space="0"/>
              <w:right w:val="single" w:color="auto" w:sz="4" w:space="0"/>
            </w:tcBorders>
            <w:vAlign w:val="center"/>
          </w:tcPr>
          <w:p>
            <w:pPr>
              <w:spacing w:line="240" w:lineRule="atLeast"/>
              <w:jc w:val="center"/>
              <w:rPr>
                <w:sz w:val="18"/>
                <w:szCs w:val="18"/>
              </w:rPr>
            </w:pPr>
            <w:r>
              <w:rPr>
                <w:sz w:val="18"/>
                <w:szCs w:val="18"/>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81" w:type="dxa"/>
            <w:vAlign w:val="center"/>
          </w:tcPr>
          <w:p>
            <w:pPr>
              <w:spacing w:line="240" w:lineRule="atLeast"/>
              <w:jc w:val="center"/>
              <w:rPr>
                <w:sz w:val="18"/>
                <w:szCs w:val="18"/>
              </w:rPr>
            </w:pPr>
            <w:r>
              <w:rPr>
                <w:sz w:val="18"/>
                <w:szCs w:val="18"/>
              </w:rPr>
              <w:t>1</w:t>
            </w:r>
          </w:p>
        </w:tc>
        <w:tc>
          <w:tcPr>
            <w:tcW w:w="2706" w:type="dxa"/>
            <w:vAlign w:val="center"/>
          </w:tcPr>
          <w:p>
            <w:pPr>
              <w:spacing w:line="240" w:lineRule="atLeast"/>
              <w:jc w:val="center"/>
              <w:rPr>
                <w:sz w:val="18"/>
                <w:szCs w:val="18"/>
              </w:rPr>
            </w:pPr>
            <w:r>
              <w:rPr>
                <w:rFonts w:hint="eastAsia"/>
                <w:sz w:val="18"/>
                <w:szCs w:val="18"/>
              </w:rPr>
              <w:t>挥发性有机化合物(VOC)</w:t>
            </w:r>
          </w:p>
        </w:tc>
        <w:tc>
          <w:tcPr>
            <w:tcW w:w="2457" w:type="dxa"/>
            <w:vAlign w:val="center"/>
          </w:tcPr>
          <w:p>
            <w:pPr>
              <w:spacing w:line="240" w:lineRule="atLeast"/>
              <w:jc w:val="center"/>
              <w:rPr>
                <w:sz w:val="18"/>
                <w:szCs w:val="18"/>
              </w:rPr>
            </w:pPr>
            <w:r>
              <w:rPr>
                <w:sz w:val="18"/>
                <w:szCs w:val="18"/>
              </w:rPr>
              <w:t>JC 1066-2008</w:t>
            </w: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81" w:type="dxa"/>
            <w:vAlign w:val="center"/>
          </w:tcPr>
          <w:p>
            <w:pPr>
              <w:spacing w:line="240" w:lineRule="atLeast"/>
              <w:jc w:val="center"/>
              <w:rPr>
                <w:sz w:val="18"/>
                <w:szCs w:val="18"/>
              </w:rPr>
            </w:pPr>
            <w:r>
              <w:rPr>
                <w:sz w:val="18"/>
                <w:szCs w:val="18"/>
              </w:rPr>
              <w:t>2</w:t>
            </w:r>
          </w:p>
        </w:tc>
        <w:tc>
          <w:tcPr>
            <w:tcW w:w="2706" w:type="dxa"/>
            <w:vAlign w:val="center"/>
          </w:tcPr>
          <w:p>
            <w:pPr>
              <w:spacing w:line="240" w:lineRule="atLeast"/>
              <w:jc w:val="center"/>
              <w:rPr>
                <w:sz w:val="18"/>
                <w:szCs w:val="18"/>
              </w:rPr>
            </w:pPr>
            <w:r>
              <w:rPr>
                <w:rFonts w:hint="eastAsia"/>
                <w:sz w:val="18"/>
                <w:szCs w:val="18"/>
              </w:rPr>
              <w:t>游离甲醛（水性）</w:t>
            </w:r>
          </w:p>
        </w:tc>
        <w:tc>
          <w:tcPr>
            <w:tcW w:w="2457" w:type="dxa"/>
            <w:vAlign w:val="center"/>
          </w:tcPr>
          <w:p>
            <w:pPr>
              <w:spacing w:line="240" w:lineRule="atLeast"/>
              <w:jc w:val="center"/>
              <w:rPr>
                <w:sz w:val="18"/>
                <w:szCs w:val="18"/>
              </w:rPr>
            </w:pPr>
            <w:r>
              <w:rPr>
                <w:sz w:val="18"/>
                <w:szCs w:val="18"/>
              </w:rPr>
              <w:t>JC 1066-2008</w:t>
            </w: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81" w:type="dxa"/>
            <w:vAlign w:val="center"/>
          </w:tcPr>
          <w:p>
            <w:pPr>
              <w:spacing w:line="240" w:lineRule="atLeast"/>
              <w:jc w:val="center"/>
              <w:rPr>
                <w:sz w:val="18"/>
                <w:szCs w:val="18"/>
              </w:rPr>
            </w:pPr>
            <w:r>
              <w:rPr>
                <w:sz w:val="18"/>
                <w:szCs w:val="18"/>
              </w:rPr>
              <w:t>3</w:t>
            </w:r>
          </w:p>
        </w:tc>
        <w:tc>
          <w:tcPr>
            <w:tcW w:w="2706" w:type="dxa"/>
            <w:vAlign w:val="center"/>
          </w:tcPr>
          <w:p>
            <w:pPr>
              <w:spacing w:line="240" w:lineRule="atLeast"/>
              <w:jc w:val="center"/>
              <w:rPr>
                <w:sz w:val="18"/>
                <w:szCs w:val="18"/>
              </w:rPr>
            </w:pPr>
            <w:r>
              <w:rPr>
                <w:rFonts w:hint="eastAsia"/>
                <w:sz w:val="18"/>
                <w:szCs w:val="18"/>
              </w:rPr>
              <w:t>苯（反应型、溶剂型）</w:t>
            </w:r>
          </w:p>
        </w:tc>
        <w:tc>
          <w:tcPr>
            <w:tcW w:w="2457" w:type="dxa"/>
            <w:vAlign w:val="center"/>
          </w:tcPr>
          <w:p>
            <w:pPr>
              <w:spacing w:line="240" w:lineRule="atLeast"/>
              <w:jc w:val="center"/>
              <w:rPr>
                <w:sz w:val="18"/>
                <w:szCs w:val="18"/>
              </w:rPr>
            </w:pPr>
            <w:r>
              <w:rPr>
                <w:sz w:val="18"/>
                <w:szCs w:val="18"/>
              </w:rPr>
              <w:t>JC 1066-2008</w:t>
            </w: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81" w:type="dxa"/>
            <w:vAlign w:val="center"/>
          </w:tcPr>
          <w:p>
            <w:pPr>
              <w:spacing w:line="240" w:lineRule="atLeast"/>
              <w:jc w:val="center"/>
              <w:rPr>
                <w:sz w:val="18"/>
                <w:szCs w:val="18"/>
              </w:rPr>
            </w:pPr>
            <w:r>
              <w:rPr>
                <w:sz w:val="18"/>
                <w:szCs w:val="18"/>
              </w:rPr>
              <w:t>4</w:t>
            </w:r>
          </w:p>
        </w:tc>
        <w:tc>
          <w:tcPr>
            <w:tcW w:w="2706" w:type="dxa"/>
            <w:vAlign w:val="center"/>
          </w:tcPr>
          <w:p>
            <w:pPr>
              <w:spacing w:line="240" w:lineRule="atLeast"/>
              <w:jc w:val="center"/>
              <w:rPr>
                <w:sz w:val="18"/>
                <w:szCs w:val="18"/>
              </w:rPr>
            </w:pPr>
            <w:r>
              <w:rPr>
                <w:rFonts w:hint="eastAsia"/>
                <w:sz w:val="18"/>
                <w:szCs w:val="18"/>
              </w:rPr>
              <w:t>甲苯+乙苯+二甲苯（反应型、溶剂型）</w:t>
            </w:r>
          </w:p>
        </w:tc>
        <w:tc>
          <w:tcPr>
            <w:tcW w:w="2457" w:type="dxa"/>
            <w:vAlign w:val="center"/>
          </w:tcPr>
          <w:p>
            <w:pPr>
              <w:spacing w:line="240" w:lineRule="atLeast"/>
              <w:jc w:val="center"/>
              <w:rPr>
                <w:sz w:val="18"/>
                <w:szCs w:val="18"/>
              </w:rPr>
            </w:pPr>
            <w:r>
              <w:rPr>
                <w:sz w:val="18"/>
                <w:szCs w:val="18"/>
              </w:rPr>
              <w:t>JC 1066-2008</w:t>
            </w: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81" w:type="dxa"/>
            <w:vAlign w:val="center"/>
          </w:tcPr>
          <w:p>
            <w:pPr>
              <w:spacing w:line="240" w:lineRule="atLeast"/>
              <w:jc w:val="center"/>
              <w:rPr>
                <w:sz w:val="18"/>
                <w:szCs w:val="18"/>
              </w:rPr>
            </w:pPr>
            <w:r>
              <w:rPr>
                <w:sz w:val="18"/>
                <w:szCs w:val="18"/>
              </w:rPr>
              <w:t>5</w:t>
            </w:r>
          </w:p>
        </w:tc>
        <w:tc>
          <w:tcPr>
            <w:tcW w:w="2706" w:type="dxa"/>
            <w:vAlign w:val="center"/>
          </w:tcPr>
          <w:p>
            <w:pPr>
              <w:spacing w:line="240" w:lineRule="atLeast"/>
              <w:jc w:val="center"/>
              <w:rPr>
                <w:sz w:val="18"/>
                <w:szCs w:val="18"/>
              </w:rPr>
            </w:pPr>
            <w:r>
              <w:rPr>
                <w:rFonts w:hint="eastAsia"/>
                <w:sz w:val="18"/>
                <w:szCs w:val="18"/>
              </w:rPr>
              <w:t>苯、甲苯、乙苯和二甲苯总和（水性）</w:t>
            </w:r>
          </w:p>
        </w:tc>
        <w:tc>
          <w:tcPr>
            <w:tcW w:w="2457" w:type="dxa"/>
            <w:vAlign w:val="center"/>
          </w:tcPr>
          <w:p>
            <w:pPr>
              <w:spacing w:line="240" w:lineRule="atLeast"/>
              <w:jc w:val="center"/>
              <w:rPr>
                <w:sz w:val="18"/>
                <w:szCs w:val="18"/>
              </w:rPr>
            </w:pPr>
            <w:r>
              <w:rPr>
                <w:sz w:val="18"/>
                <w:szCs w:val="18"/>
              </w:rPr>
              <w:t>JC 1066-2008</w:t>
            </w: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81" w:type="dxa"/>
            <w:vAlign w:val="center"/>
          </w:tcPr>
          <w:p>
            <w:pPr>
              <w:spacing w:line="240" w:lineRule="atLeast"/>
              <w:jc w:val="center"/>
              <w:rPr>
                <w:sz w:val="18"/>
                <w:szCs w:val="18"/>
              </w:rPr>
            </w:pPr>
            <w:r>
              <w:rPr>
                <w:sz w:val="18"/>
                <w:szCs w:val="18"/>
              </w:rPr>
              <w:t>6</w:t>
            </w:r>
          </w:p>
        </w:tc>
        <w:tc>
          <w:tcPr>
            <w:tcW w:w="2706" w:type="dxa"/>
            <w:vAlign w:val="center"/>
          </w:tcPr>
          <w:p>
            <w:pPr>
              <w:spacing w:line="240" w:lineRule="atLeast"/>
              <w:jc w:val="center"/>
              <w:rPr>
                <w:sz w:val="18"/>
                <w:szCs w:val="18"/>
              </w:rPr>
            </w:pPr>
            <w:r>
              <w:rPr>
                <w:rFonts w:hint="eastAsia"/>
                <w:sz w:val="18"/>
                <w:szCs w:val="18"/>
              </w:rPr>
              <w:t>苯酚（反应型、溶剂型）</w:t>
            </w:r>
          </w:p>
        </w:tc>
        <w:tc>
          <w:tcPr>
            <w:tcW w:w="2457" w:type="dxa"/>
            <w:vAlign w:val="center"/>
          </w:tcPr>
          <w:p>
            <w:pPr>
              <w:spacing w:line="240" w:lineRule="atLeast"/>
              <w:jc w:val="center"/>
              <w:rPr>
                <w:sz w:val="18"/>
                <w:szCs w:val="18"/>
              </w:rPr>
            </w:pPr>
            <w:r>
              <w:rPr>
                <w:sz w:val="18"/>
                <w:szCs w:val="18"/>
              </w:rPr>
              <w:t>JC 1066-2008</w:t>
            </w: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81" w:type="dxa"/>
            <w:vAlign w:val="center"/>
          </w:tcPr>
          <w:p>
            <w:pPr>
              <w:spacing w:line="240" w:lineRule="atLeast"/>
              <w:jc w:val="center"/>
              <w:rPr>
                <w:sz w:val="18"/>
                <w:szCs w:val="18"/>
              </w:rPr>
            </w:pPr>
            <w:r>
              <w:rPr>
                <w:sz w:val="18"/>
                <w:szCs w:val="18"/>
              </w:rPr>
              <w:t>7</w:t>
            </w:r>
          </w:p>
        </w:tc>
        <w:tc>
          <w:tcPr>
            <w:tcW w:w="2706" w:type="dxa"/>
            <w:vAlign w:val="center"/>
          </w:tcPr>
          <w:p>
            <w:pPr>
              <w:spacing w:line="240" w:lineRule="atLeast"/>
              <w:jc w:val="center"/>
              <w:rPr>
                <w:sz w:val="18"/>
                <w:szCs w:val="18"/>
              </w:rPr>
            </w:pPr>
            <w:r>
              <w:rPr>
                <w:rFonts w:hint="eastAsia"/>
                <w:sz w:val="18"/>
                <w:szCs w:val="18"/>
              </w:rPr>
              <w:t>蒽（反应型、溶剂型）</w:t>
            </w:r>
          </w:p>
        </w:tc>
        <w:tc>
          <w:tcPr>
            <w:tcW w:w="2457" w:type="dxa"/>
            <w:vAlign w:val="center"/>
          </w:tcPr>
          <w:p>
            <w:pPr>
              <w:spacing w:line="240" w:lineRule="atLeast"/>
              <w:jc w:val="center"/>
              <w:rPr>
                <w:sz w:val="18"/>
                <w:szCs w:val="18"/>
              </w:rPr>
            </w:pPr>
            <w:r>
              <w:rPr>
                <w:sz w:val="18"/>
                <w:szCs w:val="18"/>
              </w:rPr>
              <w:t>JC 1066-2008</w:t>
            </w: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81" w:type="dxa"/>
            <w:vAlign w:val="center"/>
          </w:tcPr>
          <w:p>
            <w:pPr>
              <w:spacing w:line="240" w:lineRule="atLeast"/>
              <w:jc w:val="center"/>
              <w:rPr>
                <w:sz w:val="18"/>
                <w:szCs w:val="18"/>
              </w:rPr>
            </w:pPr>
            <w:r>
              <w:rPr>
                <w:sz w:val="18"/>
                <w:szCs w:val="18"/>
              </w:rPr>
              <w:t>8</w:t>
            </w:r>
          </w:p>
        </w:tc>
        <w:tc>
          <w:tcPr>
            <w:tcW w:w="2706" w:type="dxa"/>
            <w:vAlign w:val="center"/>
          </w:tcPr>
          <w:p>
            <w:pPr>
              <w:spacing w:line="240" w:lineRule="atLeast"/>
              <w:jc w:val="center"/>
              <w:rPr>
                <w:sz w:val="18"/>
                <w:szCs w:val="18"/>
              </w:rPr>
            </w:pPr>
            <w:r>
              <w:rPr>
                <w:rFonts w:hint="eastAsia"/>
                <w:sz w:val="18"/>
                <w:szCs w:val="18"/>
              </w:rPr>
              <w:t>萘（反应型、溶剂型）</w:t>
            </w:r>
          </w:p>
        </w:tc>
        <w:tc>
          <w:tcPr>
            <w:tcW w:w="2457" w:type="dxa"/>
            <w:vAlign w:val="center"/>
          </w:tcPr>
          <w:p>
            <w:pPr>
              <w:spacing w:line="240" w:lineRule="atLeast"/>
              <w:jc w:val="center"/>
              <w:rPr>
                <w:sz w:val="18"/>
                <w:szCs w:val="18"/>
              </w:rPr>
            </w:pPr>
            <w:r>
              <w:rPr>
                <w:sz w:val="18"/>
                <w:szCs w:val="18"/>
              </w:rPr>
              <w:t>JC 1066-2008</w:t>
            </w: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81" w:type="dxa"/>
            <w:vAlign w:val="center"/>
          </w:tcPr>
          <w:p>
            <w:pPr>
              <w:spacing w:line="240" w:lineRule="atLeast"/>
              <w:jc w:val="center"/>
              <w:rPr>
                <w:sz w:val="18"/>
                <w:szCs w:val="18"/>
              </w:rPr>
            </w:pPr>
            <w:r>
              <w:rPr>
                <w:sz w:val="18"/>
                <w:szCs w:val="18"/>
              </w:rPr>
              <w:t>9</w:t>
            </w:r>
          </w:p>
        </w:tc>
        <w:tc>
          <w:tcPr>
            <w:tcW w:w="2706" w:type="dxa"/>
            <w:vAlign w:val="center"/>
          </w:tcPr>
          <w:p>
            <w:pPr>
              <w:spacing w:line="240" w:lineRule="atLeast"/>
              <w:jc w:val="center"/>
              <w:rPr>
                <w:sz w:val="18"/>
                <w:szCs w:val="18"/>
              </w:rPr>
            </w:pPr>
            <w:r>
              <w:rPr>
                <w:rFonts w:hint="eastAsia"/>
                <w:sz w:val="18"/>
                <w:szCs w:val="18"/>
              </w:rPr>
              <w:t>游离TDI（限聚氨酯类）</w:t>
            </w:r>
          </w:p>
        </w:tc>
        <w:tc>
          <w:tcPr>
            <w:tcW w:w="2457" w:type="dxa"/>
            <w:vAlign w:val="center"/>
          </w:tcPr>
          <w:p>
            <w:pPr>
              <w:spacing w:line="240" w:lineRule="atLeast"/>
              <w:jc w:val="center"/>
              <w:rPr>
                <w:sz w:val="18"/>
                <w:szCs w:val="18"/>
              </w:rPr>
            </w:pPr>
            <w:r>
              <w:rPr>
                <w:sz w:val="18"/>
                <w:szCs w:val="18"/>
              </w:rPr>
              <w:t>JC 1066-2008</w:t>
            </w: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81" w:type="dxa"/>
            <w:vAlign w:val="center"/>
          </w:tcPr>
          <w:p>
            <w:pPr>
              <w:spacing w:line="240" w:lineRule="atLeast"/>
              <w:jc w:val="center"/>
              <w:rPr>
                <w:sz w:val="18"/>
                <w:szCs w:val="18"/>
              </w:rPr>
            </w:pPr>
            <w:r>
              <w:rPr>
                <w:rFonts w:hint="eastAsia"/>
                <w:sz w:val="18"/>
                <w:szCs w:val="18"/>
              </w:rPr>
              <w:t>10</w:t>
            </w:r>
          </w:p>
        </w:tc>
        <w:tc>
          <w:tcPr>
            <w:tcW w:w="2706" w:type="dxa"/>
            <w:vAlign w:val="center"/>
          </w:tcPr>
          <w:p>
            <w:pPr>
              <w:spacing w:line="240" w:lineRule="atLeast"/>
              <w:jc w:val="center"/>
              <w:rPr>
                <w:sz w:val="18"/>
                <w:szCs w:val="18"/>
              </w:rPr>
            </w:pPr>
            <w:r>
              <w:rPr>
                <w:rFonts w:hint="eastAsia"/>
                <w:sz w:val="18"/>
                <w:szCs w:val="18"/>
              </w:rPr>
              <w:t>氨（水性）</w:t>
            </w:r>
          </w:p>
        </w:tc>
        <w:tc>
          <w:tcPr>
            <w:tcW w:w="2457" w:type="dxa"/>
            <w:vAlign w:val="center"/>
          </w:tcPr>
          <w:p>
            <w:pPr>
              <w:spacing w:line="240" w:lineRule="atLeast"/>
              <w:jc w:val="center"/>
              <w:rPr>
                <w:sz w:val="18"/>
                <w:szCs w:val="18"/>
              </w:rPr>
            </w:pPr>
            <w:r>
              <w:rPr>
                <w:sz w:val="18"/>
                <w:szCs w:val="18"/>
              </w:rPr>
              <w:t>JC 1066-2008</w:t>
            </w: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81" w:type="dxa"/>
            <w:vAlign w:val="center"/>
          </w:tcPr>
          <w:p>
            <w:pPr>
              <w:spacing w:line="240" w:lineRule="atLeast"/>
              <w:jc w:val="center"/>
              <w:rPr>
                <w:sz w:val="18"/>
                <w:szCs w:val="18"/>
              </w:rPr>
            </w:pPr>
            <w:r>
              <w:rPr>
                <w:rFonts w:hint="eastAsia"/>
                <w:sz w:val="18"/>
                <w:szCs w:val="18"/>
              </w:rPr>
              <w:t>11</w:t>
            </w:r>
          </w:p>
        </w:tc>
        <w:tc>
          <w:tcPr>
            <w:tcW w:w="2706" w:type="dxa"/>
            <w:vAlign w:val="center"/>
          </w:tcPr>
          <w:p>
            <w:pPr>
              <w:spacing w:line="240" w:lineRule="atLeast"/>
              <w:jc w:val="center"/>
              <w:rPr>
                <w:sz w:val="18"/>
                <w:szCs w:val="18"/>
              </w:rPr>
            </w:pPr>
            <w:r>
              <w:rPr>
                <w:sz w:val="18"/>
                <w:szCs w:val="18"/>
              </w:rPr>
              <w:t>可溶性铅</w:t>
            </w:r>
            <w:r>
              <w:rPr>
                <w:rFonts w:hint="eastAsia"/>
                <w:sz w:val="18"/>
                <w:szCs w:val="18"/>
              </w:rPr>
              <w:t>（非</w:t>
            </w:r>
            <w:r>
              <w:rPr>
                <w:sz w:val="18"/>
                <w:szCs w:val="18"/>
              </w:rPr>
              <w:t>无色、白色、黑色</w:t>
            </w:r>
            <w:r>
              <w:rPr>
                <w:rFonts w:hint="eastAsia"/>
                <w:sz w:val="18"/>
                <w:szCs w:val="18"/>
              </w:rPr>
              <w:t>防水涂料）</w:t>
            </w:r>
          </w:p>
        </w:tc>
        <w:tc>
          <w:tcPr>
            <w:tcW w:w="2457" w:type="dxa"/>
            <w:vAlign w:val="center"/>
          </w:tcPr>
          <w:p>
            <w:pPr>
              <w:spacing w:line="240" w:lineRule="atLeast"/>
              <w:jc w:val="center"/>
              <w:rPr>
                <w:sz w:val="18"/>
                <w:szCs w:val="18"/>
              </w:rPr>
            </w:pPr>
            <w:r>
              <w:rPr>
                <w:sz w:val="18"/>
                <w:szCs w:val="18"/>
              </w:rPr>
              <w:t>JC 1066-2008</w:t>
            </w: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81" w:type="dxa"/>
            <w:vAlign w:val="center"/>
          </w:tcPr>
          <w:p>
            <w:pPr>
              <w:spacing w:line="240" w:lineRule="atLeast"/>
              <w:jc w:val="center"/>
              <w:rPr>
                <w:sz w:val="18"/>
                <w:szCs w:val="18"/>
              </w:rPr>
            </w:pPr>
            <w:r>
              <w:rPr>
                <w:rFonts w:hint="eastAsia"/>
                <w:sz w:val="18"/>
                <w:szCs w:val="18"/>
              </w:rPr>
              <w:t>12</w:t>
            </w:r>
          </w:p>
        </w:tc>
        <w:tc>
          <w:tcPr>
            <w:tcW w:w="2706" w:type="dxa"/>
            <w:vAlign w:val="center"/>
          </w:tcPr>
          <w:p>
            <w:pPr>
              <w:spacing w:line="240" w:lineRule="atLeast"/>
              <w:jc w:val="center"/>
              <w:rPr>
                <w:sz w:val="18"/>
                <w:szCs w:val="18"/>
              </w:rPr>
            </w:pPr>
            <w:r>
              <w:rPr>
                <w:sz w:val="18"/>
                <w:szCs w:val="18"/>
              </w:rPr>
              <w:t>可溶性镉</w:t>
            </w:r>
            <w:r>
              <w:rPr>
                <w:rFonts w:hint="eastAsia"/>
                <w:sz w:val="18"/>
                <w:szCs w:val="18"/>
              </w:rPr>
              <w:t>（非</w:t>
            </w:r>
            <w:r>
              <w:rPr>
                <w:sz w:val="18"/>
                <w:szCs w:val="18"/>
              </w:rPr>
              <w:t>无色、白色、黑色</w:t>
            </w:r>
            <w:r>
              <w:rPr>
                <w:rFonts w:hint="eastAsia"/>
                <w:sz w:val="18"/>
                <w:szCs w:val="18"/>
              </w:rPr>
              <w:t>防水涂料）</w:t>
            </w:r>
          </w:p>
        </w:tc>
        <w:tc>
          <w:tcPr>
            <w:tcW w:w="2457" w:type="dxa"/>
            <w:vAlign w:val="center"/>
          </w:tcPr>
          <w:p>
            <w:pPr>
              <w:spacing w:line="240" w:lineRule="atLeast"/>
              <w:jc w:val="center"/>
              <w:rPr>
                <w:sz w:val="18"/>
                <w:szCs w:val="18"/>
              </w:rPr>
            </w:pPr>
            <w:r>
              <w:rPr>
                <w:sz w:val="18"/>
                <w:szCs w:val="18"/>
              </w:rPr>
              <w:t>JC 1066-2008</w:t>
            </w: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81" w:type="dxa"/>
            <w:vAlign w:val="center"/>
          </w:tcPr>
          <w:p>
            <w:pPr>
              <w:spacing w:line="240" w:lineRule="atLeast"/>
              <w:jc w:val="center"/>
              <w:rPr>
                <w:sz w:val="18"/>
                <w:szCs w:val="18"/>
              </w:rPr>
            </w:pPr>
            <w:r>
              <w:rPr>
                <w:rFonts w:hint="eastAsia"/>
                <w:sz w:val="18"/>
                <w:szCs w:val="18"/>
              </w:rPr>
              <w:t>13</w:t>
            </w:r>
          </w:p>
        </w:tc>
        <w:tc>
          <w:tcPr>
            <w:tcW w:w="2706" w:type="dxa"/>
            <w:vAlign w:val="center"/>
          </w:tcPr>
          <w:p>
            <w:pPr>
              <w:spacing w:line="240" w:lineRule="atLeast"/>
              <w:jc w:val="center"/>
              <w:rPr>
                <w:sz w:val="18"/>
                <w:szCs w:val="18"/>
              </w:rPr>
            </w:pPr>
            <w:r>
              <w:rPr>
                <w:sz w:val="18"/>
                <w:szCs w:val="18"/>
              </w:rPr>
              <w:t>可溶性铬</w:t>
            </w:r>
            <w:r>
              <w:rPr>
                <w:rFonts w:hint="eastAsia"/>
                <w:sz w:val="18"/>
                <w:szCs w:val="18"/>
              </w:rPr>
              <w:t>（非</w:t>
            </w:r>
            <w:r>
              <w:rPr>
                <w:sz w:val="18"/>
                <w:szCs w:val="18"/>
              </w:rPr>
              <w:t>无色、白色、黑色</w:t>
            </w:r>
            <w:r>
              <w:rPr>
                <w:rFonts w:hint="eastAsia"/>
                <w:sz w:val="18"/>
                <w:szCs w:val="18"/>
              </w:rPr>
              <w:t>防水涂料）</w:t>
            </w:r>
          </w:p>
        </w:tc>
        <w:tc>
          <w:tcPr>
            <w:tcW w:w="2457" w:type="dxa"/>
            <w:vAlign w:val="center"/>
          </w:tcPr>
          <w:p>
            <w:pPr>
              <w:spacing w:line="240" w:lineRule="atLeast"/>
              <w:jc w:val="center"/>
              <w:rPr>
                <w:sz w:val="18"/>
                <w:szCs w:val="18"/>
              </w:rPr>
            </w:pPr>
            <w:r>
              <w:rPr>
                <w:sz w:val="18"/>
                <w:szCs w:val="18"/>
              </w:rPr>
              <w:t>JC 1066-2008</w:t>
            </w: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81" w:type="dxa"/>
            <w:vAlign w:val="center"/>
          </w:tcPr>
          <w:p>
            <w:pPr>
              <w:spacing w:line="240" w:lineRule="atLeast"/>
              <w:jc w:val="center"/>
              <w:rPr>
                <w:sz w:val="18"/>
                <w:szCs w:val="18"/>
              </w:rPr>
            </w:pPr>
            <w:r>
              <w:rPr>
                <w:rFonts w:hint="eastAsia"/>
                <w:sz w:val="18"/>
                <w:szCs w:val="18"/>
              </w:rPr>
              <w:t>14</w:t>
            </w:r>
          </w:p>
        </w:tc>
        <w:tc>
          <w:tcPr>
            <w:tcW w:w="2706" w:type="dxa"/>
            <w:vAlign w:val="center"/>
          </w:tcPr>
          <w:p>
            <w:pPr>
              <w:spacing w:line="240" w:lineRule="atLeast"/>
              <w:jc w:val="center"/>
              <w:rPr>
                <w:sz w:val="18"/>
                <w:szCs w:val="18"/>
              </w:rPr>
            </w:pPr>
            <w:r>
              <w:rPr>
                <w:sz w:val="18"/>
                <w:szCs w:val="18"/>
              </w:rPr>
              <w:t>可溶性汞</w:t>
            </w:r>
            <w:r>
              <w:rPr>
                <w:rFonts w:hint="eastAsia"/>
                <w:sz w:val="18"/>
                <w:szCs w:val="18"/>
              </w:rPr>
              <w:t>（非</w:t>
            </w:r>
            <w:r>
              <w:rPr>
                <w:sz w:val="18"/>
                <w:szCs w:val="18"/>
              </w:rPr>
              <w:t>无色、白色、黑色</w:t>
            </w:r>
            <w:r>
              <w:rPr>
                <w:rFonts w:hint="eastAsia"/>
                <w:sz w:val="18"/>
                <w:szCs w:val="18"/>
              </w:rPr>
              <w:t>防水涂料）</w:t>
            </w:r>
          </w:p>
        </w:tc>
        <w:tc>
          <w:tcPr>
            <w:tcW w:w="2457" w:type="dxa"/>
            <w:vAlign w:val="center"/>
          </w:tcPr>
          <w:p>
            <w:pPr>
              <w:spacing w:line="240" w:lineRule="atLeast"/>
              <w:jc w:val="center"/>
              <w:rPr>
                <w:sz w:val="18"/>
                <w:szCs w:val="18"/>
              </w:rPr>
            </w:pPr>
            <w:r>
              <w:rPr>
                <w:sz w:val="18"/>
                <w:szCs w:val="18"/>
              </w:rPr>
              <w:t>JC 1066-2008</w:t>
            </w: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p>
        </w:tc>
      </w:tr>
    </w:tbl>
    <w:p>
      <w:pPr>
        <w:keepNext w:val="0"/>
        <w:keepLines w:val="0"/>
        <w:pageBreakBefore w:val="0"/>
        <w:widowControl w:val="0"/>
        <w:kinsoku/>
        <w:wordWrap/>
        <w:overflowPunct/>
        <w:topLinePunct w:val="0"/>
        <w:autoSpaceDE/>
        <w:autoSpaceDN/>
        <w:bidi w:val="0"/>
        <w:adjustRightInd/>
        <w:snapToGrid/>
        <w:spacing w:before="157" w:beforeLines="50"/>
        <w:ind w:firstLine="640" w:firstLineChars="200"/>
        <w:textAlignment w:val="auto"/>
        <w:rPr>
          <w:rFonts w:eastAsia="楷体_GB2312"/>
          <w:szCs w:val="32"/>
        </w:rPr>
      </w:pPr>
      <w:r>
        <w:rPr>
          <w:rFonts w:hint="eastAsia" w:eastAsia="楷体_GB2312"/>
          <w:szCs w:val="32"/>
        </w:rPr>
        <w:t>5</w:t>
      </w:r>
      <w:r>
        <w:rPr>
          <w:rFonts w:hint="eastAsia" w:eastAsia="楷体_GB2312"/>
          <w:szCs w:val="32"/>
          <w:lang w:eastAsia="zh-CN"/>
        </w:rPr>
        <w:t>．</w:t>
      </w:r>
      <w:r>
        <w:rPr>
          <w:rFonts w:hint="eastAsia" w:eastAsia="楷体_GB2312"/>
          <w:szCs w:val="32"/>
        </w:rPr>
        <w:t>水性木器涂料</w:t>
      </w:r>
    </w:p>
    <w:tbl>
      <w:tblPr>
        <w:tblStyle w:val="3"/>
        <w:tblW w:w="874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1"/>
        <w:gridCol w:w="2706"/>
        <w:gridCol w:w="2457"/>
        <w:gridCol w:w="601"/>
        <w:gridCol w:w="601"/>
        <w:gridCol w:w="601"/>
        <w:gridCol w:w="601"/>
        <w:gridCol w:w="6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8" w:hRule="atLeast"/>
          <w:tblHeader/>
          <w:jc w:val="center"/>
        </w:trPr>
        <w:tc>
          <w:tcPr>
            <w:tcW w:w="581"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sz w:val="18"/>
                <w:szCs w:val="18"/>
              </w:rPr>
              <w:t>序号</w:t>
            </w:r>
          </w:p>
        </w:tc>
        <w:tc>
          <w:tcPr>
            <w:tcW w:w="2706"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sz w:val="18"/>
                <w:szCs w:val="18"/>
              </w:rPr>
              <w:t>检验项目</w:t>
            </w:r>
          </w:p>
        </w:tc>
        <w:tc>
          <w:tcPr>
            <w:tcW w:w="2457"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sz w:val="18"/>
                <w:szCs w:val="18"/>
              </w:rPr>
              <w:t>依据标准</w:t>
            </w:r>
          </w:p>
        </w:tc>
        <w:tc>
          <w:tcPr>
            <w:tcW w:w="601"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sz w:val="18"/>
                <w:szCs w:val="18"/>
              </w:rPr>
              <w:t>强制性</w:t>
            </w:r>
          </w:p>
        </w:tc>
        <w:tc>
          <w:tcPr>
            <w:tcW w:w="601"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sz w:val="18"/>
                <w:szCs w:val="18"/>
              </w:rPr>
              <w:t>非强制性</w:t>
            </w:r>
          </w:p>
        </w:tc>
        <w:tc>
          <w:tcPr>
            <w:tcW w:w="601"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sz w:val="18"/>
                <w:szCs w:val="18"/>
              </w:rPr>
              <w:t>重要项</w:t>
            </w:r>
          </w:p>
        </w:tc>
        <w:tc>
          <w:tcPr>
            <w:tcW w:w="601"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sz w:val="18"/>
                <w:szCs w:val="18"/>
              </w:rPr>
              <w:t>较重要项</w:t>
            </w:r>
          </w:p>
        </w:tc>
        <w:tc>
          <w:tcPr>
            <w:tcW w:w="601" w:type="dxa"/>
            <w:tcBorders>
              <w:top w:val="single" w:color="auto" w:sz="4" w:space="0"/>
              <w:left w:val="single" w:color="auto" w:sz="4" w:space="0"/>
              <w:right w:val="single" w:color="auto" w:sz="4" w:space="0"/>
            </w:tcBorders>
            <w:vAlign w:val="center"/>
          </w:tcPr>
          <w:p>
            <w:pPr>
              <w:spacing w:line="240" w:lineRule="atLeast"/>
              <w:jc w:val="center"/>
              <w:rPr>
                <w:sz w:val="18"/>
                <w:szCs w:val="18"/>
              </w:rPr>
            </w:pPr>
            <w:r>
              <w:rPr>
                <w:sz w:val="18"/>
                <w:szCs w:val="18"/>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81" w:type="dxa"/>
            <w:vAlign w:val="center"/>
          </w:tcPr>
          <w:p>
            <w:pPr>
              <w:spacing w:line="240" w:lineRule="atLeast"/>
              <w:jc w:val="center"/>
              <w:rPr>
                <w:sz w:val="18"/>
                <w:szCs w:val="18"/>
              </w:rPr>
            </w:pPr>
            <w:r>
              <w:rPr>
                <w:sz w:val="18"/>
                <w:szCs w:val="18"/>
              </w:rPr>
              <w:t>1</w:t>
            </w:r>
          </w:p>
        </w:tc>
        <w:tc>
          <w:tcPr>
            <w:tcW w:w="2706" w:type="dxa"/>
            <w:vAlign w:val="center"/>
          </w:tcPr>
          <w:p>
            <w:pPr>
              <w:spacing w:line="240" w:lineRule="atLeast"/>
              <w:jc w:val="center"/>
              <w:rPr>
                <w:sz w:val="18"/>
                <w:szCs w:val="18"/>
              </w:rPr>
            </w:pPr>
            <w:r>
              <w:rPr>
                <w:sz w:val="18"/>
                <w:szCs w:val="18"/>
              </w:rPr>
              <w:t>挥发性有机化合物含量</w:t>
            </w:r>
          </w:p>
        </w:tc>
        <w:tc>
          <w:tcPr>
            <w:tcW w:w="2457" w:type="dxa"/>
            <w:vAlign w:val="center"/>
          </w:tcPr>
          <w:p>
            <w:pPr>
              <w:spacing w:line="240" w:lineRule="atLeast"/>
              <w:jc w:val="center"/>
              <w:rPr>
                <w:sz w:val="18"/>
                <w:szCs w:val="18"/>
              </w:rPr>
            </w:pPr>
            <w:r>
              <w:rPr>
                <w:sz w:val="18"/>
                <w:szCs w:val="18"/>
              </w:rPr>
              <w:t>GB 244</w:t>
            </w:r>
            <w:r>
              <w:rPr>
                <w:rFonts w:hint="eastAsia"/>
                <w:sz w:val="18"/>
                <w:szCs w:val="18"/>
              </w:rPr>
              <w:t>10-2009</w:t>
            </w: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81" w:type="dxa"/>
            <w:vAlign w:val="center"/>
          </w:tcPr>
          <w:p>
            <w:pPr>
              <w:spacing w:line="240" w:lineRule="atLeast"/>
              <w:jc w:val="center"/>
              <w:rPr>
                <w:sz w:val="18"/>
                <w:szCs w:val="18"/>
              </w:rPr>
            </w:pPr>
          </w:p>
        </w:tc>
        <w:tc>
          <w:tcPr>
            <w:tcW w:w="2706" w:type="dxa"/>
            <w:vAlign w:val="center"/>
          </w:tcPr>
          <w:p>
            <w:pPr>
              <w:spacing w:line="240" w:lineRule="atLeast"/>
              <w:jc w:val="center"/>
              <w:rPr>
                <w:sz w:val="18"/>
                <w:szCs w:val="18"/>
              </w:rPr>
            </w:pPr>
            <w:r>
              <w:rPr>
                <w:rFonts w:hint="eastAsia" w:ascii="宋体" w:hAnsi="宋体" w:cs="宋体"/>
                <w:kern w:val="0"/>
                <w:sz w:val="18"/>
                <w:szCs w:val="18"/>
              </w:rPr>
              <w:t>苯系物含量（</w:t>
            </w:r>
            <w:r>
              <w:rPr>
                <w:rFonts w:hint="eastAsia"/>
                <w:sz w:val="18"/>
                <w:szCs w:val="18"/>
              </w:rPr>
              <w:t>苯、甲苯、乙苯和二甲苯总和</w:t>
            </w:r>
            <w:r>
              <w:rPr>
                <w:rFonts w:hint="eastAsia" w:ascii="宋体" w:hAnsi="宋体" w:cs="宋体"/>
                <w:kern w:val="0"/>
                <w:sz w:val="18"/>
                <w:szCs w:val="18"/>
              </w:rPr>
              <w:t>）</w:t>
            </w:r>
          </w:p>
        </w:tc>
        <w:tc>
          <w:tcPr>
            <w:tcW w:w="2457" w:type="dxa"/>
            <w:vAlign w:val="center"/>
          </w:tcPr>
          <w:p>
            <w:pPr>
              <w:spacing w:line="240" w:lineRule="atLeast"/>
              <w:jc w:val="center"/>
              <w:rPr>
                <w:sz w:val="18"/>
                <w:szCs w:val="18"/>
              </w:rPr>
            </w:pPr>
            <w:r>
              <w:rPr>
                <w:sz w:val="18"/>
                <w:szCs w:val="18"/>
              </w:rPr>
              <w:t>GB 244</w:t>
            </w:r>
            <w:r>
              <w:rPr>
                <w:rFonts w:hint="eastAsia"/>
                <w:sz w:val="18"/>
                <w:szCs w:val="18"/>
              </w:rPr>
              <w:t>10-2009</w:t>
            </w: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81" w:type="dxa"/>
            <w:vAlign w:val="center"/>
          </w:tcPr>
          <w:p>
            <w:pPr>
              <w:spacing w:line="240" w:lineRule="atLeast"/>
              <w:jc w:val="center"/>
              <w:rPr>
                <w:sz w:val="18"/>
                <w:szCs w:val="18"/>
              </w:rPr>
            </w:pPr>
            <w:r>
              <w:rPr>
                <w:sz w:val="18"/>
                <w:szCs w:val="18"/>
              </w:rPr>
              <w:t>2</w:t>
            </w:r>
          </w:p>
        </w:tc>
        <w:tc>
          <w:tcPr>
            <w:tcW w:w="2706" w:type="dxa"/>
            <w:vAlign w:val="center"/>
          </w:tcPr>
          <w:p>
            <w:pPr>
              <w:spacing w:line="240" w:lineRule="atLeast"/>
              <w:jc w:val="center"/>
              <w:rPr>
                <w:sz w:val="18"/>
                <w:szCs w:val="18"/>
              </w:rPr>
            </w:pPr>
            <w:r>
              <w:rPr>
                <w:sz w:val="18"/>
                <w:szCs w:val="18"/>
              </w:rPr>
              <w:t>游离甲醛含量</w:t>
            </w:r>
          </w:p>
        </w:tc>
        <w:tc>
          <w:tcPr>
            <w:tcW w:w="2457" w:type="dxa"/>
            <w:vAlign w:val="center"/>
          </w:tcPr>
          <w:p>
            <w:pPr>
              <w:spacing w:line="240" w:lineRule="atLeast"/>
              <w:jc w:val="center"/>
              <w:rPr>
                <w:sz w:val="18"/>
                <w:szCs w:val="18"/>
              </w:rPr>
            </w:pPr>
            <w:r>
              <w:rPr>
                <w:sz w:val="18"/>
                <w:szCs w:val="18"/>
              </w:rPr>
              <w:t>GB 18582</w:t>
            </w:r>
            <w:r>
              <w:rPr>
                <w:rFonts w:hint="eastAsia"/>
                <w:sz w:val="18"/>
                <w:szCs w:val="18"/>
              </w:rPr>
              <w:t>-2008</w:t>
            </w: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81" w:type="dxa"/>
            <w:vAlign w:val="center"/>
          </w:tcPr>
          <w:p>
            <w:pPr>
              <w:spacing w:line="240" w:lineRule="atLeast"/>
              <w:jc w:val="center"/>
              <w:rPr>
                <w:sz w:val="18"/>
                <w:szCs w:val="18"/>
              </w:rPr>
            </w:pPr>
            <w:r>
              <w:rPr>
                <w:sz w:val="18"/>
                <w:szCs w:val="18"/>
              </w:rPr>
              <w:t>3</w:t>
            </w:r>
          </w:p>
        </w:tc>
        <w:tc>
          <w:tcPr>
            <w:tcW w:w="2706" w:type="dxa"/>
            <w:vAlign w:val="center"/>
          </w:tcPr>
          <w:p>
            <w:pPr>
              <w:spacing w:line="240" w:lineRule="atLeast"/>
              <w:jc w:val="center"/>
              <w:rPr>
                <w:sz w:val="18"/>
                <w:szCs w:val="18"/>
              </w:rPr>
            </w:pPr>
            <w:r>
              <w:rPr>
                <w:rFonts w:hint="eastAsia" w:ascii="宋体" w:hAnsi="宋体" w:cs="宋体"/>
                <w:kern w:val="0"/>
                <w:sz w:val="18"/>
                <w:szCs w:val="18"/>
              </w:rPr>
              <w:t>乙二醇醚及其酯类含量</w:t>
            </w:r>
            <w:r>
              <w:rPr>
                <w:sz w:val="18"/>
                <w:szCs w:val="18"/>
              </w:rPr>
              <w:t>(</w:t>
            </w:r>
            <w:r>
              <w:rPr>
                <w:rFonts w:ascii="Verdana" w:hAnsi="Verdana"/>
                <w:sz w:val="18"/>
                <w:szCs w:val="18"/>
              </w:rPr>
              <w:t>乙二醇甲醚、乙二醇甲醚醋酸酯、乙二醇乙醚、乙二醇乙醚醋酸</w:t>
            </w:r>
            <w:r>
              <w:rPr>
                <w:rFonts w:hint="eastAsia" w:ascii="Verdana" w:hAnsi="Verdana"/>
                <w:sz w:val="18"/>
                <w:szCs w:val="18"/>
              </w:rPr>
              <w:t>酯</w:t>
            </w:r>
            <w:r>
              <w:rPr>
                <w:rFonts w:ascii="Verdana" w:hAnsi="Verdana"/>
                <w:sz w:val="18"/>
                <w:szCs w:val="18"/>
              </w:rPr>
              <w:t>，二乙二醇丁醚醋酸酯总和</w:t>
            </w:r>
            <w:r>
              <w:rPr>
                <w:sz w:val="18"/>
                <w:szCs w:val="18"/>
              </w:rPr>
              <w:t>)</w:t>
            </w:r>
          </w:p>
        </w:tc>
        <w:tc>
          <w:tcPr>
            <w:tcW w:w="2457" w:type="dxa"/>
            <w:vAlign w:val="center"/>
          </w:tcPr>
          <w:p>
            <w:pPr>
              <w:spacing w:line="240" w:lineRule="atLeast"/>
              <w:jc w:val="center"/>
              <w:rPr>
                <w:sz w:val="18"/>
                <w:szCs w:val="18"/>
              </w:rPr>
            </w:pPr>
            <w:r>
              <w:rPr>
                <w:sz w:val="18"/>
                <w:szCs w:val="18"/>
              </w:rPr>
              <w:t>GB 244</w:t>
            </w:r>
            <w:r>
              <w:rPr>
                <w:rFonts w:hint="eastAsia"/>
                <w:sz w:val="18"/>
                <w:szCs w:val="18"/>
              </w:rPr>
              <w:t>10-2009</w:t>
            </w: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81" w:type="dxa"/>
            <w:vAlign w:val="center"/>
          </w:tcPr>
          <w:p>
            <w:pPr>
              <w:spacing w:line="240" w:lineRule="atLeast"/>
              <w:jc w:val="center"/>
              <w:rPr>
                <w:sz w:val="18"/>
                <w:szCs w:val="18"/>
              </w:rPr>
            </w:pPr>
            <w:r>
              <w:rPr>
                <w:sz w:val="18"/>
                <w:szCs w:val="18"/>
              </w:rPr>
              <w:t>4</w:t>
            </w:r>
          </w:p>
        </w:tc>
        <w:tc>
          <w:tcPr>
            <w:tcW w:w="2706" w:type="dxa"/>
            <w:vAlign w:val="center"/>
          </w:tcPr>
          <w:p>
            <w:pPr>
              <w:spacing w:line="240" w:lineRule="atLeast"/>
              <w:jc w:val="center"/>
              <w:rPr>
                <w:sz w:val="18"/>
                <w:szCs w:val="18"/>
              </w:rPr>
            </w:pPr>
            <w:r>
              <w:rPr>
                <w:sz w:val="18"/>
                <w:szCs w:val="18"/>
              </w:rPr>
              <w:t>铅</w:t>
            </w:r>
            <w:r>
              <w:rPr>
                <w:rFonts w:hint="eastAsia"/>
                <w:sz w:val="18"/>
                <w:szCs w:val="18"/>
              </w:rPr>
              <w:t>（限色漆和腻子）</w:t>
            </w:r>
          </w:p>
        </w:tc>
        <w:tc>
          <w:tcPr>
            <w:tcW w:w="2457" w:type="dxa"/>
            <w:vAlign w:val="center"/>
          </w:tcPr>
          <w:p>
            <w:pPr>
              <w:spacing w:line="240" w:lineRule="atLeast"/>
              <w:jc w:val="center"/>
              <w:rPr>
                <w:sz w:val="18"/>
                <w:szCs w:val="18"/>
              </w:rPr>
            </w:pPr>
            <w:r>
              <w:rPr>
                <w:sz w:val="18"/>
                <w:szCs w:val="18"/>
              </w:rPr>
              <w:t>GB 18582</w:t>
            </w:r>
            <w:r>
              <w:rPr>
                <w:rFonts w:hint="eastAsia"/>
                <w:sz w:val="18"/>
                <w:szCs w:val="18"/>
              </w:rPr>
              <w:t>-2008</w:t>
            </w: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81" w:type="dxa"/>
            <w:vAlign w:val="center"/>
          </w:tcPr>
          <w:p>
            <w:pPr>
              <w:spacing w:line="240" w:lineRule="atLeast"/>
              <w:jc w:val="center"/>
              <w:rPr>
                <w:sz w:val="18"/>
                <w:szCs w:val="18"/>
              </w:rPr>
            </w:pPr>
            <w:r>
              <w:rPr>
                <w:sz w:val="18"/>
                <w:szCs w:val="18"/>
              </w:rPr>
              <w:t>5</w:t>
            </w:r>
          </w:p>
        </w:tc>
        <w:tc>
          <w:tcPr>
            <w:tcW w:w="2706" w:type="dxa"/>
            <w:vAlign w:val="center"/>
          </w:tcPr>
          <w:p>
            <w:pPr>
              <w:spacing w:line="240" w:lineRule="atLeast"/>
              <w:jc w:val="center"/>
              <w:rPr>
                <w:sz w:val="18"/>
                <w:szCs w:val="18"/>
              </w:rPr>
            </w:pPr>
            <w:r>
              <w:rPr>
                <w:sz w:val="18"/>
                <w:szCs w:val="18"/>
              </w:rPr>
              <w:t>镉</w:t>
            </w:r>
            <w:r>
              <w:rPr>
                <w:rFonts w:hint="eastAsia"/>
                <w:sz w:val="18"/>
                <w:szCs w:val="18"/>
              </w:rPr>
              <w:t>（限色漆和腻子）</w:t>
            </w:r>
          </w:p>
        </w:tc>
        <w:tc>
          <w:tcPr>
            <w:tcW w:w="2457" w:type="dxa"/>
            <w:vAlign w:val="center"/>
          </w:tcPr>
          <w:p>
            <w:pPr>
              <w:spacing w:line="240" w:lineRule="atLeast"/>
              <w:jc w:val="center"/>
              <w:rPr>
                <w:sz w:val="18"/>
                <w:szCs w:val="18"/>
              </w:rPr>
            </w:pPr>
            <w:r>
              <w:rPr>
                <w:sz w:val="18"/>
                <w:szCs w:val="18"/>
              </w:rPr>
              <w:t>GB 18582</w:t>
            </w:r>
            <w:r>
              <w:rPr>
                <w:rFonts w:hint="eastAsia"/>
                <w:sz w:val="18"/>
                <w:szCs w:val="18"/>
              </w:rPr>
              <w:t>-2008</w:t>
            </w: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81" w:type="dxa"/>
            <w:vAlign w:val="center"/>
          </w:tcPr>
          <w:p>
            <w:pPr>
              <w:spacing w:line="240" w:lineRule="atLeast"/>
              <w:jc w:val="center"/>
              <w:rPr>
                <w:sz w:val="18"/>
                <w:szCs w:val="18"/>
              </w:rPr>
            </w:pPr>
            <w:r>
              <w:rPr>
                <w:sz w:val="18"/>
                <w:szCs w:val="18"/>
              </w:rPr>
              <w:t>6</w:t>
            </w:r>
          </w:p>
        </w:tc>
        <w:tc>
          <w:tcPr>
            <w:tcW w:w="2706" w:type="dxa"/>
            <w:vAlign w:val="center"/>
          </w:tcPr>
          <w:p>
            <w:pPr>
              <w:spacing w:line="240" w:lineRule="atLeast"/>
              <w:jc w:val="center"/>
              <w:rPr>
                <w:sz w:val="18"/>
                <w:szCs w:val="18"/>
              </w:rPr>
            </w:pPr>
            <w:r>
              <w:rPr>
                <w:sz w:val="18"/>
                <w:szCs w:val="18"/>
              </w:rPr>
              <w:t>铬</w:t>
            </w:r>
            <w:r>
              <w:rPr>
                <w:rFonts w:hint="eastAsia"/>
                <w:sz w:val="18"/>
                <w:szCs w:val="18"/>
              </w:rPr>
              <w:t>（限色漆和腻子）</w:t>
            </w:r>
          </w:p>
        </w:tc>
        <w:tc>
          <w:tcPr>
            <w:tcW w:w="2457" w:type="dxa"/>
            <w:vAlign w:val="center"/>
          </w:tcPr>
          <w:p>
            <w:pPr>
              <w:spacing w:line="240" w:lineRule="atLeast"/>
              <w:jc w:val="center"/>
              <w:rPr>
                <w:sz w:val="18"/>
                <w:szCs w:val="18"/>
              </w:rPr>
            </w:pPr>
            <w:r>
              <w:rPr>
                <w:sz w:val="18"/>
                <w:szCs w:val="18"/>
              </w:rPr>
              <w:t>GB 18582</w:t>
            </w:r>
            <w:r>
              <w:rPr>
                <w:rFonts w:hint="eastAsia"/>
                <w:sz w:val="18"/>
                <w:szCs w:val="18"/>
              </w:rPr>
              <w:t>-2008</w:t>
            </w: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81" w:type="dxa"/>
            <w:vAlign w:val="center"/>
          </w:tcPr>
          <w:p>
            <w:pPr>
              <w:spacing w:line="240" w:lineRule="atLeast"/>
              <w:jc w:val="center"/>
              <w:rPr>
                <w:sz w:val="18"/>
                <w:szCs w:val="18"/>
              </w:rPr>
            </w:pPr>
            <w:r>
              <w:rPr>
                <w:sz w:val="18"/>
                <w:szCs w:val="18"/>
              </w:rPr>
              <w:t>7</w:t>
            </w:r>
          </w:p>
        </w:tc>
        <w:tc>
          <w:tcPr>
            <w:tcW w:w="2706" w:type="dxa"/>
            <w:vAlign w:val="center"/>
          </w:tcPr>
          <w:p>
            <w:pPr>
              <w:spacing w:line="240" w:lineRule="atLeast"/>
              <w:jc w:val="center"/>
              <w:rPr>
                <w:sz w:val="18"/>
                <w:szCs w:val="18"/>
              </w:rPr>
            </w:pPr>
            <w:r>
              <w:rPr>
                <w:sz w:val="18"/>
                <w:szCs w:val="18"/>
              </w:rPr>
              <w:t>汞</w:t>
            </w:r>
            <w:r>
              <w:rPr>
                <w:rFonts w:hint="eastAsia"/>
                <w:sz w:val="18"/>
                <w:szCs w:val="18"/>
              </w:rPr>
              <w:t>（限色漆和腻子）</w:t>
            </w:r>
          </w:p>
        </w:tc>
        <w:tc>
          <w:tcPr>
            <w:tcW w:w="2457" w:type="dxa"/>
            <w:vAlign w:val="center"/>
          </w:tcPr>
          <w:p>
            <w:pPr>
              <w:spacing w:line="240" w:lineRule="atLeast"/>
              <w:jc w:val="center"/>
              <w:rPr>
                <w:sz w:val="18"/>
                <w:szCs w:val="18"/>
              </w:rPr>
            </w:pPr>
            <w:r>
              <w:rPr>
                <w:sz w:val="18"/>
                <w:szCs w:val="18"/>
              </w:rPr>
              <w:t>GB 18582</w:t>
            </w:r>
            <w:r>
              <w:rPr>
                <w:rFonts w:hint="eastAsia"/>
                <w:sz w:val="18"/>
                <w:szCs w:val="18"/>
              </w:rPr>
              <w:t>-2008</w:t>
            </w: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r>
              <w:rPr>
                <w:sz w:val="18"/>
                <w:szCs w:val="18"/>
              </w:rPr>
              <w:t>●</w:t>
            </w:r>
          </w:p>
        </w:tc>
        <w:tc>
          <w:tcPr>
            <w:tcW w:w="601" w:type="dxa"/>
            <w:vAlign w:val="center"/>
          </w:tcPr>
          <w:p>
            <w:pPr>
              <w:spacing w:line="240" w:lineRule="atLeast"/>
              <w:jc w:val="center"/>
              <w:rPr>
                <w:sz w:val="18"/>
                <w:szCs w:val="18"/>
              </w:rPr>
            </w:pPr>
          </w:p>
        </w:tc>
        <w:tc>
          <w:tcPr>
            <w:tcW w:w="601" w:type="dxa"/>
            <w:vAlign w:val="center"/>
          </w:tcPr>
          <w:p>
            <w:pPr>
              <w:spacing w:line="240" w:lineRule="atLeast"/>
              <w:jc w:val="center"/>
              <w:rPr>
                <w:sz w:val="18"/>
                <w:szCs w:val="18"/>
              </w:rPr>
            </w:pPr>
          </w:p>
        </w:tc>
      </w:tr>
    </w:tbl>
    <w:p>
      <w:pPr>
        <w:spacing w:line="600" w:lineRule="exact"/>
        <w:ind w:firstLine="640" w:firstLineChars="200"/>
        <w:rPr>
          <w:szCs w:val="32"/>
        </w:rPr>
      </w:pPr>
      <w:r>
        <w:rPr>
          <w:szCs w:val="32"/>
        </w:rPr>
        <w:t>当产品存在重要项不合格时属于严重不合格。</w:t>
      </w:r>
    </w:p>
    <w:p>
      <w:pPr>
        <w:ind w:firstLine="640" w:firstLineChars="200"/>
        <w:rPr>
          <w:szCs w:val="32"/>
        </w:rPr>
      </w:pPr>
      <w:r>
        <w:rPr>
          <w:rFonts w:hint="eastAsia" w:eastAsia="楷体_GB2312"/>
          <w:szCs w:val="32"/>
        </w:rPr>
        <w:t>（二）</w:t>
      </w:r>
      <w:r>
        <w:rPr>
          <w:rFonts w:eastAsia="楷体_GB2312"/>
          <w:szCs w:val="32"/>
        </w:rPr>
        <w:t>内在质量计量型项目的规范限及不合格划分表。</w:t>
      </w:r>
    </w:p>
    <w:p>
      <w:pPr>
        <w:spacing w:line="560" w:lineRule="exact"/>
        <w:ind w:firstLine="640" w:firstLineChars="200"/>
        <w:rPr>
          <w:rFonts w:eastAsia="楷体_GB2312"/>
          <w:szCs w:val="32"/>
        </w:rPr>
      </w:pPr>
      <w:r>
        <w:rPr>
          <w:rFonts w:hint="eastAsia" w:eastAsia="楷体_GB2312"/>
          <w:szCs w:val="32"/>
        </w:rPr>
        <w:t>1</w:t>
      </w:r>
      <w:r>
        <w:rPr>
          <w:rFonts w:hint="eastAsia" w:eastAsia="楷体_GB2312"/>
          <w:szCs w:val="32"/>
          <w:lang w:eastAsia="zh-CN"/>
        </w:rPr>
        <w:t>．</w:t>
      </w:r>
      <w:r>
        <w:rPr>
          <w:rFonts w:hint="eastAsia" w:eastAsia="楷体_GB2312"/>
          <w:szCs w:val="32"/>
        </w:rPr>
        <w:t>溶剂型木器涂料</w:t>
      </w:r>
    </w:p>
    <w:tbl>
      <w:tblPr>
        <w:tblStyle w:val="3"/>
        <w:tblW w:w="90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5"/>
        <w:gridCol w:w="1332"/>
        <w:gridCol w:w="1782"/>
        <w:gridCol w:w="1908"/>
        <w:gridCol w:w="786"/>
        <w:gridCol w:w="850"/>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blHeader/>
          <w:jc w:val="center"/>
        </w:trPr>
        <w:tc>
          <w:tcPr>
            <w:tcW w:w="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 w:val="18"/>
                <w:szCs w:val="18"/>
              </w:rPr>
            </w:pPr>
            <w:r>
              <w:rPr>
                <w:sz w:val="18"/>
                <w:szCs w:val="18"/>
              </w:rPr>
              <w:t>序号</w:t>
            </w:r>
          </w:p>
        </w:tc>
        <w:tc>
          <w:tcPr>
            <w:tcW w:w="133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 w:val="18"/>
                <w:szCs w:val="18"/>
              </w:rPr>
            </w:pPr>
            <w:r>
              <w:rPr>
                <w:sz w:val="18"/>
                <w:szCs w:val="18"/>
              </w:rPr>
              <w:t>检验项目</w:t>
            </w:r>
          </w:p>
        </w:tc>
        <w:tc>
          <w:tcPr>
            <w:tcW w:w="178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 w:val="18"/>
                <w:szCs w:val="18"/>
              </w:rPr>
            </w:pPr>
            <w:r>
              <w:rPr>
                <w:sz w:val="18"/>
                <w:szCs w:val="18"/>
              </w:rPr>
              <w:t>标准要求</w:t>
            </w:r>
          </w:p>
        </w:tc>
        <w:tc>
          <w:tcPr>
            <w:tcW w:w="1908" w:type="dxa"/>
            <w:tcBorders>
              <w:top w:val="single" w:color="auto" w:sz="4" w:space="0"/>
              <w:left w:val="single" w:color="auto" w:sz="4" w:space="0"/>
              <w:bottom w:val="single" w:color="auto" w:sz="4" w:space="0"/>
              <w:right w:val="single" w:color="auto" w:sz="4" w:space="0"/>
            </w:tcBorders>
            <w:vAlign w:val="center"/>
          </w:tcPr>
          <w:p>
            <w:pPr>
              <w:adjustRightInd w:val="0"/>
              <w:spacing w:line="240" w:lineRule="atLeast"/>
              <w:jc w:val="center"/>
              <w:rPr>
                <w:sz w:val="18"/>
                <w:szCs w:val="18"/>
              </w:rPr>
            </w:pPr>
            <w:r>
              <w:rPr>
                <w:sz w:val="18"/>
                <w:szCs w:val="18"/>
              </w:rPr>
              <w:t>样本合格</w:t>
            </w:r>
          </w:p>
        </w:tc>
        <w:tc>
          <w:tcPr>
            <w:tcW w:w="786" w:type="dxa"/>
            <w:tcBorders>
              <w:top w:val="single" w:color="auto" w:sz="4" w:space="0"/>
              <w:left w:val="single" w:color="auto" w:sz="4" w:space="0"/>
              <w:bottom w:val="single" w:color="auto" w:sz="4" w:space="0"/>
              <w:right w:val="single" w:color="auto" w:sz="4" w:space="0"/>
            </w:tcBorders>
            <w:vAlign w:val="center"/>
          </w:tcPr>
          <w:p>
            <w:pPr>
              <w:adjustRightInd w:val="0"/>
              <w:spacing w:line="240" w:lineRule="atLeast"/>
              <w:jc w:val="center"/>
              <w:rPr>
                <w:sz w:val="18"/>
                <w:szCs w:val="18"/>
              </w:rPr>
            </w:pPr>
            <w:r>
              <w:rPr>
                <w:sz w:val="18"/>
                <w:szCs w:val="18"/>
              </w:rPr>
              <w:t>轻微不合格</w:t>
            </w:r>
          </w:p>
        </w:tc>
        <w:tc>
          <w:tcPr>
            <w:tcW w:w="850" w:type="dxa"/>
            <w:tcBorders>
              <w:top w:val="single" w:color="auto" w:sz="4" w:space="0"/>
              <w:left w:val="single" w:color="auto" w:sz="4" w:space="0"/>
              <w:right w:val="single" w:color="auto" w:sz="4" w:space="0"/>
            </w:tcBorders>
            <w:vAlign w:val="center"/>
          </w:tcPr>
          <w:p>
            <w:pPr>
              <w:adjustRightInd w:val="0"/>
              <w:spacing w:line="240" w:lineRule="atLeast"/>
              <w:jc w:val="center"/>
              <w:rPr>
                <w:sz w:val="18"/>
                <w:szCs w:val="18"/>
              </w:rPr>
            </w:pPr>
            <w:r>
              <w:rPr>
                <w:sz w:val="18"/>
                <w:szCs w:val="18"/>
              </w:rPr>
              <w:t>较严重不合格</w:t>
            </w:r>
          </w:p>
        </w:tc>
        <w:tc>
          <w:tcPr>
            <w:tcW w:w="1843" w:type="dxa"/>
            <w:tcBorders>
              <w:top w:val="single" w:color="auto" w:sz="4" w:space="0"/>
              <w:left w:val="single" w:color="auto" w:sz="4" w:space="0"/>
              <w:right w:val="single" w:color="auto" w:sz="4" w:space="0"/>
            </w:tcBorders>
            <w:vAlign w:val="center"/>
          </w:tcPr>
          <w:p>
            <w:pPr>
              <w:adjustRightInd w:val="0"/>
              <w:spacing w:line="240" w:lineRule="atLeast"/>
              <w:jc w:val="center"/>
              <w:rPr>
                <w:sz w:val="18"/>
                <w:szCs w:val="18"/>
              </w:rPr>
            </w:pPr>
            <w:r>
              <w:rPr>
                <w:sz w:val="18"/>
                <w:szCs w:val="18"/>
              </w:rPr>
              <w:t>严重不合格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5" w:type="dxa"/>
            <w:vAlign w:val="center"/>
          </w:tcPr>
          <w:p>
            <w:pPr>
              <w:adjustRightInd w:val="0"/>
              <w:snapToGrid w:val="0"/>
              <w:spacing w:line="240" w:lineRule="atLeast"/>
              <w:jc w:val="center"/>
              <w:rPr>
                <w:sz w:val="18"/>
                <w:szCs w:val="18"/>
              </w:rPr>
            </w:pPr>
            <w:r>
              <w:rPr>
                <w:sz w:val="18"/>
                <w:szCs w:val="18"/>
              </w:rPr>
              <w:t>1</w:t>
            </w:r>
          </w:p>
        </w:tc>
        <w:tc>
          <w:tcPr>
            <w:tcW w:w="1332" w:type="dxa"/>
            <w:vAlign w:val="center"/>
          </w:tcPr>
          <w:p>
            <w:pPr>
              <w:adjustRightInd w:val="0"/>
              <w:snapToGrid w:val="0"/>
              <w:spacing w:line="240" w:lineRule="atLeast"/>
              <w:jc w:val="center"/>
              <w:rPr>
                <w:sz w:val="18"/>
                <w:szCs w:val="18"/>
              </w:rPr>
            </w:pPr>
            <w:r>
              <w:rPr>
                <w:sz w:val="18"/>
                <w:szCs w:val="18"/>
              </w:rPr>
              <w:t>挥发性有机化合物(VOC)含量</w:t>
            </w:r>
          </w:p>
        </w:tc>
        <w:tc>
          <w:tcPr>
            <w:tcW w:w="1782" w:type="dxa"/>
            <w:vAlign w:val="center"/>
          </w:tcPr>
          <w:p>
            <w:pPr>
              <w:adjustRightInd w:val="0"/>
              <w:spacing w:line="240" w:lineRule="atLeast"/>
              <w:jc w:val="center"/>
              <w:rPr>
                <w:sz w:val="18"/>
                <w:szCs w:val="18"/>
              </w:rPr>
            </w:pPr>
            <w:r>
              <w:rPr>
                <w:sz w:val="18"/>
                <w:szCs w:val="18"/>
              </w:rPr>
              <w:t>聚氨酯类涂料面漆：</w:t>
            </w:r>
          </w:p>
          <w:p>
            <w:pPr>
              <w:adjustRightInd w:val="0"/>
              <w:spacing w:line="240" w:lineRule="atLeast"/>
              <w:jc w:val="center"/>
              <w:rPr>
                <w:sz w:val="18"/>
                <w:szCs w:val="18"/>
              </w:rPr>
            </w:pPr>
            <w:r>
              <w:rPr>
                <w:sz w:val="18"/>
                <w:szCs w:val="18"/>
              </w:rPr>
              <w:t>光泽（60°）</w:t>
            </w:r>
            <w:r>
              <w:rPr>
                <w:rFonts w:hint="eastAsia"/>
                <w:sz w:val="18"/>
                <w:szCs w:val="18"/>
              </w:rPr>
              <w:t>≥</w:t>
            </w:r>
            <w:r>
              <w:rPr>
                <w:sz w:val="18"/>
                <w:szCs w:val="18"/>
              </w:rPr>
              <w:t>80，</w:t>
            </w:r>
            <w:r>
              <w:rPr>
                <w:rFonts w:hint="eastAsia"/>
                <w:sz w:val="18"/>
                <w:szCs w:val="18"/>
              </w:rPr>
              <w:t>≤</w:t>
            </w:r>
            <w:r>
              <w:rPr>
                <w:sz w:val="18"/>
                <w:szCs w:val="18"/>
              </w:rPr>
              <w:t>580g/L</w:t>
            </w:r>
          </w:p>
          <w:p>
            <w:pPr>
              <w:adjustRightInd w:val="0"/>
              <w:spacing w:line="240" w:lineRule="atLeast"/>
              <w:jc w:val="center"/>
              <w:rPr>
                <w:sz w:val="18"/>
                <w:szCs w:val="18"/>
              </w:rPr>
            </w:pPr>
            <w:r>
              <w:rPr>
                <w:sz w:val="18"/>
                <w:szCs w:val="18"/>
              </w:rPr>
              <w:t>光泽（60°）＜80，</w:t>
            </w:r>
            <w:r>
              <w:rPr>
                <w:rFonts w:hint="eastAsia"/>
                <w:sz w:val="18"/>
                <w:szCs w:val="18"/>
              </w:rPr>
              <w:t>≤</w:t>
            </w:r>
            <w:r>
              <w:rPr>
                <w:sz w:val="18"/>
                <w:szCs w:val="18"/>
              </w:rPr>
              <w:t>670g/L</w:t>
            </w:r>
          </w:p>
          <w:p>
            <w:pPr>
              <w:adjustRightInd w:val="0"/>
              <w:spacing w:line="240" w:lineRule="atLeast"/>
              <w:jc w:val="center"/>
              <w:rPr>
                <w:sz w:val="18"/>
                <w:szCs w:val="18"/>
              </w:rPr>
            </w:pPr>
            <w:r>
              <w:rPr>
                <w:sz w:val="18"/>
                <w:szCs w:val="18"/>
              </w:rPr>
              <w:t>聚氨酯类涂料底漆：</w:t>
            </w:r>
          </w:p>
          <w:p>
            <w:pPr>
              <w:adjustRightInd w:val="0"/>
              <w:spacing w:line="240" w:lineRule="atLeast"/>
              <w:jc w:val="center"/>
              <w:rPr>
                <w:sz w:val="18"/>
                <w:szCs w:val="18"/>
              </w:rPr>
            </w:pPr>
            <w:r>
              <w:rPr>
                <w:rFonts w:hint="eastAsia"/>
                <w:sz w:val="18"/>
                <w:szCs w:val="18"/>
              </w:rPr>
              <w:t>≤</w:t>
            </w:r>
            <w:r>
              <w:rPr>
                <w:sz w:val="18"/>
                <w:szCs w:val="18"/>
              </w:rPr>
              <w:t>670g/L</w:t>
            </w:r>
          </w:p>
          <w:p>
            <w:pPr>
              <w:adjustRightInd w:val="0"/>
              <w:spacing w:line="240" w:lineRule="atLeast"/>
              <w:jc w:val="center"/>
              <w:rPr>
                <w:sz w:val="18"/>
                <w:szCs w:val="18"/>
              </w:rPr>
            </w:pPr>
            <w:r>
              <w:rPr>
                <w:sz w:val="18"/>
                <w:szCs w:val="18"/>
              </w:rPr>
              <w:t>硝基类涂料：</w:t>
            </w:r>
            <w:r>
              <w:rPr>
                <w:rFonts w:hint="eastAsia"/>
                <w:sz w:val="18"/>
                <w:szCs w:val="18"/>
              </w:rPr>
              <w:t>≤</w:t>
            </w:r>
            <w:r>
              <w:rPr>
                <w:sz w:val="18"/>
                <w:szCs w:val="18"/>
              </w:rPr>
              <w:t>720g/L</w:t>
            </w:r>
          </w:p>
          <w:p>
            <w:pPr>
              <w:adjustRightInd w:val="0"/>
              <w:spacing w:line="240" w:lineRule="atLeast"/>
              <w:jc w:val="center"/>
              <w:rPr>
                <w:sz w:val="18"/>
                <w:szCs w:val="18"/>
              </w:rPr>
            </w:pPr>
            <w:r>
              <w:rPr>
                <w:sz w:val="18"/>
                <w:szCs w:val="18"/>
              </w:rPr>
              <w:t>醇酸类涂料：</w:t>
            </w:r>
            <w:r>
              <w:rPr>
                <w:rFonts w:hint="eastAsia"/>
                <w:sz w:val="18"/>
                <w:szCs w:val="18"/>
              </w:rPr>
              <w:t>≤</w:t>
            </w:r>
            <w:r>
              <w:rPr>
                <w:sz w:val="18"/>
                <w:szCs w:val="18"/>
              </w:rPr>
              <w:t>500g/L</w:t>
            </w:r>
          </w:p>
          <w:p>
            <w:pPr>
              <w:adjustRightInd w:val="0"/>
              <w:spacing w:line="240" w:lineRule="atLeast"/>
              <w:jc w:val="center"/>
              <w:rPr>
                <w:sz w:val="18"/>
                <w:szCs w:val="18"/>
              </w:rPr>
            </w:pPr>
            <w:r>
              <w:rPr>
                <w:sz w:val="18"/>
                <w:szCs w:val="18"/>
              </w:rPr>
              <w:t>腻子：</w:t>
            </w:r>
          </w:p>
          <w:p>
            <w:pPr>
              <w:adjustRightInd w:val="0"/>
              <w:spacing w:line="240" w:lineRule="atLeast"/>
              <w:jc w:val="center"/>
              <w:rPr>
                <w:sz w:val="18"/>
                <w:szCs w:val="18"/>
              </w:rPr>
            </w:pPr>
            <w:r>
              <w:rPr>
                <w:rFonts w:hint="eastAsia"/>
                <w:sz w:val="18"/>
                <w:szCs w:val="18"/>
              </w:rPr>
              <w:t>≤</w:t>
            </w:r>
            <w:r>
              <w:rPr>
                <w:sz w:val="18"/>
                <w:szCs w:val="18"/>
              </w:rPr>
              <w:t>550g/L</w:t>
            </w:r>
          </w:p>
        </w:tc>
        <w:tc>
          <w:tcPr>
            <w:tcW w:w="1908" w:type="dxa"/>
            <w:vAlign w:val="center"/>
          </w:tcPr>
          <w:p>
            <w:pPr>
              <w:adjustRightInd w:val="0"/>
              <w:spacing w:line="240" w:lineRule="atLeast"/>
              <w:jc w:val="center"/>
              <w:rPr>
                <w:sz w:val="18"/>
                <w:szCs w:val="18"/>
              </w:rPr>
            </w:pPr>
            <w:r>
              <w:rPr>
                <w:sz w:val="18"/>
                <w:szCs w:val="18"/>
              </w:rPr>
              <w:t>聚氨酯类涂料面漆：</w:t>
            </w:r>
          </w:p>
          <w:p>
            <w:pPr>
              <w:adjustRightInd w:val="0"/>
              <w:spacing w:line="240" w:lineRule="atLeast"/>
              <w:jc w:val="center"/>
              <w:rPr>
                <w:sz w:val="18"/>
                <w:szCs w:val="18"/>
              </w:rPr>
            </w:pPr>
            <w:r>
              <w:rPr>
                <w:sz w:val="18"/>
                <w:szCs w:val="18"/>
              </w:rPr>
              <w:t>光泽（60°）</w:t>
            </w:r>
            <w:r>
              <w:rPr>
                <w:rFonts w:hint="eastAsia"/>
                <w:sz w:val="18"/>
                <w:szCs w:val="18"/>
              </w:rPr>
              <w:t>≥</w:t>
            </w:r>
            <w:r>
              <w:rPr>
                <w:sz w:val="18"/>
                <w:szCs w:val="18"/>
              </w:rPr>
              <w:t>80，</w:t>
            </w:r>
            <w:r>
              <w:rPr>
                <w:rFonts w:hint="eastAsia"/>
                <w:sz w:val="18"/>
                <w:szCs w:val="18"/>
              </w:rPr>
              <w:t>≤</w:t>
            </w:r>
            <w:r>
              <w:rPr>
                <w:sz w:val="18"/>
                <w:szCs w:val="18"/>
              </w:rPr>
              <w:t>580g/L</w:t>
            </w:r>
          </w:p>
          <w:p>
            <w:pPr>
              <w:adjustRightInd w:val="0"/>
              <w:spacing w:line="240" w:lineRule="atLeast"/>
              <w:jc w:val="center"/>
              <w:rPr>
                <w:sz w:val="18"/>
                <w:szCs w:val="18"/>
              </w:rPr>
            </w:pPr>
            <w:r>
              <w:rPr>
                <w:sz w:val="18"/>
                <w:szCs w:val="18"/>
              </w:rPr>
              <w:t>光泽（60°）＜80，</w:t>
            </w:r>
            <w:r>
              <w:rPr>
                <w:rFonts w:hint="eastAsia"/>
                <w:sz w:val="18"/>
                <w:szCs w:val="18"/>
              </w:rPr>
              <w:t>≤</w:t>
            </w:r>
            <w:r>
              <w:rPr>
                <w:sz w:val="18"/>
                <w:szCs w:val="18"/>
              </w:rPr>
              <w:t>670g/L</w:t>
            </w:r>
          </w:p>
          <w:p>
            <w:pPr>
              <w:adjustRightInd w:val="0"/>
              <w:spacing w:line="240" w:lineRule="atLeast"/>
              <w:jc w:val="center"/>
              <w:rPr>
                <w:sz w:val="18"/>
                <w:szCs w:val="18"/>
              </w:rPr>
            </w:pPr>
            <w:r>
              <w:rPr>
                <w:sz w:val="18"/>
                <w:szCs w:val="18"/>
              </w:rPr>
              <w:t>聚氨酯类涂料底漆：</w:t>
            </w:r>
          </w:p>
          <w:p>
            <w:pPr>
              <w:adjustRightInd w:val="0"/>
              <w:spacing w:line="240" w:lineRule="atLeast"/>
              <w:jc w:val="center"/>
              <w:rPr>
                <w:sz w:val="18"/>
                <w:szCs w:val="18"/>
              </w:rPr>
            </w:pPr>
            <w:r>
              <w:rPr>
                <w:rFonts w:hint="eastAsia"/>
                <w:sz w:val="18"/>
                <w:szCs w:val="18"/>
              </w:rPr>
              <w:t>≤</w:t>
            </w:r>
            <w:r>
              <w:rPr>
                <w:sz w:val="18"/>
                <w:szCs w:val="18"/>
              </w:rPr>
              <w:t>670g/L</w:t>
            </w:r>
          </w:p>
          <w:p>
            <w:pPr>
              <w:adjustRightInd w:val="0"/>
              <w:spacing w:line="240" w:lineRule="atLeast"/>
              <w:jc w:val="center"/>
              <w:rPr>
                <w:sz w:val="18"/>
                <w:szCs w:val="18"/>
              </w:rPr>
            </w:pPr>
            <w:r>
              <w:rPr>
                <w:sz w:val="18"/>
                <w:szCs w:val="18"/>
              </w:rPr>
              <w:t>硝基类涂料：</w:t>
            </w:r>
            <w:r>
              <w:rPr>
                <w:rFonts w:hint="eastAsia"/>
                <w:sz w:val="18"/>
                <w:szCs w:val="18"/>
              </w:rPr>
              <w:t>≤</w:t>
            </w:r>
            <w:r>
              <w:rPr>
                <w:sz w:val="18"/>
                <w:szCs w:val="18"/>
              </w:rPr>
              <w:t>720g/L</w:t>
            </w:r>
          </w:p>
          <w:p>
            <w:pPr>
              <w:adjustRightInd w:val="0"/>
              <w:spacing w:line="240" w:lineRule="atLeast"/>
              <w:jc w:val="center"/>
              <w:rPr>
                <w:sz w:val="18"/>
                <w:szCs w:val="18"/>
              </w:rPr>
            </w:pPr>
            <w:r>
              <w:rPr>
                <w:sz w:val="18"/>
                <w:szCs w:val="18"/>
              </w:rPr>
              <w:t>醇酸类涂料：</w:t>
            </w:r>
            <w:r>
              <w:rPr>
                <w:rFonts w:hint="eastAsia"/>
                <w:sz w:val="18"/>
                <w:szCs w:val="18"/>
              </w:rPr>
              <w:t>≤</w:t>
            </w:r>
            <w:r>
              <w:rPr>
                <w:sz w:val="18"/>
                <w:szCs w:val="18"/>
              </w:rPr>
              <w:t>500g/L</w:t>
            </w:r>
          </w:p>
          <w:p>
            <w:pPr>
              <w:adjustRightInd w:val="0"/>
              <w:spacing w:line="240" w:lineRule="atLeast"/>
              <w:jc w:val="center"/>
              <w:rPr>
                <w:sz w:val="18"/>
                <w:szCs w:val="18"/>
              </w:rPr>
            </w:pPr>
            <w:r>
              <w:rPr>
                <w:sz w:val="18"/>
                <w:szCs w:val="18"/>
              </w:rPr>
              <w:t>腻子：</w:t>
            </w:r>
          </w:p>
          <w:p>
            <w:pPr>
              <w:adjustRightInd w:val="0"/>
              <w:spacing w:line="240" w:lineRule="atLeast"/>
              <w:jc w:val="center"/>
              <w:rPr>
                <w:sz w:val="18"/>
                <w:szCs w:val="18"/>
              </w:rPr>
            </w:pPr>
            <w:r>
              <w:rPr>
                <w:rFonts w:hint="eastAsia"/>
                <w:sz w:val="18"/>
                <w:szCs w:val="18"/>
              </w:rPr>
              <w:t>≤</w:t>
            </w:r>
            <w:r>
              <w:rPr>
                <w:sz w:val="18"/>
                <w:szCs w:val="18"/>
              </w:rPr>
              <w:t>550g/L</w:t>
            </w:r>
          </w:p>
        </w:tc>
        <w:tc>
          <w:tcPr>
            <w:tcW w:w="786" w:type="dxa"/>
            <w:vAlign w:val="center"/>
          </w:tcPr>
          <w:p>
            <w:pPr>
              <w:adjustRightInd w:val="0"/>
              <w:spacing w:line="240" w:lineRule="atLeast"/>
              <w:jc w:val="center"/>
              <w:rPr>
                <w:sz w:val="18"/>
                <w:szCs w:val="18"/>
              </w:rPr>
            </w:pPr>
            <w:r>
              <w:rPr>
                <w:rFonts w:hint="eastAsia"/>
                <w:sz w:val="18"/>
                <w:szCs w:val="18"/>
              </w:rPr>
              <w:t>/</w:t>
            </w:r>
          </w:p>
        </w:tc>
        <w:tc>
          <w:tcPr>
            <w:tcW w:w="850" w:type="dxa"/>
            <w:vAlign w:val="center"/>
          </w:tcPr>
          <w:p>
            <w:pPr>
              <w:adjustRightInd w:val="0"/>
              <w:spacing w:line="240" w:lineRule="atLeast"/>
              <w:jc w:val="center"/>
              <w:rPr>
                <w:sz w:val="18"/>
                <w:szCs w:val="18"/>
              </w:rPr>
            </w:pPr>
            <w:r>
              <w:rPr>
                <w:rFonts w:hint="eastAsia"/>
                <w:sz w:val="18"/>
                <w:szCs w:val="18"/>
              </w:rPr>
              <w:t>/</w:t>
            </w:r>
          </w:p>
        </w:tc>
        <w:tc>
          <w:tcPr>
            <w:tcW w:w="1843" w:type="dxa"/>
            <w:vAlign w:val="center"/>
          </w:tcPr>
          <w:p>
            <w:pPr>
              <w:adjustRightInd w:val="0"/>
              <w:spacing w:line="240" w:lineRule="atLeast"/>
              <w:jc w:val="center"/>
              <w:rPr>
                <w:sz w:val="18"/>
                <w:szCs w:val="18"/>
              </w:rPr>
            </w:pPr>
            <w:r>
              <w:rPr>
                <w:sz w:val="18"/>
                <w:szCs w:val="18"/>
              </w:rPr>
              <w:t>聚氨酯类涂料面漆：</w:t>
            </w:r>
          </w:p>
          <w:p>
            <w:pPr>
              <w:adjustRightInd w:val="0"/>
              <w:spacing w:line="240" w:lineRule="atLeast"/>
              <w:jc w:val="center"/>
              <w:rPr>
                <w:sz w:val="18"/>
                <w:szCs w:val="18"/>
              </w:rPr>
            </w:pPr>
            <w:r>
              <w:rPr>
                <w:sz w:val="18"/>
                <w:szCs w:val="18"/>
              </w:rPr>
              <w:t>光泽（60°）</w:t>
            </w:r>
            <w:r>
              <w:rPr>
                <w:rFonts w:hint="eastAsia"/>
                <w:sz w:val="18"/>
                <w:szCs w:val="18"/>
              </w:rPr>
              <w:t>≥</w:t>
            </w:r>
            <w:r>
              <w:rPr>
                <w:sz w:val="18"/>
                <w:szCs w:val="18"/>
              </w:rPr>
              <w:t>80，X＞580g/L</w:t>
            </w:r>
          </w:p>
          <w:p>
            <w:pPr>
              <w:adjustRightInd w:val="0"/>
              <w:spacing w:line="240" w:lineRule="atLeast"/>
              <w:jc w:val="center"/>
              <w:rPr>
                <w:sz w:val="18"/>
                <w:szCs w:val="18"/>
              </w:rPr>
            </w:pPr>
            <w:r>
              <w:rPr>
                <w:sz w:val="18"/>
                <w:szCs w:val="18"/>
              </w:rPr>
              <w:t>光泽（60°）＜80，X＞670g/L</w:t>
            </w:r>
          </w:p>
          <w:p>
            <w:pPr>
              <w:adjustRightInd w:val="0"/>
              <w:spacing w:line="240" w:lineRule="atLeast"/>
              <w:jc w:val="center"/>
              <w:rPr>
                <w:sz w:val="18"/>
                <w:szCs w:val="18"/>
              </w:rPr>
            </w:pPr>
            <w:r>
              <w:rPr>
                <w:sz w:val="18"/>
                <w:szCs w:val="18"/>
              </w:rPr>
              <w:t>聚氨酯类涂料底漆：</w:t>
            </w:r>
          </w:p>
          <w:p>
            <w:pPr>
              <w:adjustRightInd w:val="0"/>
              <w:spacing w:line="240" w:lineRule="atLeast"/>
              <w:jc w:val="center"/>
              <w:rPr>
                <w:sz w:val="18"/>
                <w:szCs w:val="18"/>
              </w:rPr>
            </w:pPr>
            <w:r>
              <w:rPr>
                <w:sz w:val="18"/>
                <w:szCs w:val="18"/>
              </w:rPr>
              <w:t>X＞670g/L</w:t>
            </w:r>
          </w:p>
          <w:p>
            <w:pPr>
              <w:adjustRightInd w:val="0"/>
              <w:spacing w:line="240" w:lineRule="atLeast"/>
              <w:jc w:val="center"/>
              <w:rPr>
                <w:sz w:val="18"/>
                <w:szCs w:val="18"/>
              </w:rPr>
            </w:pPr>
            <w:r>
              <w:rPr>
                <w:sz w:val="18"/>
                <w:szCs w:val="18"/>
              </w:rPr>
              <w:t>硝基类涂料：X＞720g/L</w:t>
            </w:r>
          </w:p>
          <w:p>
            <w:pPr>
              <w:adjustRightInd w:val="0"/>
              <w:spacing w:line="240" w:lineRule="atLeast"/>
              <w:jc w:val="center"/>
              <w:rPr>
                <w:sz w:val="18"/>
                <w:szCs w:val="18"/>
              </w:rPr>
            </w:pPr>
            <w:r>
              <w:rPr>
                <w:sz w:val="18"/>
                <w:szCs w:val="18"/>
              </w:rPr>
              <w:t>醇酸类涂料：X＞500g/L</w:t>
            </w:r>
          </w:p>
          <w:p>
            <w:pPr>
              <w:adjustRightInd w:val="0"/>
              <w:spacing w:line="240" w:lineRule="atLeast"/>
              <w:jc w:val="center"/>
              <w:rPr>
                <w:sz w:val="18"/>
                <w:szCs w:val="18"/>
              </w:rPr>
            </w:pPr>
            <w:r>
              <w:rPr>
                <w:sz w:val="18"/>
                <w:szCs w:val="18"/>
              </w:rPr>
              <w:t>腻子：</w:t>
            </w:r>
          </w:p>
          <w:p>
            <w:pPr>
              <w:adjustRightInd w:val="0"/>
              <w:spacing w:line="240" w:lineRule="atLeast"/>
              <w:jc w:val="center"/>
              <w:rPr>
                <w:sz w:val="18"/>
                <w:szCs w:val="18"/>
              </w:rPr>
            </w:pPr>
            <w:r>
              <w:rPr>
                <w:sz w:val="18"/>
                <w:szCs w:val="18"/>
              </w:rPr>
              <w:t xml:space="preserve">X＞550g/L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5" w:type="dxa"/>
            <w:vAlign w:val="center"/>
          </w:tcPr>
          <w:p>
            <w:pPr>
              <w:adjustRightInd w:val="0"/>
              <w:snapToGrid w:val="0"/>
              <w:spacing w:line="240" w:lineRule="atLeast"/>
              <w:jc w:val="center"/>
              <w:rPr>
                <w:sz w:val="18"/>
                <w:szCs w:val="18"/>
              </w:rPr>
            </w:pPr>
            <w:r>
              <w:rPr>
                <w:sz w:val="18"/>
                <w:szCs w:val="18"/>
              </w:rPr>
              <w:t>2</w:t>
            </w:r>
          </w:p>
        </w:tc>
        <w:tc>
          <w:tcPr>
            <w:tcW w:w="1332" w:type="dxa"/>
            <w:vAlign w:val="center"/>
          </w:tcPr>
          <w:p>
            <w:pPr>
              <w:adjustRightInd w:val="0"/>
              <w:snapToGrid w:val="0"/>
              <w:spacing w:line="240" w:lineRule="atLeast"/>
              <w:jc w:val="center"/>
              <w:rPr>
                <w:sz w:val="18"/>
                <w:szCs w:val="18"/>
              </w:rPr>
            </w:pPr>
            <w:r>
              <w:rPr>
                <w:sz w:val="18"/>
                <w:szCs w:val="18"/>
              </w:rPr>
              <w:t>苯含量</w:t>
            </w:r>
          </w:p>
        </w:tc>
        <w:tc>
          <w:tcPr>
            <w:tcW w:w="1782" w:type="dxa"/>
            <w:vAlign w:val="center"/>
          </w:tcPr>
          <w:p>
            <w:pPr>
              <w:adjustRightInd w:val="0"/>
              <w:spacing w:line="240" w:lineRule="atLeast"/>
              <w:jc w:val="center"/>
              <w:rPr>
                <w:sz w:val="18"/>
                <w:szCs w:val="18"/>
              </w:rPr>
            </w:pPr>
            <w:r>
              <w:rPr>
                <w:rFonts w:hint="eastAsia"/>
                <w:sz w:val="18"/>
                <w:szCs w:val="18"/>
              </w:rPr>
              <w:t>≤</w:t>
            </w:r>
            <w:r>
              <w:rPr>
                <w:sz w:val="18"/>
                <w:szCs w:val="18"/>
              </w:rPr>
              <w:t>0.3%</w:t>
            </w:r>
          </w:p>
        </w:tc>
        <w:tc>
          <w:tcPr>
            <w:tcW w:w="1908" w:type="dxa"/>
            <w:vAlign w:val="center"/>
          </w:tcPr>
          <w:p>
            <w:pPr>
              <w:adjustRightInd w:val="0"/>
              <w:spacing w:line="240" w:lineRule="atLeast"/>
              <w:jc w:val="center"/>
              <w:rPr>
                <w:sz w:val="18"/>
                <w:szCs w:val="18"/>
              </w:rPr>
            </w:pPr>
            <w:r>
              <w:rPr>
                <w:rFonts w:hint="eastAsia"/>
                <w:sz w:val="18"/>
                <w:szCs w:val="18"/>
              </w:rPr>
              <w:t>≤</w:t>
            </w:r>
            <w:r>
              <w:rPr>
                <w:sz w:val="18"/>
                <w:szCs w:val="18"/>
              </w:rPr>
              <w:t>0.3%</w:t>
            </w:r>
          </w:p>
        </w:tc>
        <w:tc>
          <w:tcPr>
            <w:tcW w:w="786" w:type="dxa"/>
            <w:vAlign w:val="center"/>
          </w:tcPr>
          <w:p>
            <w:pPr>
              <w:adjustRightInd w:val="0"/>
              <w:spacing w:line="240" w:lineRule="atLeast"/>
              <w:jc w:val="center"/>
              <w:rPr>
                <w:sz w:val="18"/>
                <w:szCs w:val="18"/>
              </w:rPr>
            </w:pPr>
            <w:r>
              <w:rPr>
                <w:rFonts w:hint="eastAsia"/>
                <w:sz w:val="18"/>
                <w:szCs w:val="18"/>
              </w:rPr>
              <w:t>/</w:t>
            </w:r>
          </w:p>
        </w:tc>
        <w:tc>
          <w:tcPr>
            <w:tcW w:w="850" w:type="dxa"/>
            <w:vAlign w:val="center"/>
          </w:tcPr>
          <w:p>
            <w:pPr>
              <w:adjustRightInd w:val="0"/>
              <w:spacing w:line="240" w:lineRule="atLeast"/>
              <w:jc w:val="center"/>
              <w:rPr>
                <w:sz w:val="18"/>
                <w:szCs w:val="18"/>
              </w:rPr>
            </w:pPr>
            <w:r>
              <w:rPr>
                <w:rFonts w:hint="eastAsia"/>
                <w:sz w:val="18"/>
                <w:szCs w:val="18"/>
              </w:rPr>
              <w:t>/</w:t>
            </w:r>
          </w:p>
        </w:tc>
        <w:tc>
          <w:tcPr>
            <w:tcW w:w="1843" w:type="dxa"/>
            <w:vAlign w:val="center"/>
          </w:tcPr>
          <w:p>
            <w:pPr>
              <w:adjustRightInd w:val="0"/>
              <w:spacing w:line="240" w:lineRule="atLeast"/>
              <w:jc w:val="center"/>
              <w:rPr>
                <w:sz w:val="18"/>
                <w:szCs w:val="18"/>
              </w:rPr>
            </w:pPr>
            <w:r>
              <w:rPr>
                <w:sz w:val="18"/>
                <w:szCs w:val="18"/>
              </w:rPr>
              <w:t>X＞ 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5" w:type="dxa"/>
            <w:vAlign w:val="center"/>
          </w:tcPr>
          <w:p>
            <w:pPr>
              <w:adjustRightInd w:val="0"/>
              <w:snapToGrid w:val="0"/>
              <w:spacing w:line="240" w:lineRule="atLeast"/>
              <w:jc w:val="center"/>
              <w:rPr>
                <w:sz w:val="18"/>
                <w:szCs w:val="18"/>
              </w:rPr>
            </w:pPr>
            <w:r>
              <w:rPr>
                <w:sz w:val="18"/>
                <w:szCs w:val="18"/>
              </w:rPr>
              <w:t>3</w:t>
            </w:r>
          </w:p>
        </w:tc>
        <w:tc>
          <w:tcPr>
            <w:tcW w:w="1332" w:type="dxa"/>
            <w:vAlign w:val="center"/>
          </w:tcPr>
          <w:p>
            <w:pPr>
              <w:adjustRightInd w:val="0"/>
              <w:snapToGrid w:val="0"/>
              <w:spacing w:line="240" w:lineRule="atLeast"/>
              <w:jc w:val="center"/>
              <w:rPr>
                <w:sz w:val="18"/>
                <w:szCs w:val="18"/>
              </w:rPr>
            </w:pPr>
            <w:r>
              <w:rPr>
                <w:sz w:val="18"/>
                <w:szCs w:val="18"/>
              </w:rPr>
              <w:t>甲苯、二甲苯、乙苯含量总和</w:t>
            </w:r>
          </w:p>
        </w:tc>
        <w:tc>
          <w:tcPr>
            <w:tcW w:w="1782" w:type="dxa"/>
            <w:vAlign w:val="center"/>
          </w:tcPr>
          <w:p>
            <w:pPr>
              <w:adjustRightInd w:val="0"/>
              <w:spacing w:line="240" w:lineRule="atLeast"/>
              <w:jc w:val="center"/>
              <w:rPr>
                <w:sz w:val="18"/>
                <w:szCs w:val="18"/>
              </w:rPr>
            </w:pPr>
            <w:r>
              <w:rPr>
                <w:sz w:val="18"/>
                <w:szCs w:val="18"/>
              </w:rPr>
              <w:t>聚氨酯类涂料、硝基类涂料、腻子：</w:t>
            </w:r>
            <w:r>
              <w:rPr>
                <w:rFonts w:hint="eastAsia"/>
                <w:sz w:val="18"/>
                <w:szCs w:val="18"/>
              </w:rPr>
              <w:t>≤</w:t>
            </w:r>
            <w:r>
              <w:rPr>
                <w:sz w:val="18"/>
                <w:szCs w:val="18"/>
              </w:rPr>
              <w:t>30%</w:t>
            </w:r>
          </w:p>
          <w:p>
            <w:pPr>
              <w:adjustRightInd w:val="0"/>
              <w:spacing w:line="240" w:lineRule="atLeast"/>
              <w:jc w:val="center"/>
              <w:rPr>
                <w:sz w:val="18"/>
                <w:szCs w:val="18"/>
              </w:rPr>
            </w:pPr>
            <w:r>
              <w:rPr>
                <w:sz w:val="18"/>
                <w:szCs w:val="18"/>
              </w:rPr>
              <w:t>醇酸类涂料：</w:t>
            </w:r>
            <w:r>
              <w:rPr>
                <w:rFonts w:hint="eastAsia"/>
                <w:sz w:val="18"/>
                <w:szCs w:val="18"/>
              </w:rPr>
              <w:t>≤</w:t>
            </w:r>
            <w:r>
              <w:rPr>
                <w:sz w:val="18"/>
                <w:szCs w:val="18"/>
              </w:rPr>
              <w:t>5%</w:t>
            </w:r>
          </w:p>
        </w:tc>
        <w:tc>
          <w:tcPr>
            <w:tcW w:w="1908" w:type="dxa"/>
            <w:vAlign w:val="center"/>
          </w:tcPr>
          <w:p>
            <w:pPr>
              <w:adjustRightInd w:val="0"/>
              <w:spacing w:line="240" w:lineRule="atLeast"/>
              <w:jc w:val="center"/>
              <w:rPr>
                <w:sz w:val="18"/>
                <w:szCs w:val="18"/>
              </w:rPr>
            </w:pPr>
            <w:r>
              <w:rPr>
                <w:sz w:val="18"/>
                <w:szCs w:val="18"/>
              </w:rPr>
              <w:t>聚氨酯类涂料、硝基类涂料、腻子：</w:t>
            </w:r>
            <w:r>
              <w:rPr>
                <w:rFonts w:hint="eastAsia"/>
                <w:sz w:val="18"/>
                <w:szCs w:val="18"/>
              </w:rPr>
              <w:t>≤</w:t>
            </w:r>
            <w:r>
              <w:rPr>
                <w:sz w:val="18"/>
                <w:szCs w:val="18"/>
              </w:rPr>
              <w:t>30%</w:t>
            </w:r>
          </w:p>
          <w:p>
            <w:pPr>
              <w:adjustRightInd w:val="0"/>
              <w:spacing w:line="240" w:lineRule="atLeast"/>
              <w:jc w:val="center"/>
              <w:rPr>
                <w:sz w:val="18"/>
                <w:szCs w:val="18"/>
              </w:rPr>
            </w:pPr>
            <w:r>
              <w:rPr>
                <w:sz w:val="18"/>
                <w:szCs w:val="18"/>
              </w:rPr>
              <w:t>醇酸类涂料：</w:t>
            </w:r>
            <w:r>
              <w:rPr>
                <w:rFonts w:hint="eastAsia"/>
                <w:sz w:val="18"/>
                <w:szCs w:val="18"/>
              </w:rPr>
              <w:t>≤</w:t>
            </w:r>
            <w:r>
              <w:rPr>
                <w:sz w:val="18"/>
                <w:szCs w:val="18"/>
              </w:rPr>
              <w:t>5%</w:t>
            </w:r>
          </w:p>
        </w:tc>
        <w:tc>
          <w:tcPr>
            <w:tcW w:w="786" w:type="dxa"/>
            <w:vAlign w:val="center"/>
          </w:tcPr>
          <w:p>
            <w:pPr>
              <w:adjustRightInd w:val="0"/>
              <w:spacing w:line="240" w:lineRule="atLeast"/>
              <w:jc w:val="center"/>
              <w:rPr>
                <w:sz w:val="18"/>
                <w:szCs w:val="18"/>
              </w:rPr>
            </w:pPr>
            <w:r>
              <w:rPr>
                <w:rFonts w:hint="eastAsia"/>
                <w:sz w:val="18"/>
                <w:szCs w:val="18"/>
              </w:rPr>
              <w:t>/</w:t>
            </w:r>
          </w:p>
        </w:tc>
        <w:tc>
          <w:tcPr>
            <w:tcW w:w="850" w:type="dxa"/>
            <w:vAlign w:val="center"/>
          </w:tcPr>
          <w:p>
            <w:pPr>
              <w:adjustRightInd w:val="0"/>
              <w:spacing w:line="240" w:lineRule="atLeast"/>
              <w:jc w:val="center"/>
              <w:rPr>
                <w:sz w:val="18"/>
                <w:szCs w:val="18"/>
              </w:rPr>
            </w:pPr>
            <w:r>
              <w:rPr>
                <w:rFonts w:hint="eastAsia"/>
                <w:sz w:val="18"/>
                <w:szCs w:val="18"/>
              </w:rPr>
              <w:t>/</w:t>
            </w:r>
          </w:p>
        </w:tc>
        <w:tc>
          <w:tcPr>
            <w:tcW w:w="1843" w:type="dxa"/>
            <w:vAlign w:val="center"/>
          </w:tcPr>
          <w:p>
            <w:pPr>
              <w:adjustRightInd w:val="0"/>
              <w:spacing w:line="240" w:lineRule="atLeast"/>
              <w:jc w:val="center"/>
              <w:rPr>
                <w:sz w:val="18"/>
                <w:szCs w:val="18"/>
              </w:rPr>
            </w:pPr>
            <w:r>
              <w:rPr>
                <w:sz w:val="18"/>
                <w:szCs w:val="18"/>
              </w:rPr>
              <w:t>聚氨酯类涂料、硝基类涂料、腻子：X＞30%</w:t>
            </w:r>
          </w:p>
          <w:p>
            <w:pPr>
              <w:adjustRightInd w:val="0"/>
              <w:spacing w:line="240" w:lineRule="atLeast"/>
              <w:jc w:val="center"/>
              <w:rPr>
                <w:sz w:val="18"/>
                <w:szCs w:val="18"/>
              </w:rPr>
            </w:pPr>
            <w:r>
              <w:rPr>
                <w:sz w:val="18"/>
                <w:szCs w:val="18"/>
              </w:rPr>
              <w:t>醇酸类涂料：X＞5%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5" w:type="dxa"/>
            <w:vAlign w:val="center"/>
          </w:tcPr>
          <w:p>
            <w:pPr>
              <w:adjustRightInd w:val="0"/>
              <w:snapToGrid w:val="0"/>
              <w:spacing w:line="240" w:lineRule="atLeast"/>
              <w:jc w:val="center"/>
              <w:rPr>
                <w:sz w:val="18"/>
                <w:szCs w:val="18"/>
              </w:rPr>
            </w:pPr>
            <w:r>
              <w:rPr>
                <w:sz w:val="18"/>
                <w:szCs w:val="18"/>
              </w:rPr>
              <w:t>4</w:t>
            </w:r>
          </w:p>
        </w:tc>
        <w:tc>
          <w:tcPr>
            <w:tcW w:w="1332" w:type="dxa"/>
            <w:vAlign w:val="center"/>
          </w:tcPr>
          <w:p>
            <w:pPr>
              <w:adjustRightInd w:val="0"/>
              <w:snapToGrid w:val="0"/>
              <w:spacing w:line="240" w:lineRule="atLeast"/>
              <w:jc w:val="center"/>
              <w:rPr>
                <w:sz w:val="18"/>
                <w:szCs w:val="18"/>
              </w:rPr>
            </w:pPr>
            <w:r>
              <w:rPr>
                <w:sz w:val="18"/>
                <w:szCs w:val="18"/>
              </w:rPr>
              <w:t>游离二异氰酸酯(TDI、HDI)含量总和（限聚氨酯类）</w:t>
            </w:r>
          </w:p>
        </w:tc>
        <w:tc>
          <w:tcPr>
            <w:tcW w:w="1782" w:type="dxa"/>
            <w:vAlign w:val="center"/>
          </w:tcPr>
          <w:p>
            <w:pPr>
              <w:adjustRightInd w:val="0"/>
              <w:spacing w:line="240" w:lineRule="atLeast"/>
              <w:jc w:val="center"/>
              <w:rPr>
                <w:sz w:val="18"/>
                <w:szCs w:val="18"/>
              </w:rPr>
            </w:pPr>
            <w:r>
              <w:rPr>
                <w:rFonts w:hint="eastAsia"/>
                <w:sz w:val="18"/>
                <w:szCs w:val="18"/>
              </w:rPr>
              <w:t>≤</w:t>
            </w:r>
            <w:r>
              <w:rPr>
                <w:sz w:val="18"/>
                <w:szCs w:val="18"/>
              </w:rPr>
              <w:t>0.4%</w:t>
            </w:r>
          </w:p>
        </w:tc>
        <w:tc>
          <w:tcPr>
            <w:tcW w:w="1908" w:type="dxa"/>
            <w:vAlign w:val="center"/>
          </w:tcPr>
          <w:p>
            <w:pPr>
              <w:adjustRightInd w:val="0"/>
              <w:spacing w:line="240" w:lineRule="atLeast"/>
              <w:jc w:val="center"/>
              <w:rPr>
                <w:sz w:val="18"/>
                <w:szCs w:val="18"/>
              </w:rPr>
            </w:pPr>
            <w:r>
              <w:rPr>
                <w:rFonts w:hint="eastAsia"/>
                <w:sz w:val="18"/>
                <w:szCs w:val="18"/>
              </w:rPr>
              <w:t>≤</w:t>
            </w:r>
            <w:r>
              <w:rPr>
                <w:sz w:val="18"/>
                <w:szCs w:val="18"/>
              </w:rPr>
              <w:t>0.4%</w:t>
            </w:r>
          </w:p>
        </w:tc>
        <w:tc>
          <w:tcPr>
            <w:tcW w:w="786" w:type="dxa"/>
            <w:vAlign w:val="center"/>
          </w:tcPr>
          <w:p>
            <w:pPr>
              <w:adjustRightInd w:val="0"/>
              <w:spacing w:line="240" w:lineRule="atLeast"/>
              <w:jc w:val="center"/>
              <w:rPr>
                <w:sz w:val="18"/>
                <w:szCs w:val="18"/>
              </w:rPr>
            </w:pPr>
            <w:r>
              <w:rPr>
                <w:rFonts w:hint="eastAsia"/>
                <w:sz w:val="18"/>
                <w:szCs w:val="18"/>
              </w:rPr>
              <w:t>/</w:t>
            </w:r>
          </w:p>
        </w:tc>
        <w:tc>
          <w:tcPr>
            <w:tcW w:w="850" w:type="dxa"/>
            <w:vAlign w:val="center"/>
          </w:tcPr>
          <w:p>
            <w:pPr>
              <w:adjustRightInd w:val="0"/>
              <w:spacing w:line="240" w:lineRule="atLeast"/>
              <w:jc w:val="center"/>
              <w:rPr>
                <w:sz w:val="18"/>
                <w:szCs w:val="18"/>
              </w:rPr>
            </w:pPr>
            <w:r>
              <w:rPr>
                <w:rFonts w:hint="eastAsia"/>
                <w:sz w:val="18"/>
                <w:szCs w:val="18"/>
              </w:rPr>
              <w:t>/</w:t>
            </w:r>
          </w:p>
        </w:tc>
        <w:tc>
          <w:tcPr>
            <w:tcW w:w="1843" w:type="dxa"/>
            <w:vAlign w:val="center"/>
          </w:tcPr>
          <w:p>
            <w:pPr>
              <w:adjustRightInd w:val="0"/>
              <w:spacing w:line="240" w:lineRule="atLeast"/>
              <w:jc w:val="center"/>
              <w:rPr>
                <w:sz w:val="18"/>
                <w:szCs w:val="18"/>
              </w:rPr>
            </w:pPr>
            <w:r>
              <w:rPr>
                <w:sz w:val="18"/>
                <w:szCs w:val="18"/>
              </w:rPr>
              <w:t>X＞ 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5" w:type="dxa"/>
            <w:vAlign w:val="center"/>
          </w:tcPr>
          <w:p>
            <w:pPr>
              <w:adjustRightInd w:val="0"/>
              <w:snapToGrid w:val="0"/>
              <w:spacing w:line="240" w:lineRule="atLeast"/>
              <w:jc w:val="center"/>
              <w:rPr>
                <w:sz w:val="18"/>
                <w:szCs w:val="18"/>
              </w:rPr>
            </w:pPr>
            <w:r>
              <w:rPr>
                <w:sz w:val="18"/>
                <w:szCs w:val="18"/>
              </w:rPr>
              <w:t>5</w:t>
            </w:r>
          </w:p>
        </w:tc>
        <w:tc>
          <w:tcPr>
            <w:tcW w:w="1332" w:type="dxa"/>
            <w:vAlign w:val="center"/>
          </w:tcPr>
          <w:p>
            <w:pPr>
              <w:adjustRightInd w:val="0"/>
              <w:snapToGrid w:val="0"/>
              <w:spacing w:line="240" w:lineRule="atLeast"/>
              <w:jc w:val="center"/>
              <w:rPr>
                <w:sz w:val="18"/>
                <w:szCs w:val="18"/>
              </w:rPr>
            </w:pPr>
            <w:r>
              <w:rPr>
                <w:sz w:val="18"/>
                <w:szCs w:val="18"/>
              </w:rPr>
              <w:t>甲醇含量（限硝基类）</w:t>
            </w:r>
          </w:p>
        </w:tc>
        <w:tc>
          <w:tcPr>
            <w:tcW w:w="1782" w:type="dxa"/>
            <w:vAlign w:val="center"/>
          </w:tcPr>
          <w:p>
            <w:pPr>
              <w:adjustRightInd w:val="0"/>
              <w:spacing w:line="240" w:lineRule="atLeast"/>
              <w:jc w:val="center"/>
              <w:rPr>
                <w:sz w:val="18"/>
                <w:szCs w:val="18"/>
              </w:rPr>
            </w:pPr>
            <w:r>
              <w:rPr>
                <w:rFonts w:hint="eastAsia"/>
                <w:sz w:val="18"/>
                <w:szCs w:val="18"/>
              </w:rPr>
              <w:t>≤</w:t>
            </w:r>
            <w:r>
              <w:rPr>
                <w:sz w:val="18"/>
                <w:szCs w:val="18"/>
              </w:rPr>
              <w:t>0.3%</w:t>
            </w:r>
          </w:p>
        </w:tc>
        <w:tc>
          <w:tcPr>
            <w:tcW w:w="1908" w:type="dxa"/>
            <w:vAlign w:val="center"/>
          </w:tcPr>
          <w:p>
            <w:pPr>
              <w:adjustRightInd w:val="0"/>
              <w:spacing w:line="240" w:lineRule="atLeast"/>
              <w:jc w:val="center"/>
              <w:rPr>
                <w:sz w:val="18"/>
                <w:szCs w:val="18"/>
              </w:rPr>
            </w:pPr>
            <w:r>
              <w:rPr>
                <w:rFonts w:hint="eastAsia"/>
                <w:sz w:val="18"/>
                <w:szCs w:val="18"/>
              </w:rPr>
              <w:t>≤</w:t>
            </w:r>
            <w:r>
              <w:rPr>
                <w:sz w:val="18"/>
                <w:szCs w:val="18"/>
              </w:rPr>
              <w:t>0.3%</w:t>
            </w:r>
          </w:p>
        </w:tc>
        <w:tc>
          <w:tcPr>
            <w:tcW w:w="786" w:type="dxa"/>
            <w:vAlign w:val="center"/>
          </w:tcPr>
          <w:p>
            <w:pPr>
              <w:adjustRightInd w:val="0"/>
              <w:spacing w:line="240" w:lineRule="atLeast"/>
              <w:jc w:val="center"/>
              <w:rPr>
                <w:sz w:val="18"/>
                <w:szCs w:val="18"/>
              </w:rPr>
            </w:pPr>
            <w:r>
              <w:rPr>
                <w:rFonts w:hint="eastAsia"/>
                <w:sz w:val="18"/>
                <w:szCs w:val="18"/>
              </w:rPr>
              <w:t>/</w:t>
            </w:r>
          </w:p>
        </w:tc>
        <w:tc>
          <w:tcPr>
            <w:tcW w:w="850" w:type="dxa"/>
            <w:vAlign w:val="center"/>
          </w:tcPr>
          <w:p>
            <w:pPr>
              <w:adjustRightInd w:val="0"/>
              <w:spacing w:line="240" w:lineRule="atLeast"/>
              <w:jc w:val="center"/>
              <w:rPr>
                <w:sz w:val="18"/>
                <w:szCs w:val="18"/>
              </w:rPr>
            </w:pPr>
            <w:r>
              <w:rPr>
                <w:rFonts w:hint="eastAsia"/>
                <w:sz w:val="18"/>
                <w:szCs w:val="18"/>
              </w:rPr>
              <w:t>/</w:t>
            </w:r>
          </w:p>
        </w:tc>
        <w:tc>
          <w:tcPr>
            <w:tcW w:w="1843" w:type="dxa"/>
            <w:vAlign w:val="center"/>
          </w:tcPr>
          <w:p>
            <w:pPr>
              <w:adjustRightInd w:val="0"/>
              <w:spacing w:line="240" w:lineRule="atLeast"/>
              <w:jc w:val="center"/>
              <w:rPr>
                <w:sz w:val="18"/>
                <w:szCs w:val="18"/>
              </w:rPr>
            </w:pPr>
            <w:r>
              <w:rPr>
                <w:sz w:val="18"/>
                <w:szCs w:val="18"/>
              </w:rPr>
              <w:t>X＞ 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5" w:type="dxa"/>
            <w:vAlign w:val="center"/>
          </w:tcPr>
          <w:p>
            <w:pPr>
              <w:adjustRightInd w:val="0"/>
              <w:snapToGrid w:val="0"/>
              <w:spacing w:line="240" w:lineRule="atLeast"/>
              <w:jc w:val="center"/>
              <w:rPr>
                <w:sz w:val="18"/>
                <w:szCs w:val="18"/>
              </w:rPr>
            </w:pPr>
            <w:r>
              <w:rPr>
                <w:sz w:val="18"/>
                <w:szCs w:val="18"/>
              </w:rPr>
              <w:t>6</w:t>
            </w:r>
          </w:p>
        </w:tc>
        <w:tc>
          <w:tcPr>
            <w:tcW w:w="1332" w:type="dxa"/>
            <w:vAlign w:val="center"/>
          </w:tcPr>
          <w:p>
            <w:pPr>
              <w:adjustRightInd w:val="0"/>
              <w:snapToGrid w:val="0"/>
              <w:spacing w:line="240" w:lineRule="atLeast"/>
              <w:jc w:val="center"/>
              <w:rPr>
                <w:sz w:val="18"/>
                <w:szCs w:val="18"/>
              </w:rPr>
            </w:pPr>
            <w:r>
              <w:rPr>
                <w:sz w:val="18"/>
                <w:szCs w:val="18"/>
              </w:rPr>
              <w:t>卤代烃含量</w:t>
            </w:r>
          </w:p>
        </w:tc>
        <w:tc>
          <w:tcPr>
            <w:tcW w:w="1782" w:type="dxa"/>
            <w:vAlign w:val="center"/>
          </w:tcPr>
          <w:p>
            <w:pPr>
              <w:adjustRightInd w:val="0"/>
              <w:spacing w:line="240" w:lineRule="atLeast"/>
              <w:jc w:val="center"/>
              <w:rPr>
                <w:sz w:val="18"/>
                <w:szCs w:val="18"/>
              </w:rPr>
            </w:pPr>
            <w:r>
              <w:rPr>
                <w:rFonts w:hint="eastAsia"/>
                <w:sz w:val="18"/>
                <w:szCs w:val="18"/>
              </w:rPr>
              <w:t>≤</w:t>
            </w:r>
            <w:r>
              <w:rPr>
                <w:sz w:val="18"/>
                <w:szCs w:val="18"/>
              </w:rPr>
              <w:t>0.1%</w:t>
            </w:r>
          </w:p>
        </w:tc>
        <w:tc>
          <w:tcPr>
            <w:tcW w:w="1908" w:type="dxa"/>
            <w:vAlign w:val="center"/>
          </w:tcPr>
          <w:p>
            <w:pPr>
              <w:adjustRightInd w:val="0"/>
              <w:spacing w:line="240" w:lineRule="atLeast"/>
              <w:jc w:val="center"/>
              <w:rPr>
                <w:sz w:val="18"/>
                <w:szCs w:val="18"/>
              </w:rPr>
            </w:pPr>
            <w:r>
              <w:rPr>
                <w:rFonts w:hint="eastAsia"/>
                <w:sz w:val="18"/>
                <w:szCs w:val="18"/>
              </w:rPr>
              <w:t>≤</w:t>
            </w:r>
            <w:r>
              <w:rPr>
                <w:sz w:val="18"/>
                <w:szCs w:val="18"/>
              </w:rPr>
              <w:t>0.1%</w:t>
            </w:r>
          </w:p>
        </w:tc>
        <w:tc>
          <w:tcPr>
            <w:tcW w:w="786" w:type="dxa"/>
            <w:vAlign w:val="center"/>
          </w:tcPr>
          <w:p>
            <w:pPr>
              <w:adjustRightInd w:val="0"/>
              <w:spacing w:line="240" w:lineRule="atLeast"/>
              <w:jc w:val="center"/>
              <w:rPr>
                <w:sz w:val="18"/>
                <w:szCs w:val="18"/>
              </w:rPr>
            </w:pPr>
            <w:r>
              <w:rPr>
                <w:rFonts w:hint="eastAsia"/>
                <w:sz w:val="18"/>
                <w:szCs w:val="18"/>
              </w:rPr>
              <w:t>/</w:t>
            </w:r>
          </w:p>
        </w:tc>
        <w:tc>
          <w:tcPr>
            <w:tcW w:w="850" w:type="dxa"/>
            <w:vAlign w:val="center"/>
          </w:tcPr>
          <w:p>
            <w:pPr>
              <w:adjustRightInd w:val="0"/>
              <w:spacing w:line="240" w:lineRule="atLeast"/>
              <w:jc w:val="center"/>
              <w:rPr>
                <w:sz w:val="18"/>
                <w:szCs w:val="18"/>
              </w:rPr>
            </w:pPr>
            <w:r>
              <w:rPr>
                <w:rFonts w:hint="eastAsia"/>
                <w:sz w:val="18"/>
                <w:szCs w:val="18"/>
              </w:rPr>
              <w:t>/</w:t>
            </w:r>
          </w:p>
        </w:tc>
        <w:tc>
          <w:tcPr>
            <w:tcW w:w="1843" w:type="dxa"/>
            <w:vAlign w:val="center"/>
          </w:tcPr>
          <w:p>
            <w:pPr>
              <w:adjustRightInd w:val="0"/>
              <w:spacing w:line="240" w:lineRule="atLeast"/>
              <w:jc w:val="center"/>
              <w:rPr>
                <w:sz w:val="18"/>
                <w:szCs w:val="18"/>
              </w:rPr>
            </w:pPr>
            <w:r>
              <w:rPr>
                <w:sz w:val="18"/>
                <w:szCs w:val="18"/>
              </w:rPr>
              <w:t>X＞ 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5" w:type="dxa"/>
            <w:vAlign w:val="center"/>
          </w:tcPr>
          <w:p>
            <w:pPr>
              <w:adjustRightInd w:val="0"/>
              <w:snapToGrid w:val="0"/>
              <w:spacing w:line="240" w:lineRule="atLeast"/>
              <w:jc w:val="center"/>
              <w:rPr>
                <w:sz w:val="18"/>
                <w:szCs w:val="18"/>
              </w:rPr>
            </w:pPr>
            <w:r>
              <w:rPr>
                <w:sz w:val="18"/>
                <w:szCs w:val="18"/>
              </w:rPr>
              <w:t>7</w:t>
            </w:r>
          </w:p>
        </w:tc>
        <w:tc>
          <w:tcPr>
            <w:tcW w:w="1332" w:type="dxa"/>
            <w:vAlign w:val="center"/>
          </w:tcPr>
          <w:p>
            <w:pPr>
              <w:snapToGrid w:val="0"/>
              <w:spacing w:line="240" w:lineRule="atLeast"/>
              <w:jc w:val="center"/>
              <w:rPr>
                <w:sz w:val="18"/>
                <w:szCs w:val="18"/>
              </w:rPr>
            </w:pPr>
            <w:r>
              <w:rPr>
                <w:sz w:val="18"/>
                <w:szCs w:val="18"/>
              </w:rPr>
              <w:t>可溶性重金属</w:t>
            </w:r>
            <w:r>
              <w:rPr>
                <w:rFonts w:hint="eastAsia"/>
                <w:sz w:val="18"/>
                <w:szCs w:val="18"/>
              </w:rPr>
              <w:t>（限色漆）</w:t>
            </w:r>
          </w:p>
        </w:tc>
        <w:tc>
          <w:tcPr>
            <w:tcW w:w="1782" w:type="dxa"/>
            <w:vAlign w:val="center"/>
          </w:tcPr>
          <w:p>
            <w:pPr>
              <w:adjustRightInd w:val="0"/>
              <w:spacing w:line="240" w:lineRule="atLeast"/>
              <w:jc w:val="center"/>
              <w:rPr>
                <w:sz w:val="18"/>
                <w:szCs w:val="18"/>
              </w:rPr>
            </w:pPr>
            <w:r>
              <w:rPr>
                <w:sz w:val="18"/>
                <w:szCs w:val="18"/>
              </w:rPr>
              <w:t>铅（Pb）</w:t>
            </w:r>
            <w:r>
              <w:rPr>
                <w:rFonts w:hint="eastAsia"/>
                <w:sz w:val="18"/>
                <w:szCs w:val="18"/>
              </w:rPr>
              <w:t>≤</w:t>
            </w:r>
            <w:r>
              <w:rPr>
                <w:sz w:val="18"/>
                <w:szCs w:val="18"/>
              </w:rPr>
              <w:t>90 mg/kg</w:t>
            </w:r>
          </w:p>
          <w:p>
            <w:pPr>
              <w:adjustRightInd w:val="0"/>
              <w:spacing w:line="240" w:lineRule="atLeast"/>
              <w:jc w:val="center"/>
              <w:rPr>
                <w:sz w:val="18"/>
                <w:szCs w:val="18"/>
              </w:rPr>
            </w:pPr>
            <w:r>
              <w:rPr>
                <w:sz w:val="18"/>
                <w:szCs w:val="18"/>
              </w:rPr>
              <w:t>镉（Cd）</w:t>
            </w:r>
            <w:r>
              <w:rPr>
                <w:rFonts w:hint="eastAsia"/>
                <w:sz w:val="18"/>
                <w:szCs w:val="18"/>
              </w:rPr>
              <w:t>≤</w:t>
            </w:r>
            <w:r>
              <w:rPr>
                <w:sz w:val="18"/>
                <w:szCs w:val="18"/>
              </w:rPr>
              <w:t>75 mg/kg</w:t>
            </w:r>
          </w:p>
          <w:p>
            <w:pPr>
              <w:adjustRightInd w:val="0"/>
              <w:spacing w:line="240" w:lineRule="atLeast"/>
              <w:jc w:val="center"/>
              <w:rPr>
                <w:sz w:val="18"/>
                <w:szCs w:val="18"/>
              </w:rPr>
            </w:pPr>
            <w:r>
              <w:rPr>
                <w:sz w:val="18"/>
                <w:szCs w:val="18"/>
              </w:rPr>
              <w:t>铬（Cr）</w:t>
            </w:r>
            <w:r>
              <w:rPr>
                <w:rFonts w:hint="eastAsia"/>
                <w:sz w:val="18"/>
                <w:szCs w:val="18"/>
              </w:rPr>
              <w:t>≤</w:t>
            </w:r>
            <w:r>
              <w:rPr>
                <w:sz w:val="18"/>
                <w:szCs w:val="18"/>
              </w:rPr>
              <w:t>60 mg/kg</w:t>
            </w:r>
          </w:p>
          <w:p>
            <w:pPr>
              <w:adjustRightInd w:val="0"/>
              <w:spacing w:line="240" w:lineRule="atLeast"/>
              <w:jc w:val="center"/>
              <w:rPr>
                <w:sz w:val="18"/>
                <w:szCs w:val="18"/>
              </w:rPr>
            </w:pPr>
            <w:r>
              <w:rPr>
                <w:sz w:val="18"/>
                <w:szCs w:val="18"/>
              </w:rPr>
              <w:t>汞（Hg）</w:t>
            </w:r>
            <w:r>
              <w:rPr>
                <w:rFonts w:hint="eastAsia"/>
                <w:sz w:val="18"/>
                <w:szCs w:val="18"/>
              </w:rPr>
              <w:t>≤</w:t>
            </w:r>
            <w:r>
              <w:rPr>
                <w:sz w:val="18"/>
                <w:szCs w:val="18"/>
              </w:rPr>
              <w:t>60 mg/kg</w:t>
            </w:r>
          </w:p>
        </w:tc>
        <w:tc>
          <w:tcPr>
            <w:tcW w:w="1908" w:type="dxa"/>
            <w:vAlign w:val="center"/>
          </w:tcPr>
          <w:p>
            <w:pPr>
              <w:adjustRightInd w:val="0"/>
              <w:spacing w:line="240" w:lineRule="atLeast"/>
              <w:jc w:val="center"/>
              <w:rPr>
                <w:sz w:val="18"/>
                <w:szCs w:val="18"/>
              </w:rPr>
            </w:pPr>
            <w:r>
              <w:rPr>
                <w:sz w:val="18"/>
                <w:szCs w:val="18"/>
              </w:rPr>
              <w:t>铅（Pb）</w:t>
            </w:r>
            <w:r>
              <w:rPr>
                <w:rFonts w:hint="eastAsia"/>
                <w:sz w:val="18"/>
                <w:szCs w:val="18"/>
              </w:rPr>
              <w:t>≤</w:t>
            </w:r>
            <w:r>
              <w:rPr>
                <w:sz w:val="18"/>
                <w:szCs w:val="18"/>
              </w:rPr>
              <w:t>90 mg/kg</w:t>
            </w:r>
          </w:p>
          <w:p>
            <w:pPr>
              <w:adjustRightInd w:val="0"/>
              <w:spacing w:line="240" w:lineRule="atLeast"/>
              <w:jc w:val="center"/>
              <w:rPr>
                <w:sz w:val="18"/>
                <w:szCs w:val="18"/>
              </w:rPr>
            </w:pPr>
            <w:r>
              <w:rPr>
                <w:sz w:val="18"/>
                <w:szCs w:val="18"/>
              </w:rPr>
              <w:t>镉（Cd）</w:t>
            </w:r>
            <w:r>
              <w:rPr>
                <w:rFonts w:hint="eastAsia"/>
                <w:sz w:val="18"/>
                <w:szCs w:val="18"/>
              </w:rPr>
              <w:t>≤</w:t>
            </w:r>
            <w:r>
              <w:rPr>
                <w:sz w:val="18"/>
                <w:szCs w:val="18"/>
              </w:rPr>
              <w:t>75 mg/kg</w:t>
            </w:r>
          </w:p>
          <w:p>
            <w:pPr>
              <w:adjustRightInd w:val="0"/>
              <w:spacing w:line="240" w:lineRule="atLeast"/>
              <w:jc w:val="center"/>
              <w:rPr>
                <w:sz w:val="18"/>
                <w:szCs w:val="18"/>
              </w:rPr>
            </w:pPr>
            <w:r>
              <w:rPr>
                <w:sz w:val="18"/>
                <w:szCs w:val="18"/>
              </w:rPr>
              <w:t>铬（Cr）</w:t>
            </w:r>
            <w:r>
              <w:rPr>
                <w:rFonts w:hint="eastAsia"/>
                <w:sz w:val="18"/>
                <w:szCs w:val="18"/>
              </w:rPr>
              <w:t>≤</w:t>
            </w:r>
            <w:r>
              <w:rPr>
                <w:sz w:val="18"/>
                <w:szCs w:val="18"/>
              </w:rPr>
              <w:t>60 mg/kg</w:t>
            </w:r>
          </w:p>
          <w:p>
            <w:pPr>
              <w:adjustRightInd w:val="0"/>
              <w:spacing w:line="240" w:lineRule="atLeast"/>
              <w:jc w:val="center"/>
              <w:rPr>
                <w:sz w:val="18"/>
                <w:szCs w:val="18"/>
              </w:rPr>
            </w:pPr>
            <w:r>
              <w:rPr>
                <w:sz w:val="18"/>
                <w:szCs w:val="18"/>
              </w:rPr>
              <w:t>汞（Hg）</w:t>
            </w:r>
            <w:r>
              <w:rPr>
                <w:rFonts w:hint="eastAsia"/>
                <w:sz w:val="18"/>
                <w:szCs w:val="18"/>
              </w:rPr>
              <w:t>≤</w:t>
            </w:r>
            <w:r>
              <w:rPr>
                <w:sz w:val="18"/>
                <w:szCs w:val="18"/>
              </w:rPr>
              <w:t>60 mg/kg</w:t>
            </w:r>
          </w:p>
        </w:tc>
        <w:tc>
          <w:tcPr>
            <w:tcW w:w="786" w:type="dxa"/>
            <w:vAlign w:val="center"/>
          </w:tcPr>
          <w:p>
            <w:pPr>
              <w:adjustRightInd w:val="0"/>
              <w:spacing w:line="240" w:lineRule="atLeast"/>
              <w:jc w:val="center"/>
              <w:rPr>
                <w:sz w:val="18"/>
                <w:szCs w:val="18"/>
              </w:rPr>
            </w:pPr>
            <w:r>
              <w:rPr>
                <w:rFonts w:hint="eastAsia"/>
                <w:sz w:val="18"/>
                <w:szCs w:val="18"/>
              </w:rPr>
              <w:t>/</w:t>
            </w:r>
          </w:p>
        </w:tc>
        <w:tc>
          <w:tcPr>
            <w:tcW w:w="850" w:type="dxa"/>
            <w:vAlign w:val="center"/>
          </w:tcPr>
          <w:p>
            <w:pPr>
              <w:adjustRightInd w:val="0"/>
              <w:spacing w:line="240" w:lineRule="atLeast"/>
              <w:jc w:val="center"/>
              <w:rPr>
                <w:sz w:val="18"/>
                <w:szCs w:val="18"/>
              </w:rPr>
            </w:pPr>
            <w:r>
              <w:rPr>
                <w:rFonts w:hint="eastAsia"/>
                <w:sz w:val="18"/>
                <w:szCs w:val="18"/>
              </w:rPr>
              <w:t>/</w:t>
            </w:r>
          </w:p>
        </w:tc>
        <w:tc>
          <w:tcPr>
            <w:tcW w:w="1843" w:type="dxa"/>
            <w:vAlign w:val="center"/>
          </w:tcPr>
          <w:p>
            <w:pPr>
              <w:adjustRightInd w:val="0"/>
              <w:spacing w:line="240" w:lineRule="atLeast"/>
              <w:jc w:val="center"/>
              <w:rPr>
                <w:sz w:val="18"/>
                <w:szCs w:val="18"/>
              </w:rPr>
            </w:pPr>
            <w:r>
              <w:rPr>
                <w:sz w:val="18"/>
                <w:szCs w:val="18"/>
              </w:rPr>
              <w:t>铅（Pb）X＞90 mg/kg</w:t>
            </w:r>
          </w:p>
          <w:p>
            <w:pPr>
              <w:adjustRightInd w:val="0"/>
              <w:spacing w:line="240" w:lineRule="atLeast"/>
              <w:jc w:val="center"/>
              <w:rPr>
                <w:sz w:val="18"/>
                <w:szCs w:val="18"/>
              </w:rPr>
            </w:pPr>
            <w:r>
              <w:rPr>
                <w:sz w:val="18"/>
                <w:szCs w:val="18"/>
              </w:rPr>
              <w:t>镉（Cd）X＞75 mg/kg</w:t>
            </w:r>
          </w:p>
          <w:p>
            <w:pPr>
              <w:adjustRightInd w:val="0"/>
              <w:spacing w:line="240" w:lineRule="atLeast"/>
              <w:jc w:val="center"/>
              <w:rPr>
                <w:sz w:val="18"/>
                <w:szCs w:val="18"/>
              </w:rPr>
            </w:pPr>
            <w:r>
              <w:rPr>
                <w:sz w:val="18"/>
                <w:szCs w:val="18"/>
              </w:rPr>
              <w:t>铬（Cr）X＞60 mg/kg</w:t>
            </w:r>
          </w:p>
          <w:p>
            <w:pPr>
              <w:adjustRightInd w:val="0"/>
              <w:spacing w:line="240" w:lineRule="atLeast"/>
              <w:jc w:val="center"/>
              <w:rPr>
                <w:sz w:val="18"/>
                <w:szCs w:val="18"/>
              </w:rPr>
            </w:pPr>
            <w:r>
              <w:rPr>
                <w:sz w:val="18"/>
                <w:szCs w:val="18"/>
              </w:rPr>
              <w:t>汞（Hg）X＞60 mg/kg</w:t>
            </w:r>
          </w:p>
        </w:tc>
      </w:tr>
    </w:tbl>
    <w:p>
      <w:pPr>
        <w:ind w:firstLine="640" w:firstLineChars="200"/>
        <w:rPr>
          <w:rFonts w:hint="eastAsia" w:eastAsia="楷体_GB2312"/>
          <w:szCs w:val="32"/>
        </w:rPr>
      </w:pPr>
    </w:p>
    <w:p>
      <w:pPr>
        <w:ind w:firstLine="640" w:firstLineChars="200"/>
        <w:rPr>
          <w:rFonts w:eastAsia="楷体_GB2312"/>
          <w:szCs w:val="32"/>
        </w:rPr>
      </w:pPr>
      <w:r>
        <w:rPr>
          <w:rFonts w:hint="eastAsia" w:eastAsia="楷体_GB2312"/>
          <w:szCs w:val="32"/>
        </w:rPr>
        <w:t>2</w:t>
      </w:r>
      <w:r>
        <w:rPr>
          <w:rFonts w:hint="eastAsia" w:eastAsia="楷体_GB2312"/>
          <w:szCs w:val="32"/>
          <w:lang w:eastAsia="zh-CN"/>
        </w:rPr>
        <w:t>．</w:t>
      </w:r>
      <w:r>
        <w:rPr>
          <w:rFonts w:hint="eastAsia" w:eastAsia="楷体_GB2312"/>
          <w:szCs w:val="32"/>
        </w:rPr>
        <w:t>合成树脂乳液内墙涂料（面漆）</w:t>
      </w:r>
    </w:p>
    <w:tbl>
      <w:tblPr>
        <w:tblStyle w:val="3"/>
        <w:tblW w:w="910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
        <w:gridCol w:w="1540"/>
        <w:gridCol w:w="1860"/>
        <w:gridCol w:w="1750"/>
        <w:gridCol w:w="897"/>
        <w:gridCol w:w="850"/>
        <w:gridCol w:w="17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8" w:hRule="atLeast"/>
          <w:tblHeader/>
          <w:jc w:val="center"/>
        </w:trPr>
        <w:tc>
          <w:tcPr>
            <w:tcW w:w="4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 w:val="18"/>
                <w:szCs w:val="18"/>
              </w:rPr>
            </w:pPr>
            <w:r>
              <w:rPr>
                <w:sz w:val="18"/>
                <w:szCs w:val="18"/>
              </w:rPr>
              <w:t>序号</w:t>
            </w:r>
          </w:p>
        </w:tc>
        <w:tc>
          <w:tcPr>
            <w:tcW w:w="15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 w:val="18"/>
                <w:szCs w:val="18"/>
              </w:rPr>
            </w:pPr>
            <w:r>
              <w:rPr>
                <w:sz w:val="18"/>
                <w:szCs w:val="18"/>
              </w:rPr>
              <w:t>检验项目</w:t>
            </w:r>
          </w:p>
        </w:tc>
        <w:tc>
          <w:tcPr>
            <w:tcW w:w="18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 w:val="18"/>
                <w:szCs w:val="18"/>
              </w:rPr>
            </w:pPr>
            <w:r>
              <w:rPr>
                <w:sz w:val="18"/>
                <w:szCs w:val="18"/>
              </w:rPr>
              <w:t>标准要求</w:t>
            </w:r>
          </w:p>
        </w:tc>
        <w:tc>
          <w:tcPr>
            <w:tcW w:w="1750" w:type="dxa"/>
            <w:tcBorders>
              <w:top w:val="single" w:color="auto" w:sz="4" w:space="0"/>
              <w:left w:val="single" w:color="auto" w:sz="4" w:space="0"/>
              <w:bottom w:val="single" w:color="auto" w:sz="4" w:space="0"/>
              <w:right w:val="single" w:color="auto" w:sz="4" w:space="0"/>
            </w:tcBorders>
            <w:vAlign w:val="center"/>
          </w:tcPr>
          <w:p>
            <w:pPr>
              <w:adjustRightInd w:val="0"/>
              <w:spacing w:line="240" w:lineRule="atLeast"/>
              <w:jc w:val="center"/>
              <w:rPr>
                <w:sz w:val="18"/>
                <w:szCs w:val="18"/>
              </w:rPr>
            </w:pPr>
            <w:r>
              <w:rPr>
                <w:sz w:val="18"/>
                <w:szCs w:val="18"/>
              </w:rPr>
              <w:t>样本合格</w:t>
            </w:r>
          </w:p>
        </w:tc>
        <w:tc>
          <w:tcPr>
            <w:tcW w:w="897" w:type="dxa"/>
            <w:tcBorders>
              <w:top w:val="single" w:color="auto" w:sz="4" w:space="0"/>
              <w:left w:val="single" w:color="auto" w:sz="4" w:space="0"/>
              <w:bottom w:val="single" w:color="auto" w:sz="4" w:space="0"/>
              <w:right w:val="single" w:color="auto" w:sz="4" w:space="0"/>
            </w:tcBorders>
            <w:vAlign w:val="center"/>
          </w:tcPr>
          <w:p>
            <w:pPr>
              <w:adjustRightInd w:val="0"/>
              <w:spacing w:line="240" w:lineRule="atLeast"/>
              <w:jc w:val="center"/>
              <w:rPr>
                <w:sz w:val="18"/>
                <w:szCs w:val="18"/>
              </w:rPr>
            </w:pPr>
            <w:r>
              <w:rPr>
                <w:sz w:val="18"/>
                <w:szCs w:val="18"/>
              </w:rPr>
              <w:t>轻微不合格</w:t>
            </w:r>
          </w:p>
        </w:tc>
        <w:tc>
          <w:tcPr>
            <w:tcW w:w="850" w:type="dxa"/>
            <w:tcBorders>
              <w:top w:val="single" w:color="auto" w:sz="4" w:space="0"/>
              <w:left w:val="single" w:color="auto" w:sz="4" w:space="0"/>
              <w:right w:val="single" w:color="auto" w:sz="4" w:space="0"/>
            </w:tcBorders>
            <w:vAlign w:val="center"/>
          </w:tcPr>
          <w:p>
            <w:pPr>
              <w:adjustRightInd w:val="0"/>
              <w:spacing w:line="240" w:lineRule="atLeast"/>
              <w:jc w:val="center"/>
              <w:rPr>
                <w:sz w:val="18"/>
                <w:szCs w:val="18"/>
              </w:rPr>
            </w:pPr>
            <w:r>
              <w:rPr>
                <w:sz w:val="18"/>
                <w:szCs w:val="18"/>
              </w:rPr>
              <w:t>较严重不合格</w:t>
            </w:r>
          </w:p>
        </w:tc>
        <w:tc>
          <w:tcPr>
            <w:tcW w:w="1760" w:type="dxa"/>
            <w:tcBorders>
              <w:top w:val="single" w:color="auto" w:sz="4" w:space="0"/>
              <w:left w:val="single" w:color="auto" w:sz="4" w:space="0"/>
              <w:right w:val="single" w:color="auto" w:sz="4" w:space="0"/>
            </w:tcBorders>
            <w:vAlign w:val="center"/>
          </w:tcPr>
          <w:p>
            <w:pPr>
              <w:adjustRightInd w:val="0"/>
              <w:spacing w:line="240" w:lineRule="atLeast"/>
              <w:jc w:val="center"/>
              <w:rPr>
                <w:sz w:val="18"/>
                <w:szCs w:val="18"/>
              </w:rPr>
            </w:pPr>
            <w:r>
              <w:rPr>
                <w:sz w:val="18"/>
                <w:szCs w:val="18"/>
              </w:rPr>
              <w:t>严重不合格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450" w:type="dxa"/>
            <w:vAlign w:val="center"/>
          </w:tcPr>
          <w:p>
            <w:pPr>
              <w:adjustRightInd w:val="0"/>
              <w:snapToGrid w:val="0"/>
              <w:spacing w:line="240" w:lineRule="atLeast"/>
              <w:jc w:val="center"/>
              <w:rPr>
                <w:sz w:val="18"/>
                <w:szCs w:val="18"/>
              </w:rPr>
            </w:pPr>
            <w:r>
              <w:rPr>
                <w:sz w:val="18"/>
                <w:szCs w:val="18"/>
              </w:rPr>
              <w:t>1</w:t>
            </w:r>
          </w:p>
        </w:tc>
        <w:tc>
          <w:tcPr>
            <w:tcW w:w="1540" w:type="dxa"/>
            <w:vAlign w:val="center"/>
          </w:tcPr>
          <w:p>
            <w:pPr>
              <w:adjustRightInd w:val="0"/>
              <w:snapToGrid w:val="0"/>
              <w:spacing w:line="240" w:lineRule="atLeast"/>
              <w:jc w:val="center"/>
              <w:rPr>
                <w:sz w:val="18"/>
                <w:szCs w:val="18"/>
              </w:rPr>
            </w:pPr>
            <w:r>
              <w:rPr>
                <w:sz w:val="18"/>
                <w:szCs w:val="18"/>
              </w:rPr>
              <w:t>挥发性有机化合物（VOC）</w:t>
            </w:r>
          </w:p>
        </w:tc>
        <w:tc>
          <w:tcPr>
            <w:tcW w:w="1860" w:type="dxa"/>
            <w:vAlign w:val="center"/>
          </w:tcPr>
          <w:p>
            <w:pPr>
              <w:adjustRightInd w:val="0"/>
              <w:snapToGrid w:val="0"/>
              <w:spacing w:line="240" w:lineRule="atLeast"/>
              <w:jc w:val="center"/>
              <w:rPr>
                <w:sz w:val="18"/>
                <w:szCs w:val="18"/>
              </w:rPr>
            </w:pPr>
            <w:r>
              <w:rPr>
                <w:sz w:val="18"/>
                <w:szCs w:val="18"/>
              </w:rPr>
              <w:t>水性墙面涂料：</w:t>
            </w:r>
            <w:r>
              <w:rPr>
                <w:rFonts w:hint="eastAsia"/>
                <w:sz w:val="18"/>
                <w:szCs w:val="18"/>
              </w:rPr>
              <w:t>≤</w:t>
            </w:r>
            <w:r>
              <w:rPr>
                <w:sz w:val="18"/>
                <w:szCs w:val="18"/>
              </w:rPr>
              <w:t>120g/L</w:t>
            </w:r>
          </w:p>
        </w:tc>
        <w:tc>
          <w:tcPr>
            <w:tcW w:w="1750" w:type="dxa"/>
            <w:vAlign w:val="center"/>
          </w:tcPr>
          <w:p>
            <w:pPr>
              <w:adjustRightInd w:val="0"/>
              <w:snapToGrid w:val="0"/>
              <w:spacing w:line="240" w:lineRule="atLeast"/>
              <w:jc w:val="center"/>
              <w:rPr>
                <w:sz w:val="18"/>
                <w:szCs w:val="18"/>
              </w:rPr>
            </w:pPr>
            <w:r>
              <w:rPr>
                <w:sz w:val="18"/>
                <w:szCs w:val="18"/>
              </w:rPr>
              <w:t>水性墙面涂料：</w:t>
            </w:r>
            <w:r>
              <w:rPr>
                <w:rFonts w:hint="eastAsia"/>
                <w:sz w:val="18"/>
                <w:szCs w:val="18"/>
              </w:rPr>
              <w:t>≤</w:t>
            </w:r>
            <w:r>
              <w:rPr>
                <w:sz w:val="18"/>
                <w:szCs w:val="18"/>
              </w:rPr>
              <w:t>120g/L</w:t>
            </w:r>
          </w:p>
        </w:tc>
        <w:tc>
          <w:tcPr>
            <w:tcW w:w="897" w:type="dxa"/>
            <w:vAlign w:val="center"/>
          </w:tcPr>
          <w:p>
            <w:pPr>
              <w:adjustRightInd w:val="0"/>
              <w:spacing w:line="240" w:lineRule="atLeast"/>
              <w:jc w:val="center"/>
              <w:rPr>
                <w:sz w:val="18"/>
                <w:szCs w:val="18"/>
              </w:rPr>
            </w:pPr>
            <w:r>
              <w:rPr>
                <w:rFonts w:hint="eastAsia"/>
                <w:sz w:val="18"/>
                <w:szCs w:val="18"/>
              </w:rPr>
              <w:t>/</w:t>
            </w:r>
          </w:p>
        </w:tc>
        <w:tc>
          <w:tcPr>
            <w:tcW w:w="850" w:type="dxa"/>
            <w:vAlign w:val="center"/>
          </w:tcPr>
          <w:p>
            <w:pPr>
              <w:adjustRightInd w:val="0"/>
              <w:spacing w:line="240" w:lineRule="atLeast"/>
              <w:jc w:val="center"/>
              <w:rPr>
                <w:sz w:val="18"/>
                <w:szCs w:val="18"/>
              </w:rPr>
            </w:pPr>
            <w:r>
              <w:rPr>
                <w:rFonts w:hint="eastAsia"/>
                <w:sz w:val="18"/>
                <w:szCs w:val="18"/>
              </w:rPr>
              <w:t>/</w:t>
            </w:r>
          </w:p>
        </w:tc>
        <w:tc>
          <w:tcPr>
            <w:tcW w:w="1760" w:type="dxa"/>
            <w:vAlign w:val="center"/>
          </w:tcPr>
          <w:p>
            <w:pPr>
              <w:adjustRightInd w:val="0"/>
              <w:snapToGrid w:val="0"/>
              <w:spacing w:line="240" w:lineRule="atLeast"/>
              <w:jc w:val="center"/>
              <w:rPr>
                <w:sz w:val="18"/>
                <w:szCs w:val="18"/>
              </w:rPr>
            </w:pPr>
            <w:r>
              <w:rPr>
                <w:sz w:val="18"/>
                <w:szCs w:val="18"/>
              </w:rPr>
              <w:t>水性墙面涂料：X＞120g/L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450" w:type="dxa"/>
            <w:vAlign w:val="center"/>
          </w:tcPr>
          <w:p>
            <w:pPr>
              <w:adjustRightInd w:val="0"/>
              <w:snapToGrid w:val="0"/>
              <w:spacing w:line="240" w:lineRule="atLeast"/>
              <w:jc w:val="center"/>
              <w:rPr>
                <w:sz w:val="18"/>
                <w:szCs w:val="18"/>
              </w:rPr>
            </w:pPr>
            <w:r>
              <w:rPr>
                <w:sz w:val="18"/>
                <w:szCs w:val="18"/>
              </w:rPr>
              <w:t>2</w:t>
            </w:r>
          </w:p>
        </w:tc>
        <w:tc>
          <w:tcPr>
            <w:tcW w:w="1540" w:type="dxa"/>
            <w:vAlign w:val="center"/>
          </w:tcPr>
          <w:p>
            <w:pPr>
              <w:adjustRightInd w:val="0"/>
              <w:snapToGrid w:val="0"/>
              <w:spacing w:line="240" w:lineRule="atLeast"/>
              <w:jc w:val="center"/>
              <w:rPr>
                <w:sz w:val="18"/>
                <w:szCs w:val="18"/>
              </w:rPr>
            </w:pPr>
            <w:r>
              <w:rPr>
                <w:sz w:val="18"/>
                <w:szCs w:val="18"/>
              </w:rPr>
              <w:t>苯、甲苯、乙苯、二甲苯总和</w:t>
            </w:r>
          </w:p>
        </w:tc>
        <w:tc>
          <w:tcPr>
            <w:tcW w:w="1860" w:type="dxa"/>
            <w:vAlign w:val="center"/>
          </w:tcPr>
          <w:p>
            <w:pPr>
              <w:adjustRightInd w:val="0"/>
              <w:snapToGrid w:val="0"/>
              <w:spacing w:line="240" w:lineRule="atLeast"/>
              <w:jc w:val="center"/>
              <w:rPr>
                <w:sz w:val="18"/>
                <w:szCs w:val="18"/>
              </w:rPr>
            </w:pPr>
            <w:r>
              <w:rPr>
                <w:rFonts w:hint="eastAsia"/>
                <w:sz w:val="18"/>
                <w:szCs w:val="18"/>
              </w:rPr>
              <w:t>≤</w:t>
            </w:r>
            <w:r>
              <w:rPr>
                <w:sz w:val="18"/>
                <w:szCs w:val="18"/>
              </w:rPr>
              <w:t>300mg/kg</w:t>
            </w:r>
          </w:p>
        </w:tc>
        <w:tc>
          <w:tcPr>
            <w:tcW w:w="1750" w:type="dxa"/>
            <w:vAlign w:val="center"/>
          </w:tcPr>
          <w:p>
            <w:pPr>
              <w:adjustRightInd w:val="0"/>
              <w:snapToGrid w:val="0"/>
              <w:spacing w:line="240" w:lineRule="atLeast"/>
              <w:jc w:val="center"/>
              <w:rPr>
                <w:sz w:val="18"/>
                <w:szCs w:val="18"/>
              </w:rPr>
            </w:pPr>
            <w:r>
              <w:rPr>
                <w:rFonts w:hint="eastAsia"/>
                <w:sz w:val="18"/>
                <w:szCs w:val="18"/>
              </w:rPr>
              <w:t>≤</w:t>
            </w:r>
            <w:r>
              <w:rPr>
                <w:sz w:val="18"/>
                <w:szCs w:val="18"/>
              </w:rPr>
              <w:t>300mg/kg</w:t>
            </w:r>
          </w:p>
        </w:tc>
        <w:tc>
          <w:tcPr>
            <w:tcW w:w="897" w:type="dxa"/>
            <w:vAlign w:val="center"/>
          </w:tcPr>
          <w:p>
            <w:pPr>
              <w:adjustRightInd w:val="0"/>
              <w:spacing w:line="240" w:lineRule="atLeast"/>
              <w:jc w:val="center"/>
              <w:rPr>
                <w:sz w:val="18"/>
                <w:szCs w:val="18"/>
              </w:rPr>
            </w:pPr>
            <w:r>
              <w:rPr>
                <w:rFonts w:hint="eastAsia"/>
                <w:sz w:val="18"/>
                <w:szCs w:val="18"/>
              </w:rPr>
              <w:t>/</w:t>
            </w:r>
          </w:p>
        </w:tc>
        <w:tc>
          <w:tcPr>
            <w:tcW w:w="850" w:type="dxa"/>
            <w:vAlign w:val="center"/>
          </w:tcPr>
          <w:p>
            <w:pPr>
              <w:adjustRightInd w:val="0"/>
              <w:spacing w:line="240" w:lineRule="atLeast"/>
              <w:jc w:val="center"/>
              <w:rPr>
                <w:sz w:val="18"/>
                <w:szCs w:val="18"/>
              </w:rPr>
            </w:pPr>
            <w:r>
              <w:rPr>
                <w:rFonts w:hint="eastAsia"/>
                <w:sz w:val="18"/>
                <w:szCs w:val="18"/>
              </w:rPr>
              <w:t>/</w:t>
            </w:r>
          </w:p>
        </w:tc>
        <w:tc>
          <w:tcPr>
            <w:tcW w:w="1760" w:type="dxa"/>
            <w:vAlign w:val="center"/>
          </w:tcPr>
          <w:p>
            <w:pPr>
              <w:adjustRightInd w:val="0"/>
              <w:snapToGrid w:val="0"/>
              <w:spacing w:line="240" w:lineRule="atLeast"/>
              <w:jc w:val="center"/>
              <w:rPr>
                <w:sz w:val="18"/>
                <w:szCs w:val="18"/>
              </w:rPr>
            </w:pPr>
            <w:r>
              <w:rPr>
                <w:sz w:val="18"/>
                <w:szCs w:val="18"/>
              </w:rPr>
              <w:t>X＞ 300mg/kg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450" w:type="dxa"/>
            <w:vAlign w:val="center"/>
          </w:tcPr>
          <w:p>
            <w:pPr>
              <w:adjustRightInd w:val="0"/>
              <w:snapToGrid w:val="0"/>
              <w:spacing w:line="240" w:lineRule="atLeast"/>
              <w:jc w:val="center"/>
              <w:rPr>
                <w:sz w:val="18"/>
                <w:szCs w:val="18"/>
              </w:rPr>
            </w:pPr>
            <w:r>
              <w:rPr>
                <w:sz w:val="18"/>
                <w:szCs w:val="18"/>
              </w:rPr>
              <w:t>3</w:t>
            </w:r>
          </w:p>
        </w:tc>
        <w:tc>
          <w:tcPr>
            <w:tcW w:w="1540" w:type="dxa"/>
            <w:vAlign w:val="center"/>
          </w:tcPr>
          <w:p>
            <w:pPr>
              <w:adjustRightInd w:val="0"/>
              <w:snapToGrid w:val="0"/>
              <w:spacing w:line="240" w:lineRule="atLeast"/>
              <w:jc w:val="center"/>
              <w:rPr>
                <w:sz w:val="18"/>
                <w:szCs w:val="18"/>
              </w:rPr>
            </w:pPr>
            <w:r>
              <w:rPr>
                <w:sz w:val="18"/>
                <w:szCs w:val="18"/>
              </w:rPr>
              <w:t>游离甲醛</w:t>
            </w:r>
          </w:p>
        </w:tc>
        <w:tc>
          <w:tcPr>
            <w:tcW w:w="1860" w:type="dxa"/>
            <w:vAlign w:val="center"/>
          </w:tcPr>
          <w:p>
            <w:pPr>
              <w:adjustRightInd w:val="0"/>
              <w:snapToGrid w:val="0"/>
              <w:spacing w:line="240" w:lineRule="atLeast"/>
              <w:jc w:val="center"/>
              <w:rPr>
                <w:sz w:val="18"/>
                <w:szCs w:val="18"/>
              </w:rPr>
            </w:pPr>
            <w:r>
              <w:rPr>
                <w:rFonts w:hint="eastAsia"/>
                <w:sz w:val="18"/>
                <w:szCs w:val="18"/>
              </w:rPr>
              <w:t>≤</w:t>
            </w:r>
            <w:r>
              <w:rPr>
                <w:sz w:val="18"/>
                <w:szCs w:val="18"/>
              </w:rPr>
              <w:t>100mg/kg</w:t>
            </w:r>
          </w:p>
        </w:tc>
        <w:tc>
          <w:tcPr>
            <w:tcW w:w="1750" w:type="dxa"/>
            <w:vAlign w:val="center"/>
          </w:tcPr>
          <w:p>
            <w:pPr>
              <w:adjustRightInd w:val="0"/>
              <w:snapToGrid w:val="0"/>
              <w:spacing w:line="240" w:lineRule="atLeast"/>
              <w:jc w:val="center"/>
              <w:rPr>
                <w:sz w:val="18"/>
                <w:szCs w:val="18"/>
              </w:rPr>
            </w:pPr>
            <w:r>
              <w:rPr>
                <w:rFonts w:hint="eastAsia"/>
                <w:sz w:val="18"/>
                <w:szCs w:val="18"/>
              </w:rPr>
              <w:t>≤</w:t>
            </w:r>
            <w:r>
              <w:rPr>
                <w:sz w:val="18"/>
                <w:szCs w:val="18"/>
              </w:rPr>
              <w:t>100mg/kg</w:t>
            </w:r>
          </w:p>
        </w:tc>
        <w:tc>
          <w:tcPr>
            <w:tcW w:w="897" w:type="dxa"/>
            <w:vAlign w:val="center"/>
          </w:tcPr>
          <w:p>
            <w:pPr>
              <w:adjustRightInd w:val="0"/>
              <w:spacing w:line="240" w:lineRule="atLeast"/>
              <w:jc w:val="center"/>
              <w:rPr>
                <w:sz w:val="18"/>
                <w:szCs w:val="18"/>
              </w:rPr>
            </w:pPr>
            <w:r>
              <w:rPr>
                <w:rFonts w:hint="eastAsia"/>
                <w:sz w:val="18"/>
                <w:szCs w:val="18"/>
              </w:rPr>
              <w:t>/</w:t>
            </w:r>
          </w:p>
        </w:tc>
        <w:tc>
          <w:tcPr>
            <w:tcW w:w="850" w:type="dxa"/>
            <w:vAlign w:val="center"/>
          </w:tcPr>
          <w:p>
            <w:pPr>
              <w:adjustRightInd w:val="0"/>
              <w:spacing w:line="240" w:lineRule="atLeast"/>
              <w:jc w:val="center"/>
              <w:rPr>
                <w:sz w:val="18"/>
                <w:szCs w:val="18"/>
              </w:rPr>
            </w:pPr>
            <w:r>
              <w:rPr>
                <w:rFonts w:hint="eastAsia"/>
                <w:sz w:val="18"/>
                <w:szCs w:val="18"/>
              </w:rPr>
              <w:t>/</w:t>
            </w:r>
          </w:p>
        </w:tc>
        <w:tc>
          <w:tcPr>
            <w:tcW w:w="1760" w:type="dxa"/>
            <w:vAlign w:val="center"/>
          </w:tcPr>
          <w:p>
            <w:pPr>
              <w:adjustRightInd w:val="0"/>
              <w:snapToGrid w:val="0"/>
              <w:spacing w:line="240" w:lineRule="atLeast"/>
              <w:jc w:val="center"/>
              <w:rPr>
                <w:sz w:val="18"/>
                <w:szCs w:val="18"/>
              </w:rPr>
            </w:pPr>
            <w:r>
              <w:rPr>
                <w:sz w:val="18"/>
                <w:szCs w:val="18"/>
              </w:rPr>
              <w:t>X＞ 100mg/kg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450" w:type="dxa"/>
            <w:vAlign w:val="center"/>
          </w:tcPr>
          <w:p>
            <w:pPr>
              <w:adjustRightInd w:val="0"/>
              <w:snapToGrid w:val="0"/>
              <w:spacing w:line="240" w:lineRule="atLeast"/>
              <w:jc w:val="center"/>
              <w:rPr>
                <w:sz w:val="18"/>
                <w:szCs w:val="18"/>
              </w:rPr>
            </w:pPr>
            <w:r>
              <w:rPr>
                <w:sz w:val="18"/>
                <w:szCs w:val="18"/>
              </w:rPr>
              <w:t>4</w:t>
            </w:r>
          </w:p>
        </w:tc>
        <w:tc>
          <w:tcPr>
            <w:tcW w:w="1540" w:type="dxa"/>
            <w:vAlign w:val="center"/>
          </w:tcPr>
          <w:p>
            <w:pPr>
              <w:adjustRightInd w:val="0"/>
              <w:snapToGrid w:val="0"/>
              <w:spacing w:line="240" w:lineRule="atLeast"/>
              <w:jc w:val="center"/>
              <w:rPr>
                <w:sz w:val="18"/>
                <w:szCs w:val="18"/>
              </w:rPr>
            </w:pPr>
            <w:r>
              <w:rPr>
                <w:sz w:val="18"/>
                <w:szCs w:val="18"/>
              </w:rPr>
              <w:t>可溶性重金属</w:t>
            </w:r>
          </w:p>
        </w:tc>
        <w:tc>
          <w:tcPr>
            <w:tcW w:w="1860" w:type="dxa"/>
            <w:vAlign w:val="center"/>
          </w:tcPr>
          <w:p>
            <w:pPr>
              <w:adjustRightInd w:val="0"/>
              <w:snapToGrid w:val="0"/>
              <w:spacing w:line="240" w:lineRule="atLeast"/>
              <w:jc w:val="center"/>
              <w:rPr>
                <w:sz w:val="18"/>
                <w:szCs w:val="18"/>
              </w:rPr>
            </w:pPr>
            <w:r>
              <w:rPr>
                <w:sz w:val="18"/>
                <w:szCs w:val="18"/>
              </w:rPr>
              <w:t>铅（Pb）</w:t>
            </w:r>
            <w:r>
              <w:rPr>
                <w:rFonts w:hint="eastAsia"/>
                <w:sz w:val="18"/>
                <w:szCs w:val="18"/>
              </w:rPr>
              <w:t>≤</w:t>
            </w:r>
            <w:r>
              <w:rPr>
                <w:sz w:val="18"/>
                <w:szCs w:val="18"/>
              </w:rPr>
              <w:t>90 mg/kg</w:t>
            </w:r>
          </w:p>
          <w:p>
            <w:pPr>
              <w:adjustRightInd w:val="0"/>
              <w:snapToGrid w:val="0"/>
              <w:spacing w:line="240" w:lineRule="atLeast"/>
              <w:jc w:val="center"/>
              <w:rPr>
                <w:sz w:val="18"/>
                <w:szCs w:val="18"/>
              </w:rPr>
            </w:pPr>
            <w:r>
              <w:rPr>
                <w:sz w:val="18"/>
                <w:szCs w:val="18"/>
              </w:rPr>
              <w:t>镉（Cd）</w:t>
            </w:r>
            <w:r>
              <w:rPr>
                <w:rFonts w:hint="eastAsia"/>
                <w:sz w:val="18"/>
                <w:szCs w:val="18"/>
              </w:rPr>
              <w:t>≤</w:t>
            </w:r>
            <w:r>
              <w:rPr>
                <w:sz w:val="18"/>
                <w:szCs w:val="18"/>
              </w:rPr>
              <w:t>75 mg/kg</w:t>
            </w:r>
          </w:p>
          <w:p>
            <w:pPr>
              <w:adjustRightInd w:val="0"/>
              <w:snapToGrid w:val="0"/>
              <w:spacing w:line="240" w:lineRule="atLeast"/>
              <w:jc w:val="center"/>
              <w:rPr>
                <w:sz w:val="18"/>
                <w:szCs w:val="18"/>
              </w:rPr>
            </w:pPr>
            <w:r>
              <w:rPr>
                <w:sz w:val="18"/>
                <w:szCs w:val="18"/>
              </w:rPr>
              <w:t>铬（Cr）</w:t>
            </w:r>
            <w:r>
              <w:rPr>
                <w:rFonts w:hint="eastAsia"/>
                <w:sz w:val="18"/>
                <w:szCs w:val="18"/>
              </w:rPr>
              <w:t>≤</w:t>
            </w:r>
            <w:r>
              <w:rPr>
                <w:sz w:val="18"/>
                <w:szCs w:val="18"/>
              </w:rPr>
              <w:t>60 mg/kg</w:t>
            </w:r>
          </w:p>
          <w:p>
            <w:pPr>
              <w:adjustRightInd w:val="0"/>
              <w:snapToGrid w:val="0"/>
              <w:spacing w:line="240" w:lineRule="atLeast"/>
              <w:jc w:val="center"/>
              <w:rPr>
                <w:sz w:val="18"/>
                <w:szCs w:val="18"/>
              </w:rPr>
            </w:pPr>
            <w:r>
              <w:rPr>
                <w:sz w:val="18"/>
                <w:szCs w:val="18"/>
              </w:rPr>
              <w:t>汞（Hg）</w:t>
            </w:r>
            <w:r>
              <w:rPr>
                <w:rFonts w:hint="eastAsia"/>
                <w:sz w:val="18"/>
                <w:szCs w:val="18"/>
              </w:rPr>
              <w:t>≤</w:t>
            </w:r>
            <w:r>
              <w:rPr>
                <w:sz w:val="18"/>
                <w:szCs w:val="18"/>
              </w:rPr>
              <w:t>60 mg/kg</w:t>
            </w:r>
          </w:p>
        </w:tc>
        <w:tc>
          <w:tcPr>
            <w:tcW w:w="1750" w:type="dxa"/>
            <w:vAlign w:val="center"/>
          </w:tcPr>
          <w:p>
            <w:pPr>
              <w:adjustRightInd w:val="0"/>
              <w:snapToGrid w:val="0"/>
              <w:spacing w:line="240" w:lineRule="atLeast"/>
              <w:jc w:val="center"/>
              <w:rPr>
                <w:sz w:val="18"/>
                <w:szCs w:val="18"/>
              </w:rPr>
            </w:pPr>
            <w:r>
              <w:rPr>
                <w:sz w:val="18"/>
                <w:szCs w:val="18"/>
              </w:rPr>
              <w:t>铅（Pb）</w:t>
            </w:r>
            <w:r>
              <w:rPr>
                <w:rFonts w:hint="eastAsia"/>
                <w:sz w:val="18"/>
                <w:szCs w:val="18"/>
              </w:rPr>
              <w:t>≤</w:t>
            </w:r>
            <w:r>
              <w:rPr>
                <w:sz w:val="18"/>
                <w:szCs w:val="18"/>
              </w:rPr>
              <w:t>90 mg/kg</w:t>
            </w:r>
          </w:p>
          <w:p>
            <w:pPr>
              <w:adjustRightInd w:val="0"/>
              <w:snapToGrid w:val="0"/>
              <w:spacing w:line="240" w:lineRule="atLeast"/>
              <w:jc w:val="center"/>
              <w:rPr>
                <w:sz w:val="18"/>
                <w:szCs w:val="18"/>
              </w:rPr>
            </w:pPr>
            <w:r>
              <w:rPr>
                <w:sz w:val="18"/>
                <w:szCs w:val="18"/>
              </w:rPr>
              <w:t>镉（Cd）</w:t>
            </w:r>
            <w:r>
              <w:rPr>
                <w:rFonts w:hint="eastAsia"/>
                <w:sz w:val="18"/>
                <w:szCs w:val="18"/>
              </w:rPr>
              <w:t>≤</w:t>
            </w:r>
            <w:r>
              <w:rPr>
                <w:sz w:val="18"/>
                <w:szCs w:val="18"/>
              </w:rPr>
              <w:t>75 mg/kg</w:t>
            </w:r>
          </w:p>
          <w:p>
            <w:pPr>
              <w:adjustRightInd w:val="0"/>
              <w:snapToGrid w:val="0"/>
              <w:spacing w:line="240" w:lineRule="atLeast"/>
              <w:jc w:val="center"/>
              <w:rPr>
                <w:sz w:val="18"/>
                <w:szCs w:val="18"/>
              </w:rPr>
            </w:pPr>
            <w:r>
              <w:rPr>
                <w:sz w:val="18"/>
                <w:szCs w:val="18"/>
              </w:rPr>
              <w:t>铬（Cr）</w:t>
            </w:r>
            <w:r>
              <w:rPr>
                <w:rFonts w:hint="eastAsia"/>
                <w:sz w:val="18"/>
                <w:szCs w:val="18"/>
              </w:rPr>
              <w:t>≤</w:t>
            </w:r>
            <w:r>
              <w:rPr>
                <w:sz w:val="18"/>
                <w:szCs w:val="18"/>
              </w:rPr>
              <w:t>60 mg/kg</w:t>
            </w:r>
          </w:p>
          <w:p>
            <w:pPr>
              <w:adjustRightInd w:val="0"/>
              <w:snapToGrid w:val="0"/>
              <w:spacing w:line="240" w:lineRule="atLeast"/>
              <w:jc w:val="center"/>
              <w:rPr>
                <w:sz w:val="18"/>
                <w:szCs w:val="18"/>
              </w:rPr>
            </w:pPr>
            <w:r>
              <w:rPr>
                <w:sz w:val="18"/>
                <w:szCs w:val="18"/>
              </w:rPr>
              <w:t>汞（Hg）</w:t>
            </w:r>
            <w:r>
              <w:rPr>
                <w:rFonts w:hint="eastAsia"/>
                <w:sz w:val="18"/>
                <w:szCs w:val="18"/>
              </w:rPr>
              <w:t>≤</w:t>
            </w:r>
            <w:r>
              <w:rPr>
                <w:sz w:val="18"/>
                <w:szCs w:val="18"/>
              </w:rPr>
              <w:t>60 mg/kg</w:t>
            </w:r>
          </w:p>
        </w:tc>
        <w:tc>
          <w:tcPr>
            <w:tcW w:w="897" w:type="dxa"/>
            <w:vAlign w:val="center"/>
          </w:tcPr>
          <w:p>
            <w:pPr>
              <w:adjustRightInd w:val="0"/>
              <w:spacing w:line="240" w:lineRule="atLeast"/>
              <w:jc w:val="center"/>
              <w:rPr>
                <w:sz w:val="18"/>
                <w:szCs w:val="18"/>
              </w:rPr>
            </w:pPr>
            <w:r>
              <w:rPr>
                <w:rFonts w:hint="eastAsia"/>
                <w:sz w:val="18"/>
                <w:szCs w:val="18"/>
              </w:rPr>
              <w:t>/</w:t>
            </w:r>
          </w:p>
        </w:tc>
        <w:tc>
          <w:tcPr>
            <w:tcW w:w="850" w:type="dxa"/>
            <w:vAlign w:val="center"/>
          </w:tcPr>
          <w:p>
            <w:pPr>
              <w:adjustRightInd w:val="0"/>
              <w:spacing w:line="240" w:lineRule="atLeast"/>
              <w:jc w:val="center"/>
              <w:rPr>
                <w:sz w:val="18"/>
                <w:szCs w:val="18"/>
              </w:rPr>
            </w:pPr>
            <w:r>
              <w:rPr>
                <w:rFonts w:hint="eastAsia"/>
                <w:sz w:val="18"/>
                <w:szCs w:val="18"/>
              </w:rPr>
              <w:t>/</w:t>
            </w:r>
          </w:p>
        </w:tc>
        <w:tc>
          <w:tcPr>
            <w:tcW w:w="1760" w:type="dxa"/>
            <w:vAlign w:val="center"/>
          </w:tcPr>
          <w:p>
            <w:pPr>
              <w:adjustRightInd w:val="0"/>
              <w:snapToGrid w:val="0"/>
              <w:spacing w:line="240" w:lineRule="atLeast"/>
              <w:jc w:val="center"/>
              <w:rPr>
                <w:sz w:val="18"/>
                <w:szCs w:val="18"/>
              </w:rPr>
            </w:pPr>
            <w:r>
              <w:rPr>
                <w:sz w:val="18"/>
                <w:szCs w:val="18"/>
              </w:rPr>
              <w:t>铅（Pb）X＞90 mg/kg</w:t>
            </w:r>
          </w:p>
          <w:p>
            <w:pPr>
              <w:adjustRightInd w:val="0"/>
              <w:snapToGrid w:val="0"/>
              <w:spacing w:line="240" w:lineRule="atLeast"/>
              <w:jc w:val="center"/>
              <w:rPr>
                <w:sz w:val="18"/>
                <w:szCs w:val="18"/>
              </w:rPr>
            </w:pPr>
            <w:r>
              <w:rPr>
                <w:sz w:val="18"/>
                <w:szCs w:val="18"/>
              </w:rPr>
              <w:t>镉（Cd）X＞75 mg/kg</w:t>
            </w:r>
          </w:p>
          <w:p>
            <w:pPr>
              <w:adjustRightInd w:val="0"/>
              <w:snapToGrid w:val="0"/>
              <w:spacing w:line="240" w:lineRule="atLeast"/>
              <w:jc w:val="center"/>
              <w:rPr>
                <w:sz w:val="18"/>
                <w:szCs w:val="18"/>
              </w:rPr>
            </w:pPr>
            <w:r>
              <w:rPr>
                <w:sz w:val="18"/>
                <w:szCs w:val="18"/>
              </w:rPr>
              <w:t>铬（Cr）X＞60 mg/kg</w:t>
            </w:r>
          </w:p>
          <w:p>
            <w:pPr>
              <w:adjustRightInd w:val="0"/>
              <w:snapToGrid w:val="0"/>
              <w:spacing w:line="240" w:lineRule="atLeast"/>
              <w:jc w:val="center"/>
              <w:rPr>
                <w:sz w:val="18"/>
                <w:szCs w:val="18"/>
              </w:rPr>
            </w:pPr>
            <w:r>
              <w:rPr>
                <w:sz w:val="18"/>
                <w:szCs w:val="18"/>
              </w:rPr>
              <w:t>汞（Hg）X＞60 mg/kg</w:t>
            </w:r>
          </w:p>
        </w:tc>
      </w:tr>
    </w:tbl>
    <w:p>
      <w:pPr>
        <w:ind w:firstLine="640" w:firstLineChars="200"/>
        <w:rPr>
          <w:rFonts w:eastAsia="楷体_GB2312"/>
          <w:szCs w:val="32"/>
        </w:rPr>
      </w:pPr>
      <w:r>
        <w:rPr>
          <w:rFonts w:hint="eastAsia" w:eastAsia="楷体_GB2312"/>
          <w:szCs w:val="32"/>
        </w:rPr>
        <w:t>3</w:t>
      </w:r>
      <w:r>
        <w:rPr>
          <w:rFonts w:hint="eastAsia" w:eastAsia="楷体_GB2312"/>
          <w:szCs w:val="32"/>
          <w:lang w:eastAsia="zh-CN"/>
        </w:rPr>
        <w:t>．</w:t>
      </w:r>
      <w:r>
        <w:rPr>
          <w:rFonts w:hint="eastAsia" w:eastAsia="楷体_GB2312"/>
          <w:szCs w:val="32"/>
        </w:rPr>
        <w:t>建筑用外墙涂料（水性，面漆）</w:t>
      </w:r>
    </w:p>
    <w:tbl>
      <w:tblPr>
        <w:tblStyle w:val="3"/>
        <w:tblW w:w="907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
        <w:gridCol w:w="1492"/>
        <w:gridCol w:w="1842"/>
        <w:gridCol w:w="1843"/>
        <w:gridCol w:w="851"/>
        <w:gridCol w:w="850"/>
        <w:gridCol w:w="1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exact"/>
          <w:tblHeader/>
          <w:jc w:val="center"/>
        </w:trPr>
        <w:tc>
          <w:tcPr>
            <w:tcW w:w="45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 w:val="18"/>
                <w:szCs w:val="18"/>
              </w:rPr>
            </w:pPr>
            <w:r>
              <w:rPr>
                <w:sz w:val="18"/>
                <w:szCs w:val="18"/>
              </w:rPr>
              <w:t>序号</w:t>
            </w:r>
          </w:p>
        </w:tc>
        <w:tc>
          <w:tcPr>
            <w:tcW w:w="14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 w:val="18"/>
                <w:szCs w:val="18"/>
              </w:rPr>
            </w:pPr>
            <w:r>
              <w:rPr>
                <w:sz w:val="18"/>
                <w:szCs w:val="18"/>
              </w:rPr>
              <w:t>检验项目</w:t>
            </w: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 w:val="18"/>
                <w:szCs w:val="18"/>
              </w:rPr>
            </w:pPr>
            <w:r>
              <w:rPr>
                <w:sz w:val="18"/>
                <w:szCs w:val="18"/>
              </w:rPr>
              <w:t>标准要求</w:t>
            </w:r>
          </w:p>
        </w:tc>
        <w:tc>
          <w:tcPr>
            <w:tcW w:w="1843" w:type="dxa"/>
            <w:tcBorders>
              <w:top w:val="single" w:color="auto" w:sz="4" w:space="0"/>
              <w:left w:val="single" w:color="auto" w:sz="4" w:space="0"/>
              <w:bottom w:val="single" w:color="auto" w:sz="4" w:space="0"/>
              <w:right w:val="single" w:color="auto" w:sz="4" w:space="0"/>
            </w:tcBorders>
            <w:vAlign w:val="center"/>
          </w:tcPr>
          <w:p>
            <w:pPr>
              <w:adjustRightInd w:val="0"/>
              <w:spacing w:line="240" w:lineRule="atLeast"/>
              <w:jc w:val="center"/>
              <w:rPr>
                <w:sz w:val="18"/>
                <w:szCs w:val="18"/>
              </w:rPr>
            </w:pPr>
            <w:r>
              <w:rPr>
                <w:sz w:val="18"/>
                <w:szCs w:val="18"/>
              </w:rPr>
              <w:t>样本合格</w:t>
            </w:r>
          </w:p>
        </w:tc>
        <w:tc>
          <w:tcPr>
            <w:tcW w:w="851" w:type="dxa"/>
            <w:tcBorders>
              <w:top w:val="single" w:color="auto" w:sz="4" w:space="0"/>
              <w:left w:val="single" w:color="auto" w:sz="4" w:space="0"/>
              <w:bottom w:val="single" w:color="auto" w:sz="4" w:space="0"/>
              <w:right w:val="single" w:color="auto" w:sz="4" w:space="0"/>
            </w:tcBorders>
            <w:vAlign w:val="center"/>
          </w:tcPr>
          <w:p>
            <w:pPr>
              <w:adjustRightInd w:val="0"/>
              <w:spacing w:line="240" w:lineRule="atLeast"/>
              <w:jc w:val="center"/>
              <w:rPr>
                <w:sz w:val="18"/>
                <w:szCs w:val="18"/>
              </w:rPr>
            </w:pPr>
            <w:r>
              <w:rPr>
                <w:sz w:val="18"/>
                <w:szCs w:val="18"/>
              </w:rPr>
              <w:t>轻微不合格</w:t>
            </w:r>
          </w:p>
        </w:tc>
        <w:tc>
          <w:tcPr>
            <w:tcW w:w="850" w:type="dxa"/>
            <w:tcBorders>
              <w:top w:val="single" w:color="auto" w:sz="4" w:space="0"/>
              <w:left w:val="single" w:color="auto" w:sz="4" w:space="0"/>
              <w:right w:val="single" w:color="auto" w:sz="4" w:space="0"/>
            </w:tcBorders>
            <w:vAlign w:val="center"/>
          </w:tcPr>
          <w:p>
            <w:pPr>
              <w:adjustRightInd w:val="0"/>
              <w:spacing w:line="240" w:lineRule="atLeast"/>
              <w:jc w:val="center"/>
              <w:rPr>
                <w:sz w:val="18"/>
                <w:szCs w:val="18"/>
              </w:rPr>
            </w:pPr>
            <w:r>
              <w:rPr>
                <w:sz w:val="18"/>
                <w:szCs w:val="18"/>
              </w:rPr>
              <w:t>较严重不合格</w:t>
            </w:r>
          </w:p>
        </w:tc>
        <w:tc>
          <w:tcPr>
            <w:tcW w:w="1744" w:type="dxa"/>
            <w:tcBorders>
              <w:top w:val="single" w:color="auto" w:sz="4" w:space="0"/>
              <w:left w:val="single" w:color="auto" w:sz="4" w:space="0"/>
              <w:right w:val="single" w:color="auto" w:sz="4" w:space="0"/>
            </w:tcBorders>
            <w:vAlign w:val="center"/>
          </w:tcPr>
          <w:p>
            <w:pPr>
              <w:adjustRightInd w:val="0"/>
              <w:spacing w:line="240" w:lineRule="atLeast"/>
              <w:jc w:val="center"/>
              <w:rPr>
                <w:sz w:val="18"/>
                <w:szCs w:val="18"/>
              </w:rPr>
            </w:pPr>
            <w:r>
              <w:rPr>
                <w:sz w:val="18"/>
                <w:szCs w:val="18"/>
              </w:rPr>
              <w:t>严重不合格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40" w:hRule="atLeast"/>
          <w:jc w:val="center"/>
        </w:trPr>
        <w:tc>
          <w:tcPr>
            <w:tcW w:w="453" w:type="dxa"/>
            <w:vAlign w:val="center"/>
          </w:tcPr>
          <w:p>
            <w:pPr>
              <w:adjustRightInd w:val="0"/>
              <w:snapToGrid w:val="0"/>
              <w:spacing w:line="240" w:lineRule="atLeast"/>
              <w:jc w:val="center"/>
              <w:rPr>
                <w:sz w:val="18"/>
                <w:szCs w:val="18"/>
              </w:rPr>
            </w:pPr>
            <w:r>
              <w:rPr>
                <w:sz w:val="18"/>
                <w:szCs w:val="18"/>
              </w:rPr>
              <w:t>1</w:t>
            </w:r>
          </w:p>
        </w:tc>
        <w:tc>
          <w:tcPr>
            <w:tcW w:w="1492" w:type="dxa"/>
            <w:vAlign w:val="center"/>
          </w:tcPr>
          <w:p>
            <w:pPr>
              <w:adjustRightInd w:val="0"/>
              <w:snapToGrid w:val="0"/>
              <w:spacing w:line="240" w:lineRule="atLeast"/>
              <w:jc w:val="center"/>
              <w:rPr>
                <w:sz w:val="18"/>
                <w:szCs w:val="18"/>
              </w:rPr>
            </w:pPr>
            <w:r>
              <w:rPr>
                <w:sz w:val="18"/>
                <w:szCs w:val="18"/>
              </w:rPr>
              <w:t>挥发性有机化合物(VOC)含量</w:t>
            </w:r>
          </w:p>
        </w:tc>
        <w:tc>
          <w:tcPr>
            <w:tcW w:w="1842" w:type="dxa"/>
            <w:vAlign w:val="center"/>
          </w:tcPr>
          <w:p>
            <w:pPr>
              <w:adjustRightInd w:val="0"/>
              <w:snapToGrid w:val="0"/>
              <w:spacing w:line="240" w:lineRule="atLeast"/>
              <w:jc w:val="center"/>
              <w:rPr>
                <w:sz w:val="18"/>
                <w:szCs w:val="18"/>
              </w:rPr>
            </w:pPr>
            <w:r>
              <w:rPr>
                <w:sz w:val="18"/>
                <w:szCs w:val="18"/>
              </w:rPr>
              <w:t>面漆</w:t>
            </w:r>
            <w:r>
              <w:rPr>
                <w:rFonts w:hint="eastAsia"/>
                <w:sz w:val="18"/>
                <w:szCs w:val="18"/>
              </w:rPr>
              <w:t>≤</w:t>
            </w:r>
            <w:r>
              <w:rPr>
                <w:sz w:val="18"/>
                <w:szCs w:val="18"/>
              </w:rPr>
              <w:t>150g/L</w:t>
            </w:r>
          </w:p>
        </w:tc>
        <w:tc>
          <w:tcPr>
            <w:tcW w:w="1843" w:type="dxa"/>
            <w:vAlign w:val="center"/>
          </w:tcPr>
          <w:p>
            <w:pPr>
              <w:adjustRightInd w:val="0"/>
              <w:snapToGrid w:val="0"/>
              <w:spacing w:line="240" w:lineRule="atLeast"/>
              <w:jc w:val="center"/>
              <w:rPr>
                <w:sz w:val="18"/>
                <w:szCs w:val="18"/>
              </w:rPr>
            </w:pPr>
            <w:r>
              <w:rPr>
                <w:sz w:val="18"/>
                <w:szCs w:val="18"/>
              </w:rPr>
              <w:t>面漆</w:t>
            </w:r>
            <w:r>
              <w:rPr>
                <w:rFonts w:hint="eastAsia"/>
                <w:sz w:val="18"/>
                <w:szCs w:val="18"/>
              </w:rPr>
              <w:t>≤</w:t>
            </w:r>
            <w:r>
              <w:rPr>
                <w:sz w:val="18"/>
                <w:szCs w:val="18"/>
              </w:rPr>
              <w:t>150g/L</w:t>
            </w:r>
          </w:p>
        </w:tc>
        <w:tc>
          <w:tcPr>
            <w:tcW w:w="851" w:type="dxa"/>
            <w:vAlign w:val="center"/>
          </w:tcPr>
          <w:p>
            <w:pPr>
              <w:adjustRightInd w:val="0"/>
              <w:spacing w:line="240" w:lineRule="atLeast"/>
              <w:jc w:val="center"/>
              <w:rPr>
                <w:sz w:val="18"/>
                <w:szCs w:val="18"/>
              </w:rPr>
            </w:pPr>
            <w:r>
              <w:rPr>
                <w:rFonts w:hint="eastAsia"/>
                <w:sz w:val="18"/>
                <w:szCs w:val="18"/>
              </w:rPr>
              <w:t>/</w:t>
            </w:r>
          </w:p>
        </w:tc>
        <w:tc>
          <w:tcPr>
            <w:tcW w:w="850" w:type="dxa"/>
            <w:vAlign w:val="center"/>
          </w:tcPr>
          <w:p>
            <w:pPr>
              <w:adjustRightInd w:val="0"/>
              <w:spacing w:line="240" w:lineRule="atLeast"/>
              <w:jc w:val="center"/>
              <w:rPr>
                <w:sz w:val="18"/>
                <w:szCs w:val="18"/>
              </w:rPr>
            </w:pPr>
            <w:r>
              <w:rPr>
                <w:rFonts w:hint="eastAsia"/>
                <w:sz w:val="18"/>
                <w:szCs w:val="18"/>
              </w:rPr>
              <w:t>/</w:t>
            </w:r>
          </w:p>
        </w:tc>
        <w:tc>
          <w:tcPr>
            <w:tcW w:w="1744" w:type="dxa"/>
            <w:vAlign w:val="center"/>
          </w:tcPr>
          <w:p>
            <w:pPr>
              <w:adjustRightInd w:val="0"/>
              <w:snapToGrid w:val="0"/>
              <w:spacing w:line="240" w:lineRule="atLeast"/>
              <w:jc w:val="center"/>
              <w:rPr>
                <w:sz w:val="18"/>
                <w:szCs w:val="18"/>
              </w:rPr>
            </w:pPr>
            <w:r>
              <w:rPr>
                <w:sz w:val="18"/>
                <w:szCs w:val="18"/>
              </w:rPr>
              <w:t>面漆X＞150g/L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8" w:hRule="atLeast"/>
          <w:jc w:val="center"/>
        </w:trPr>
        <w:tc>
          <w:tcPr>
            <w:tcW w:w="453" w:type="dxa"/>
            <w:vAlign w:val="center"/>
          </w:tcPr>
          <w:p>
            <w:pPr>
              <w:adjustRightInd w:val="0"/>
              <w:snapToGrid w:val="0"/>
              <w:spacing w:line="240" w:lineRule="atLeast"/>
              <w:jc w:val="center"/>
              <w:rPr>
                <w:sz w:val="18"/>
                <w:szCs w:val="18"/>
              </w:rPr>
            </w:pPr>
            <w:r>
              <w:rPr>
                <w:sz w:val="18"/>
                <w:szCs w:val="18"/>
              </w:rPr>
              <w:t>2</w:t>
            </w:r>
          </w:p>
        </w:tc>
        <w:tc>
          <w:tcPr>
            <w:tcW w:w="1492" w:type="dxa"/>
            <w:vAlign w:val="center"/>
          </w:tcPr>
          <w:p>
            <w:pPr>
              <w:adjustRightInd w:val="0"/>
              <w:snapToGrid w:val="0"/>
              <w:spacing w:line="240" w:lineRule="atLeast"/>
              <w:jc w:val="center"/>
              <w:rPr>
                <w:sz w:val="18"/>
                <w:szCs w:val="18"/>
              </w:rPr>
            </w:pPr>
            <w:r>
              <w:rPr>
                <w:sz w:val="18"/>
                <w:szCs w:val="18"/>
              </w:rPr>
              <w:t>游离甲醛含量</w:t>
            </w:r>
          </w:p>
        </w:tc>
        <w:tc>
          <w:tcPr>
            <w:tcW w:w="1842" w:type="dxa"/>
            <w:vAlign w:val="center"/>
          </w:tcPr>
          <w:p>
            <w:pPr>
              <w:adjustRightInd w:val="0"/>
              <w:snapToGrid w:val="0"/>
              <w:spacing w:line="240" w:lineRule="atLeast"/>
              <w:jc w:val="center"/>
              <w:rPr>
                <w:sz w:val="18"/>
                <w:szCs w:val="18"/>
              </w:rPr>
            </w:pPr>
            <w:r>
              <w:rPr>
                <w:rFonts w:hint="eastAsia"/>
                <w:sz w:val="18"/>
                <w:szCs w:val="18"/>
              </w:rPr>
              <w:t>≤</w:t>
            </w:r>
            <w:r>
              <w:rPr>
                <w:sz w:val="18"/>
                <w:szCs w:val="18"/>
              </w:rPr>
              <w:t>100mg/kg</w:t>
            </w:r>
          </w:p>
        </w:tc>
        <w:tc>
          <w:tcPr>
            <w:tcW w:w="1843" w:type="dxa"/>
            <w:vAlign w:val="center"/>
          </w:tcPr>
          <w:p>
            <w:pPr>
              <w:adjustRightInd w:val="0"/>
              <w:snapToGrid w:val="0"/>
              <w:spacing w:line="240" w:lineRule="atLeast"/>
              <w:jc w:val="center"/>
              <w:rPr>
                <w:sz w:val="18"/>
                <w:szCs w:val="18"/>
              </w:rPr>
            </w:pPr>
            <w:r>
              <w:rPr>
                <w:rFonts w:hint="eastAsia"/>
                <w:sz w:val="18"/>
                <w:szCs w:val="18"/>
              </w:rPr>
              <w:t>≤</w:t>
            </w:r>
            <w:r>
              <w:rPr>
                <w:sz w:val="18"/>
                <w:szCs w:val="18"/>
              </w:rPr>
              <w:t>100mg/kg</w:t>
            </w:r>
          </w:p>
        </w:tc>
        <w:tc>
          <w:tcPr>
            <w:tcW w:w="851" w:type="dxa"/>
            <w:vAlign w:val="center"/>
          </w:tcPr>
          <w:p>
            <w:pPr>
              <w:adjustRightInd w:val="0"/>
              <w:spacing w:line="240" w:lineRule="atLeast"/>
              <w:jc w:val="center"/>
              <w:rPr>
                <w:sz w:val="18"/>
                <w:szCs w:val="18"/>
              </w:rPr>
            </w:pPr>
            <w:r>
              <w:rPr>
                <w:rFonts w:hint="eastAsia"/>
                <w:sz w:val="18"/>
                <w:szCs w:val="18"/>
              </w:rPr>
              <w:t>/</w:t>
            </w:r>
          </w:p>
        </w:tc>
        <w:tc>
          <w:tcPr>
            <w:tcW w:w="850" w:type="dxa"/>
            <w:vAlign w:val="center"/>
          </w:tcPr>
          <w:p>
            <w:pPr>
              <w:adjustRightInd w:val="0"/>
              <w:spacing w:line="240" w:lineRule="atLeast"/>
              <w:jc w:val="center"/>
              <w:rPr>
                <w:sz w:val="18"/>
                <w:szCs w:val="18"/>
              </w:rPr>
            </w:pPr>
            <w:r>
              <w:rPr>
                <w:rFonts w:hint="eastAsia"/>
                <w:sz w:val="18"/>
                <w:szCs w:val="18"/>
              </w:rPr>
              <w:t>/</w:t>
            </w:r>
          </w:p>
        </w:tc>
        <w:tc>
          <w:tcPr>
            <w:tcW w:w="1744" w:type="dxa"/>
            <w:vAlign w:val="center"/>
          </w:tcPr>
          <w:p>
            <w:pPr>
              <w:adjustRightInd w:val="0"/>
              <w:snapToGrid w:val="0"/>
              <w:spacing w:line="240" w:lineRule="atLeast"/>
              <w:jc w:val="center"/>
              <w:rPr>
                <w:sz w:val="18"/>
                <w:szCs w:val="18"/>
              </w:rPr>
            </w:pPr>
            <w:r>
              <w:rPr>
                <w:sz w:val="18"/>
                <w:szCs w:val="18"/>
              </w:rPr>
              <w:t>X＞ 100mg/kg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13" w:hRule="atLeast"/>
          <w:jc w:val="center"/>
        </w:trPr>
        <w:tc>
          <w:tcPr>
            <w:tcW w:w="453" w:type="dxa"/>
            <w:vAlign w:val="center"/>
          </w:tcPr>
          <w:p>
            <w:pPr>
              <w:adjustRightInd w:val="0"/>
              <w:snapToGrid w:val="0"/>
              <w:spacing w:line="240" w:lineRule="atLeast"/>
              <w:jc w:val="center"/>
              <w:rPr>
                <w:sz w:val="18"/>
                <w:szCs w:val="18"/>
              </w:rPr>
            </w:pPr>
            <w:r>
              <w:rPr>
                <w:sz w:val="18"/>
                <w:szCs w:val="18"/>
              </w:rPr>
              <w:t>3</w:t>
            </w:r>
          </w:p>
        </w:tc>
        <w:tc>
          <w:tcPr>
            <w:tcW w:w="1492" w:type="dxa"/>
            <w:vAlign w:val="center"/>
          </w:tcPr>
          <w:p>
            <w:pPr>
              <w:adjustRightInd w:val="0"/>
              <w:snapToGrid w:val="0"/>
              <w:spacing w:line="240" w:lineRule="atLeast"/>
              <w:jc w:val="center"/>
              <w:rPr>
                <w:sz w:val="18"/>
                <w:szCs w:val="18"/>
              </w:rPr>
            </w:pPr>
            <w:r>
              <w:rPr>
                <w:sz w:val="18"/>
                <w:szCs w:val="18"/>
              </w:rPr>
              <w:t>乙二醇醚及醚酯含量总和(限乙二醇甲醚、乙二醇甲醚醋酸酯、乙二醇乙醚、乙二醇乙醚醋酸酯和二乙二醇丁醚醋酸酯)</w:t>
            </w:r>
          </w:p>
        </w:tc>
        <w:tc>
          <w:tcPr>
            <w:tcW w:w="1842" w:type="dxa"/>
            <w:vAlign w:val="center"/>
          </w:tcPr>
          <w:p>
            <w:pPr>
              <w:adjustRightInd w:val="0"/>
              <w:snapToGrid w:val="0"/>
              <w:spacing w:line="240" w:lineRule="atLeast"/>
              <w:jc w:val="center"/>
              <w:rPr>
                <w:sz w:val="18"/>
                <w:szCs w:val="18"/>
              </w:rPr>
            </w:pPr>
            <w:r>
              <w:rPr>
                <w:rFonts w:hint="eastAsia"/>
                <w:sz w:val="18"/>
                <w:szCs w:val="18"/>
              </w:rPr>
              <w:t>≤</w:t>
            </w:r>
            <w:r>
              <w:rPr>
                <w:sz w:val="18"/>
                <w:szCs w:val="18"/>
              </w:rPr>
              <w:t>0.03%</w:t>
            </w:r>
          </w:p>
        </w:tc>
        <w:tc>
          <w:tcPr>
            <w:tcW w:w="1843" w:type="dxa"/>
            <w:vAlign w:val="center"/>
          </w:tcPr>
          <w:p>
            <w:pPr>
              <w:adjustRightInd w:val="0"/>
              <w:snapToGrid w:val="0"/>
              <w:spacing w:line="240" w:lineRule="atLeast"/>
              <w:jc w:val="center"/>
              <w:rPr>
                <w:sz w:val="18"/>
                <w:szCs w:val="18"/>
              </w:rPr>
            </w:pPr>
            <w:r>
              <w:rPr>
                <w:rFonts w:hint="eastAsia"/>
                <w:sz w:val="18"/>
                <w:szCs w:val="18"/>
              </w:rPr>
              <w:t>≤</w:t>
            </w:r>
            <w:r>
              <w:rPr>
                <w:sz w:val="18"/>
                <w:szCs w:val="18"/>
              </w:rPr>
              <w:t>0.03%</w:t>
            </w:r>
          </w:p>
        </w:tc>
        <w:tc>
          <w:tcPr>
            <w:tcW w:w="851" w:type="dxa"/>
            <w:vAlign w:val="center"/>
          </w:tcPr>
          <w:p>
            <w:pPr>
              <w:adjustRightInd w:val="0"/>
              <w:spacing w:line="240" w:lineRule="atLeast"/>
              <w:jc w:val="center"/>
              <w:rPr>
                <w:sz w:val="18"/>
                <w:szCs w:val="18"/>
              </w:rPr>
            </w:pPr>
            <w:r>
              <w:rPr>
                <w:rFonts w:hint="eastAsia"/>
                <w:sz w:val="18"/>
                <w:szCs w:val="18"/>
              </w:rPr>
              <w:t>/</w:t>
            </w:r>
          </w:p>
        </w:tc>
        <w:tc>
          <w:tcPr>
            <w:tcW w:w="850" w:type="dxa"/>
            <w:vAlign w:val="center"/>
          </w:tcPr>
          <w:p>
            <w:pPr>
              <w:adjustRightInd w:val="0"/>
              <w:spacing w:line="240" w:lineRule="atLeast"/>
              <w:jc w:val="center"/>
              <w:rPr>
                <w:sz w:val="18"/>
                <w:szCs w:val="18"/>
              </w:rPr>
            </w:pPr>
            <w:r>
              <w:rPr>
                <w:rFonts w:hint="eastAsia"/>
                <w:sz w:val="18"/>
                <w:szCs w:val="18"/>
              </w:rPr>
              <w:t>/</w:t>
            </w:r>
          </w:p>
        </w:tc>
        <w:tc>
          <w:tcPr>
            <w:tcW w:w="1744" w:type="dxa"/>
            <w:vAlign w:val="center"/>
          </w:tcPr>
          <w:p>
            <w:pPr>
              <w:adjustRightInd w:val="0"/>
              <w:snapToGrid w:val="0"/>
              <w:spacing w:line="240" w:lineRule="atLeast"/>
              <w:jc w:val="center"/>
              <w:rPr>
                <w:sz w:val="18"/>
                <w:szCs w:val="18"/>
              </w:rPr>
            </w:pPr>
            <w:r>
              <w:rPr>
                <w:sz w:val="18"/>
                <w:szCs w:val="18"/>
              </w:rPr>
              <w:t>X＞0.03%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53" w:hRule="atLeast"/>
          <w:jc w:val="center"/>
        </w:trPr>
        <w:tc>
          <w:tcPr>
            <w:tcW w:w="453" w:type="dxa"/>
            <w:vAlign w:val="center"/>
          </w:tcPr>
          <w:p>
            <w:pPr>
              <w:adjustRightInd w:val="0"/>
              <w:snapToGrid w:val="0"/>
              <w:spacing w:line="240" w:lineRule="atLeast"/>
              <w:jc w:val="center"/>
              <w:rPr>
                <w:sz w:val="18"/>
                <w:szCs w:val="18"/>
              </w:rPr>
            </w:pPr>
            <w:r>
              <w:rPr>
                <w:sz w:val="18"/>
                <w:szCs w:val="18"/>
              </w:rPr>
              <w:t>4</w:t>
            </w:r>
          </w:p>
        </w:tc>
        <w:tc>
          <w:tcPr>
            <w:tcW w:w="1492" w:type="dxa"/>
            <w:vAlign w:val="center"/>
          </w:tcPr>
          <w:p>
            <w:pPr>
              <w:adjustRightInd w:val="0"/>
              <w:snapToGrid w:val="0"/>
              <w:spacing w:line="240" w:lineRule="atLeast"/>
              <w:jc w:val="center"/>
              <w:rPr>
                <w:sz w:val="18"/>
                <w:szCs w:val="18"/>
              </w:rPr>
            </w:pPr>
            <w:r>
              <w:rPr>
                <w:sz w:val="18"/>
                <w:szCs w:val="18"/>
              </w:rPr>
              <w:t>重金属含量</w:t>
            </w:r>
            <w:r>
              <w:rPr>
                <w:rFonts w:hint="eastAsia"/>
                <w:sz w:val="18"/>
                <w:szCs w:val="18"/>
              </w:rPr>
              <w:t>（限色漆）</w:t>
            </w:r>
          </w:p>
        </w:tc>
        <w:tc>
          <w:tcPr>
            <w:tcW w:w="1842" w:type="dxa"/>
            <w:vAlign w:val="center"/>
          </w:tcPr>
          <w:p>
            <w:pPr>
              <w:adjustRightInd w:val="0"/>
              <w:snapToGrid w:val="0"/>
              <w:spacing w:line="240" w:lineRule="atLeast"/>
              <w:jc w:val="center"/>
              <w:rPr>
                <w:sz w:val="18"/>
                <w:szCs w:val="18"/>
              </w:rPr>
            </w:pPr>
            <w:r>
              <w:rPr>
                <w:sz w:val="18"/>
                <w:szCs w:val="18"/>
              </w:rPr>
              <w:t>铅（Pb）</w:t>
            </w:r>
            <w:r>
              <w:rPr>
                <w:rFonts w:hint="eastAsia"/>
                <w:sz w:val="18"/>
                <w:szCs w:val="18"/>
              </w:rPr>
              <w:t>≤</w:t>
            </w:r>
            <w:r>
              <w:rPr>
                <w:sz w:val="18"/>
                <w:szCs w:val="18"/>
              </w:rPr>
              <w:t>1000 mg/kg</w:t>
            </w:r>
          </w:p>
          <w:p>
            <w:pPr>
              <w:adjustRightInd w:val="0"/>
              <w:snapToGrid w:val="0"/>
              <w:spacing w:line="240" w:lineRule="atLeast"/>
              <w:jc w:val="center"/>
              <w:rPr>
                <w:sz w:val="18"/>
                <w:szCs w:val="18"/>
              </w:rPr>
            </w:pPr>
            <w:r>
              <w:rPr>
                <w:sz w:val="18"/>
                <w:szCs w:val="18"/>
              </w:rPr>
              <w:t>镉（Cd）</w:t>
            </w:r>
            <w:r>
              <w:rPr>
                <w:rFonts w:hint="eastAsia"/>
                <w:sz w:val="18"/>
                <w:szCs w:val="18"/>
              </w:rPr>
              <w:t>≤</w:t>
            </w:r>
            <w:r>
              <w:rPr>
                <w:sz w:val="18"/>
                <w:szCs w:val="18"/>
              </w:rPr>
              <w:t>100 mg/kg</w:t>
            </w:r>
          </w:p>
          <w:p>
            <w:pPr>
              <w:adjustRightInd w:val="0"/>
              <w:snapToGrid w:val="0"/>
              <w:spacing w:line="240" w:lineRule="atLeast"/>
              <w:jc w:val="center"/>
              <w:rPr>
                <w:sz w:val="18"/>
                <w:szCs w:val="18"/>
              </w:rPr>
            </w:pPr>
            <w:r>
              <w:rPr>
                <w:sz w:val="18"/>
                <w:szCs w:val="18"/>
              </w:rPr>
              <w:t>六价铬（Cr6+）</w:t>
            </w:r>
            <w:r>
              <w:rPr>
                <w:rFonts w:hint="eastAsia"/>
                <w:sz w:val="18"/>
                <w:szCs w:val="18"/>
              </w:rPr>
              <w:t>≤</w:t>
            </w:r>
            <w:r>
              <w:rPr>
                <w:sz w:val="18"/>
                <w:szCs w:val="18"/>
              </w:rPr>
              <w:t>1000 mg/kg</w:t>
            </w:r>
          </w:p>
          <w:p>
            <w:pPr>
              <w:adjustRightInd w:val="0"/>
              <w:snapToGrid w:val="0"/>
              <w:spacing w:line="240" w:lineRule="atLeast"/>
              <w:jc w:val="center"/>
              <w:rPr>
                <w:sz w:val="18"/>
                <w:szCs w:val="18"/>
              </w:rPr>
            </w:pPr>
            <w:r>
              <w:rPr>
                <w:sz w:val="18"/>
                <w:szCs w:val="18"/>
              </w:rPr>
              <w:t>汞（Hg）</w:t>
            </w:r>
            <w:r>
              <w:rPr>
                <w:rFonts w:hint="eastAsia"/>
                <w:sz w:val="18"/>
                <w:szCs w:val="18"/>
              </w:rPr>
              <w:t>≤</w:t>
            </w:r>
            <w:r>
              <w:rPr>
                <w:sz w:val="18"/>
                <w:szCs w:val="18"/>
              </w:rPr>
              <w:t>1000 mg/kg</w:t>
            </w:r>
          </w:p>
        </w:tc>
        <w:tc>
          <w:tcPr>
            <w:tcW w:w="1843" w:type="dxa"/>
            <w:vAlign w:val="center"/>
          </w:tcPr>
          <w:p>
            <w:pPr>
              <w:adjustRightInd w:val="0"/>
              <w:snapToGrid w:val="0"/>
              <w:spacing w:line="240" w:lineRule="atLeast"/>
              <w:jc w:val="center"/>
              <w:rPr>
                <w:sz w:val="18"/>
                <w:szCs w:val="18"/>
              </w:rPr>
            </w:pPr>
            <w:r>
              <w:rPr>
                <w:sz w:val="18"/>
                <w:szCs w:val="18"/>
              </w:rPr>
              <w:t>铅（Pb）</w:t>
            </w:r>
            <w:r>
              <w:rPr>
                <w:rFonts w:hint="eastAsia"/>
                <w:sz w:val="18"/>
                <w:szCs w:val="18"/>
              </w:rPr>
              <w:t>≤</w:t>
            </w:r>
            <w:r>
              <w:rPr>
                <w:sz w:val="18"/>
                <w:szCs w:val="18"/>
              </w:rPr>
              <w:t>1000 mg/kg</w:t>
            </w:r>
          </w:p>
          <w:p>
            <w:pPr>
              <w:adjustRightInd w:val="0"/>
              <w:snapToGrid w:val="0"/>
              <w:spacing w:line="240" w:lineRule="atLeast"/>
              <w:jc w:val="center"/>
              <w:rPr>
                <w:sz w:val="18"/>
                <w:szCs w:val="18"/>
              </w:rPr>
            </w:pPr>
            <w:r>
              <w:rPr>
                <w:sz w:val="18"/>
                <w:szCs w:val="18"/>
              </w:rPr>
              <w:t>镉（Cd）</w:t>
            </w:r>
            <w:r>
              <w:rPr>
                <w:rFonts w:hint="eastAsia"/>
                <w:sz w:val="18"/>
                <w:szCs w:val="18"/>
              </w:rPr>
              <w:t>≤</w:t>
            </w:r>
            <w:r>
              <w:rPr>
                <w:sz w:val="18"/>
                <w:szCs w:val="18"/>
              </w:rPr>
              <w:t>100 mg/kg</w:t>
            </w:r>
          </w:p>
          <w:p>
            <w:pPr>
              <w:adjustRightInd w:val="0"/>
              <w:snapToGrid w:val="0"/>
              <w:spacing w:line="240" w:lineRule="atLeast"/>
              <w:jc w:val="center"/>
              <w:rPr>
                <w:sz w:val="18"/>
                <w:szCs w:val="18"/>
              </w:rPr>
            </w:pPr>
            <w:r>
              <w:rPr>
                <w:sz w:val="18"/>
                <w:szCs w:val="18"/>
              </w:rPr>
              <w:t>六价铬（Cr6+）</w:t>
            </w:r>
            <w:r>
              <w:rPr>
                <w:rFonts w:hint="eastAsia"/>
                <w:sz w:val="18"/>
                <w:szCs w:val="18"/>
              </w:rPr>
              <w:t>≤</w:t>
            </w:r>
            <w:r>
              <w:rPr>
                <w:sz w:val="18"/>
                <w:szCs w:val="18"/>
              </w:rPr>
              <w:t>1000 mg/kg</w:t>
            </w:r>
          </w:p>
          <w:p>
            <w:pPr>
              <w:adjustRightInd w:val="0"/>
              <w:snapToGrid w:val="0"/>
              <w:spacing w:line="240" w:lineRule="atLeast"/>
              <w:jc w:val="center"/>
              <w:rPr>
                <w:sz w:val="18"/>
                <w:szCs w:val="18"/>
              </w:rPr>
            </w:pPr>
            <w:r>
              <w:rPr>
                <w:sz w:val="18"/>
                <w:szCs w:val="18"/>
              </w:rPr>
              <w:t>汞（Hg）</w:t>
            </w:r>
            <w:r>
              <w:rPr>
                <w:rFonts w:hint="eastAsia"/>
                <w:sz w:val="18"/>
                <w:szCs w:val="18"/>
              </w:rPr>
              <w:t>≤</w:t>
            </w:r>
            <w:r>
              <w:rPr>
                <w:sz w:val="18"/>
                <w:szCs w:val="18"/>
              </w:rPr>
              <w:t>1000 mg/kg</w:t>
            </w:r>
          </w:p>
        </w:tc>
        <w:tc>
          <w:tcPr>
            <w:tcW w:w="851" w:type="dxa"/>
            <w:vAlign w:val="center"/>
          </w:tcPr>
          <w:p>
            <w:pPr>
              <w:adjustRightInd w:val="0"/>
              <w:spacing w:line="240" w:lineRule="atLeast"/>
              <w:jc w:val="center"/>
              <w:rPr>
                <w:sz w:val="18"/>
                <w:szCs w:val="18"/>
              </w:rPr>
            </w:pPr>
            <w:r>
              <w:rPr>
                <w:rFonts w:hint="eastAsia"/>
                <w:sz w:val="18"/>
                <w:szCs w:val="18"/>
              </w:rPr>
              <w:t>/</w:t>
            </w:r>
          </w:p>
        </w:tc>
        <w:tc>
          <w:tcPr>
            <w:tcW w:w="850" w:type="dxa"/>
            <w:vAlign w:val="center"/>
          </w:tcPr>
          <w:p>
            <w:pPr>
              <w:adjustRightInd w:val="0"/>
              <w:spacing w:line="240" w:lineRule="atLeast"/>
              <w:jc w:val="center"/>
              <w:rPr>
                <w:sz w:val="18"/>
                <w:szCs w:val="18"/>
              </w:rPr>
            </w:pPr>
            <w:r>
              <w:rPr>
                <w:rFonts w:hint="eastAsia"/>
                <w:sz w:val="18"/>
                <w:szCs w:val="18"/>
              </w:rPr>
              <w:t>/</w:t>
            </w:r>
          </w:p>
        </w:tc>
        <w:tc>
          <w:tcPr>
            <w:tcW w:w="1744" w:type="dxa"/>
            <w:vAlign w:val="center"/>
          </w:tcPr>
          <w:p>
            <w:pPr>
              <w:adjustRightInd w:val="0"/>
              <w:snapToGrid w:val="0"/>
              <w:spacing w:line="240" w:lineRule="atLeast"/>
              <w:jc w:val="center"/>
              <w:rPr>
                <w:sz w:val="18"/>
                <w:szCs w:val="18"/>
              </w:rPr>
            </w:pPr>
            <w:r>
              <w:rPr>
                <w:sz w:val="18"/>
                <w:szCs w:val="18"/>
              </w:rPr>
              <w:t>铅（Pb）X＞1000 mg/kg</w:t>
            </w:r>
          </w:p>
          <w:p>
            <w:pPr>
              <w:adjustRightInd w:val="0"/>
              <w:snapToGrid w:val="0"/>
              <w:spacing w:line="240" w:lineRule="atLeast"/>
              <w:jc w:val="center"/>
              <w:rPr>
                <w:sz w:val="18"/>
                <w:szCs w:val="18"/>
              </w:rPr>
            </w:pPr>
            <w:r>
              <w:rPr>
                <w:sz w:val="18"/>
                <w:szCs w:val="18"/>
              </w:rPr>
              <w:t>镉（Cd）X＞100 mg/kg</w:t>
            </w:r>
          </w:p>
          <w:p>
            <w:pPr>
              <w:adjustRightInd w:val="0"/>
              <w:snapToGrid w:val="0"/>
              <w:spacing w:line="240" w:lineRule="atLeast"/>
              <w:jc w:val="center"/>
              <w:rPr>
                <w:sz w:val="18"/>
                <w:szCs w:val="18"/>
              </w:rPr>
            </w:pPr>
            <w:r>
              <w:rPr>
                <w:sz w:val="18"/>
                <w:szCs w:val="18"/>
              </w:rPr>
              <w:t>六价铬（Cr6+）X＞1000 mg/kg</w:t>
            </w:r>
          </w:p>
          <w:p>
            <w:pPr>
              <w:adjustRightInd w:val="0"/>
              <w:snapToGrid w:val="0"/>
              <w:spacing w:line="240" w:lineRule="atLeast"/>
              <w:jc w:val="center"/>
              <w:rPr>
                <w:sz w:val="18"/>
                <w:szCs w:val="18"/>
              </w:rPr>
            </w:pPr>
            <w:r>
              <w:rPr>
                <w:sz w:val="18"/>
                <w:szCs w:val="18"/>
              </w:rPr>
              <w:t>汞（Hg）X＞1000 mg/kg</w:t>
            </w:r>
          </w:p>
        </w:tc>
      </w:tr>
    </w:tbl>
    <w:p>
      <w:pPr>
        <w:ind w:firstLine="640" w:firstLineChars="200"/>
        <w:rPr>
          <w:rFonts w:eastAsia="楷体_GB2312"/>
          <w:szCs w:val="32"/>
        </w:rPr>
      </w:pPr>
      <w:r>
        <w:rPr>
          <w:rFonts w:hint="eastAsia" w:eastAsia="楷体_GB2312"/>
          <w:szCs w:val="32"/>
        </w:rPr>
        <w:t>4</w:t>
      </w:r>
      <w:r>
        <w:rPr>
          <w:rFonts w:hint="eastAsia" w:eastAsia="楷体_GB2312"/>
          <w:szCs w:val="32"/>
          <w:lang w:eastAsia="zh-CN"/>
        </w:rPr>
        <w:t>．</w:t>
      </w:r>
      <w:r>
        <w:rPr>
          <w:rFonts w:hint="eastAsia" w:eastAsia="楷体_GB2312"/>
          <w:szCs w:val="32"/>
        </w:rPr>
        <w:t>建筑用防水涂料</w:t>
      </w:r>
    </w:p>
    <w:tbl>
      <w:tblPr>
        <w:tblStyle w:val="3"/>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8"/>
        <w:gridCol w:w="1096"/>
        <w:gridCol w:w="1985"/>
        <w:gridCol w:w="1984"/>
        <w:gridCol w:w="851"/>
        <w:gridCol w:w="850"/>
        <w:gridCol w:w="16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blHeader/>
          <w:jc w:val="center"/>
        </w:trPr>
        <w:tc>
          <w:tcPr>
            <w:tcW w:w="47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sz w:val="18"/>
                <w:szCs w:val="18"/>
              </w:rPr>
              <w:t>序号</w:t>
            </w:r>
          </w:p>
        </w:tc>
        <w:tc>
          <w:tcPr>
            <w:tcW w:w="10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sz w:val="18"/>
                <w:szCs w:val="18"/>
              </w:rPr>
              <w:t>检验项目</w:t>
            </w:r>
          </w:p>
        </w:tc>
        <w:tc>
          <w:tcPr>
            <w:tcW w:w="19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sz w:val="18"/>
                <w:szCs w:val="18"/>
              </w:rPr>
              <w:t>标准要求</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pacing w:line="240" w:lineRule="exact"/>
              <w:ind w:left="0" w:leftChars="0" w:right="0" w:rightChars="0"/>
              <w:jc w:val="center"/>
              <w:textAlignment w:val="auto"/>
              <w:outlineLvl w:val="9"/>
              <w:rPr>
                <w:sz w:val="18"/>
                <w:szCs w:val="18"/>
              </w:rPr>
            </w:pPr>
            <w:r>
              <w:rPr>
                <w:sz w:val="18"/>
                <w:szCs w:val="18"/>
              </w:rPr>
              <w:t>样本合格</w:t>
            </w:r>
          </w:p>
        </w:tc>
        <w:tc>
          <w:tcPr>
            <w:tcW w:w="8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pacing w:line="240" w:lineRule="exact"/>
              <w:ind w:left="0" w:leftChars="0" w:right="0" w:rightChars="0"/>
              <w:jc w:val="center"/>
              <w:textAlignment w:val="auto"/>
              <w:outlineLvl w:val="9"/>
              <w:rPr>
                <w:sz w:val="18"/>
                <w:szCs w:val="18"/>
              </w:rPr>
            </w:pPr>
            <w:r>
              <w:rPr>
                <w:sz w:val="18"/>
                <w:szCs w:val="18"/>
              </w:rPr>
              <w:t>轻微不合格</w:t>
            </w:r>
          </w:p>
        </w:tc>
        <w:tc>
          <w:tcPr>
            <w:tcW w:w="850"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pacing w:line="240" w:lineRule="exact"/>
              <w:ind w:left="0" w:leftChars="0" w:right="0" w:rightChars="0"/>
              <w:jc w:val="center"/>
              <w:textAlignment w:val="auto"/>
              <w:outlineLvl w:val="9"/>
              <w:rPr>
                <w:sz w:val="18"/>
                <w:szCs w:val="18"/>
              </w:rPr>
            </w:pPr>
            <w:r>
              <w:rPr>
                <w:sz w:val="18"/>
                <w:szCs w:val="18"/>
              </w:rPr>
              <w:t>较严重不合格</w:t>
            </w:r>
          </w:p>
        </w:tc>
        <w:tc>
          <w:tcPr>
            <w:tcW w:w="1658"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pacing w:line="240" w:lineRule="exact"/>
              <w:ind w:left="0" w:leftChars="0" w:right="0" w:rightChars="0"/>
              <w:jc w:val="center"/>
              <w:textAlignment w:val="auto"/>
              <w:outlineLvl w:val="9"/>
              <w:rPr>
                <w:sz w:val="18"/>
                <w:szCs w:val="18"/>
              </w:rPr>
            </w:pPr>
            <w:r>
              <w:rPr>
                <w:sz w:val="18"/>
                <w:szCs w:val="18"/>
              </w:rPr>
              <w:t>严重不合格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478" w:type="dxa"/>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outlineLvl w:val="9"/>
              <w:rPr>
                <w:sz w:val="18"/>
                <w:szCs w:val="18"/>
              </w:rPr>
            </w:pPr>
            <w:r>
              <w:rPr>
                <w:sz w:val="18"/>
                <w:szCs w:val="18"/>
              </w:rPr>
              <w:t>1</w:t>
            </w:r>
          </w:p>
        </w:tc>
        <w:tc>
          <w:tcPr>
            <w:tcW w:w="1096" w:type="dxa"/>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outlineLvl w:val="9"/>
              <w:rPr>
                <w:sz w:val="18"/>
                <w:szCs w:val="18"/>
              </w:rPr>
            </w:pPr>
            <w:r>
              <w:rPr>
                <w:rFonts w:hint="eastAsia"/>
                <w:sz w:val="18"/>
                <w:szCs w:val="18"/>
              </w:rPr>
              <w:t>挥发性有机化合物(VOC)</w:t>
            </w:r>
          </w:p>
        </w:tc>
        <w:tc>
          <w:tcPr>
            <w:tcW w:w="198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水性</w:t>
            </w:r>
            <w:r>
              <w:rPr>
                <w:sz w:val="18"/>
                <w:szCs w:val="18"/>
              </w:rPr>
              <w:t>A</w:t>
            </w:r>
            <w:r>
              <w:rPr>
                <w:rFonts w:hint="eastAsia"/>
                <w:sz w:val="18"/>
                <w:szCs w:val="18"/>
              </w:rPr>
              <w:t>级</w:t>
            </w:r>
            <w:r>
              <w:rPr>
                <w:sz w:val="18"/>
                <w:szCs w:val="18"/>
              </w:rPr>
              <w:t>:</w:t>
            </w:r>
            <w:r>
              <w:rPr>
                <w:rFonts w:hint="eastAsia"/>
                <w:sz w:val="18"/>
                <w:szCs w:val="18"/>
              </w:rPr>
              <w:t>≤</w:t>
            </w:r>
            <w:r>
              <w:rPr>
                <w:sz w:val="18"/>
                <w:szCs w:val="18"/>
              </w:rPr>
              <w:t>80 g/L</w:t>
            </w:r>
          </w:p>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水性</w:t>
            </w:r>
            <w:r>
              <w:rPr>
                <w:sz w:val="18"/>
                <w:szCs w:val="18"/>
              </w:rPr>
              <w:t>B</w:t>
            </w:r>
            <w:r>
              <w:rPr>
                <w:rFonts w:hint="eastAsia"/>
                <w:sz w:val="18"/>
                <w:szCs w:val="18"/>
              </w:rPr>
              <w:t>级</w:t>
            </w:r>
            <w:r>
              <w:rPr>
                <w:sz w:val="18"/>
                <w:szCs w:val="18"/>
              </w:rPr>
              <w:t>:</w:t>
            </w:r>
            <w:r>
              <w:rPr>
                <w:rFonts w:hint="eastAsia"/>
                <w:sz w:val="18"/>
                <w:szCs w:val="18"/>
              </w:rPr>
              <w:t>≤</w:t>
            </w:r>
            <w:r>
              <w:rPr>
                <w:sz w:val="18"/>
                <w:szCs w:val="18"/>
              </w:rPr>
              <w:t>120 g/L</w:t>
            </w:r>
          </w:p>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反应型A级</w:t>
            </w:r>
            <w:r>
              <w:rPr>
                <w:sz w:val="18"/>
                <w:szCs w:val="18"/>
              </w:rPr>
              <w:t>:</w:t>
            </w:r>
            <w:r>
              <w:rPr>
                <w:rFonts w:hint="eastAsia"/>
                <w:sz w:val="18"/>
                <w:szCs w:val="18"/>
              </w:rPr>
              <w:t>≤5</w:t>
            </w:r>
            <w:r>
              <w:rPr>
                <w:sz w:val="18"/>
                <w:szCs w:val="18"/>
              </w:rPr>
              <w:t>0 g/L</w:t>
            </w:r>
          </w:p>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反应型B级</w:t>
            </w:r>
            <w:r>
              <w:rPr>
                <w:sz w:val="18"/>
                <w:szCs w:val="18"/>
              </w:rPr>
              <w:t>:</w:t>
            </w:r>
            <w:r>
              <w:rPr>
                <w:rFonts w:hint="eastAsia"/>
                <w:sz w:val="18"/>
                <w:szCs w:val="18"/>
              </w:rPr>
              <w:t>≤200</w:t>
            </w:r>
            <w:r>
              <w:rPr>
                <w:sz w:val="18"/>
                <w:szCs w:val="18"/>
              </w:rPr>
              <w:t xml:space="preserve"> g/L</w:t>
            </w:r>
          </w:p>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溶剂型:≤750g/L</w:t>
            </w:r>
          </w:p>
        </w:tc>
        <w:tc>
          <w:tcPr>
            <w:tcW w:w="1984"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水性</w:t>
            </w:r>
            <w:r>
              <w:rPr>
                <w:sz w:val="18"/>
                <w:szCs w:val="18"/>
              </w:rPr>
              <w:t>A</w:t>
            </w:r>
            <w:r>
              <w:rPr>
                <w:rFonts w:hint="eastAsia"/>
                <w:sz w:val="18"/>
                <w:szCs w:val="18"/>
              </w:rPr>
              <w:t>级</w:t>
            </w:r>
            <w:r>
              <w:rPr>
                <w:sz w:val="18"/>
                <w:szCs w:val="18"/>
              </w:rPr>
              <w:t>:</w:t>
            </w:r>
            <w:r>
              <w:rPr>
                <w:rFonts w:hint="eastAsia"/>
                <w:sz w:val="18"/>
                <w:szCs w:val="18"/>
              </w:rPr>
              <w:t>≤</w:t>
            </w:r>
            <w:r>
              <w:rPr>
                <w:sz w:val="18"/>
                <w:szCs w:val="18"/>
              </w:rPr>
              <w:t>80 g/L</w:t>
            </w:r>
          </w:p>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水性</w:t>
            </w:r>
            <w:r>
              <w:rPr>
                <w:sz w:val="18"/>
                <w:szCs w:val="18"/>
              </w:rPr>
              <w:t>B</w:t>
            </w:r>
            <w:r>
              <w:rPr>
                <w:rFonts w:hint="eastAsia"/>
                <w:sz w:val="18"/>
                <w:szCs w:val="18"/>
              </w:rPr>
              <w:t>级</w:t>
            </w:r>
            <w:r>
              <w:rPr>
                <w:sz w:val="18"/>
                <w:szCs w:val="18"/>
              </w:rPr>
              <w:t>:</w:t>
            </w:r>
            <w:r>
              <w:rPr>
                <w:rFonts w:hint="eastAsia"/>
                <w:sz w:val="18"/>
                <w:szCs w:val="18"/>
              </w:rPr>
              <w:t>≤</w:t>
            </w:r>
            <w:r>
              <w:rPr>
                <w:sz w:val="18"/>
                <w:szCs w:val="18"/>
              </w:rPr>
              <w:t>120 g/L</w:t>
            </w:r>
          </w:p>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反应型A级</w:t>
            </w:r>
            <w:r>
              <w:rPr>
                <w:sz w:val="18"/>
                <w:szCs w:val="18"/>
              </w:rPr>
              <w:t>:</w:t>
            </w:r>
            <w:r>
              <w:rPr>
                <w:rFonts w:hint="eastAsia"/>
                <w:sz w:val="18"/>
                <w:szCs w:val="18"/>
              </w:rPr>
              <w:t>≤5</w:t>
            </w:r>
            <w:r>
              <w:rPr>
                <w:sz w:val="18"/>
                <w:szCs w:val="18"/>
              </w:rPr>
              <w:t>0 g/L</w:t>
            </w:r>
          </w:p>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反应型B级</w:t>
            </w:r>
            <w:r>
              <w:rPr>
                <w:sz w:val="18"/>
                <w:szCs w:val="18"/>
              </w:rPr>
              <w:t>:</w:t>
            </w:r>
            <w:r>
              <w:rPr>
                <w:rFonts w:hint="eastAsia"/>
                <w:sz w:val="18"/>
                <w:szCs w:val="18"/>
              </w:rPr>
              <w:t>≤200</w:t>
            </w:r>
            <w:r>
              <w:rPr>
                <w:sz w:val="18"/>
                <w:szCs w:val="18"/>
              </w:rPr>
              <w:t xml:space="preserve"> g/L</w:t>
            </w:r>
          </w:p>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溶剂型:≤750g/L</w:t>
            </w:r>
          </w:p>
        </w:tc>
        <w:tc>
          <w:tcPr>
            <w:tcW w:w="851" w:type="dxa"/>
            <w:vAlign w:val="center"/>
          </w:tcPr>
          <w:p>
            <w:pPr>
              <w:keepNext w:val="0"/>
              <w:keepLines w:val="0"/>
              <w:pageBreakBefore w:val="0"/>
              <w:widowControl w:val="0"/>
              <w:kinsoku/>
              <w:wordWrap/>
              <w:overflowPunct/>
              <w:topLinePunct w:val="0"/>
              <w:autoSpaceDE/>
              <w:autoSpaceDN/>
              <w:bidi w:val="0"/>
              <w:adjustRightInd w:val="0"/>
              <w:spacing w:line="240" w:lineRule="exact"/>
              <w:ind w:left="0" w:leftChars="0" w:right="0" w:rightChars="0"/>
              <w:jc w:val="center"/>
              <w:textAlignment w:val="auto"/>
              <w:outlineLvl w:val="9"/>
              <w:rPr>
                <w:sz w:val="18"/>
                <w:szCs w:val="18"/>
              </w:rPr>
            </w:pPr>
            <w:r>
              <w:rPr>
                <w:rFonts w:hint="eastAsia"/>
                <w:sz w:val="18"/>
                <w:szCs w:val="18"/>
              </w:rPr>
              <w:t>/</w:t>
            </w:r>
          </w:p>
        </w:tc>
        <w:tc>
          <w:tcPr>
            <w:tcW w:w="850" w:type="dxa"/>
            <w:vAlign w:val="center"/>
          </w:tcPr>
          <w:p>
            <w:pPr>
              <w:keepNext w:val="0"/>
              <w:keepLines w:val="0"/>
              <w:pageBreakBefore w:val="0"/>
              <w:widowControl w:val="0"/>
              <w:kinsoku/>
              <w:wordWrap/>
              <w:overflowPunct/>
              <w:topLinePunct w:val="0"/>
              <w:autoSpaceDE/>
              <w:autoSpaceDN/>
              <w:bidi w:val="0"/>
              <w:adjustRightInd w:val="0"/>
              <w:spacing w:line="240" w:lineRule="exact"/>
              <w:ind w:left="0" w:leftChars="0" w:right="0" w:rightChars="0"/>
              <w:jc w:val="center"/>
              <w:textAlignment w:val="auto"/>
              <w:outlineLvl w:val="9"/>
              <w:rPr>
                <w:sz w:val="18"/>
                <w:szCs w:val="18"/>
              </w:rPr>
            </w:pPr>
            <w:r>
              <w:rPr>
                <w:rFonts w:hint="eastAsia"/>
                <w:sz w:val="18"/>
                <w:szCs w:val="18"/>
              </w:rPr>
              <w:t>/</w:t>
            </w:r>
          </w:p>
        </w:tc>
        <w:tc>
          <w:tcPr>
            <w:tcW w:w="1658"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水性</w:t>
            </w:r>
            <w:r>
              <w:rPr>
                <w:sz w:val="18"/>
                <w:szCs w:val="18"/>
              </w:rPr>
              <w:t>A</w:t>
            </w:r>
            <w:r>
              <w:rPr>
                <w:rFonts w:hint="eastAsia"/>
                <w:sz w:val="18"/>
                <w:szCs w:val="18"/>
              </w:rPr>
              <w:t>级</w:t>
            </w:r>
            <w:r>
              <w:rPr>
                <w:sz w:val="18"/>
                <w:szCs w:val="18"/>
              </w:rPr>
              <w:t>: X＞80 g/L</w:t>
            </w:r>
          </w:p>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水性</w:t>
            </w:r>
            <w:r>
              <w:rPr>
                <w:sz w:val="18"/>
                <w:szCs w:val="18"/>
              </w:rPr>
              <w:t>B</w:t>
            </w:r>
            <w:r>
              <w:rPr>
                <w:rFonts w:hint="eastAsia"/>
                <w:sz w:val="18"/>
                <w:szCs w:val="18"/>
              </w:rPr>
              <w:t>级</w:t>
            </w:r>
            <w:r>
              <w:rPr>
                <w:sz w:val="18"/>
                <w:szCs w:val="18"/>
              </w:rPr>
              <w:t>: X＞120 g/L</w:t>
            </w:r>
          </w:p>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反应型A级</w:t>
            </w:r>
            <w:r>
              <w:rPr>
                <w:sz w:val="18"/>
                <w:szCs w:val="18"/>
              </w:rPr>
              <w:t>: X＞</w:t>
            </w:r>
            <w:r>
              <w:rPr>
                <w:rFonts w:hint="eastAsia"/>
                <w:sz w:val="18"/>
                <w:szCs w:val="18"/>
              </w:rPr>
              <w:t>5</w:t>
            </w:r>
            <w:r>
              <w:rPr>
                <w:sz w:val="18"/>
                <w:szCs w:val="18"/>
              </w:rPr>
              <w:t>0 g/L</w:t>
            </w:r>
          </w:p>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反应型B级</w:t>
            </w:r>
            <w:r>
              <w:rPr>
                <w:sz w:val="18"/>
                <w:szCs w:val="18"/>
              </w:rPr>
              <w:t>: X＞</w:t>
            </w:r>
            <w:r>
              <w:rPr>
                <w:rFonts w:hint="eastAsia"/>
                <w:sz w:val="18"/>
                <w:szCs w:val="18"/>
              </w:rPr>
              <w:t>200</w:t>
            </w:r>
            <w:r>
              <w:rPr>
                <w:sz w:val="18"/>
                <w:szCs w:val="18"/>
              </w:rPr>
              <w:t xml:space="preserve"> g/L</w:t>
            </w:r>
          </w:p>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溶剂型:</w:t>
            </w:r>
            <w:r>
              <w:rPr>
                <w:sz w:val="18"/>
                <w:szCs w:val="18"/>
              </w:rPr>
              <w:t xml:space="preserve"> X＞</w:t>
            </w:r>
            <w:r>
              <w:rPr>
                <w:rFonts w:hint="eastAsia"/>
                <w:sz w:val="18"/>
                <w:szCs w:val="18"/>
              </w:rPr>
              <w:t>750g/L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478" w:type="dxa"/>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outlineLvl w:val="9"/>
              <w:rPr>
                <w:sz w:val="18"/>
                <w:szCs w:val="18"/>
              </w:rPr>
            </w:pPr>
            <w:r>
              <w:rPr>
                <w:sz w:val="18"/>
                <w:szCs w:val="18"/>
              </w:rPr>
              <w:t>2</w:t>
            </w:r>
          </w:p>
        </w:tc>
        <w:tc>
          <w:tcPr>
            <w:tcW w:w="1096" w:type="dxa"/>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outlineLvl w:val="9"/>
              <w:rPr>
                <w:sz w:val="18"/>
                <w:szCs w:val="18"/>
              </w:rPr>
            </w:pPr>
            <w:r>
              <w:rPr>
                <w:rFonts w:hint="eastAsia"/>
                <w:sz w:val="18"/>
                <w:szCs w:val="18"/>
              </w:rPr>
              <w:t>游离甲醛（水性）</w:t>
            </w:r>
          </w:p>
        </w:tc>
        <w:tc>
          <w:tcPr>
            <w:tcW w:w="198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sz w:val="18"/>
                <w:szCs w:val="18"/>
              </w:rPr>
              <w:t>A</w:t>
            </w:r>
            <w:r>
              <w:rPr>
                <w:rFonts w:hint="eastAsia"/>
                <w:sz w:val="18"/>
                <w:szCs w:val="18"/>
              </w:rPr>
              <w:t>级</w:t>
            </w:r>
            <w:r>
              <w:rPr>
                <w:sz w:val="18"/>
                <w:szCs w:val="18"/>
              </w:rPr>
              <w:t>:</w:t>
            </w:r>
            <w:r>
              <w:rPr>
                <w:rFonts w:hint="eastAsia"/>
                <w:sz w:val="18"/>
                <w:szCs w:val="18"/>
              </w:rPr>
              <w:t>≤</w:t>
            </w:r>
            <w:r>
              <w:rPr>
                <w:sz w:val="18"/>
                <w:szCs w:val="18"/>
              </w:rPr>
              <w:t>100mg/kg</w:t>
            </w:r>
          </w:p>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sz w:val="18"/>
                <w:szCs w:val="18"/>
              </w:rPr>
              <w:t>B:</w:t>
            </w:r>
            <w:r>
              <w:rPr>
                <w:rFonts w:hint="eastAsia"/>
                <w:sz w:val="18"/>
                <w:szCs w:val="18"/>
              </w:rPr>
              <w:t>级:≤</w:t>
            </w:r>
            <w:r>
              <w:rPr>
                <w:sz w:val="18"/>
                <w:szCs w:val="18"/>
              </w:rPr>
              <w:t>200mg/kg</w:t>
            </w:r>
          </w:p>
        </w:tc>
        <w:tc>
          <w:tcPr>
            <w:tcW w:w="1984"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sz w:val="18"/>
                <w:szCs w:val="18"/>
              </w:rPr>
              <w:t>A</w:t>
            </w:r>
            <w:r>
              <w:rPr>
                <w:rFonts w:hint="eastAsia"/>
                <w:sz w:val="18"/>
                <w:szCs w:val="18"/>
              </w:rPr>
              <w:t>级</w:t>
            </w:r>
            <w:r>
              <w:rPr>
                <w:sz w:val="18"/>
                <w:szCs w:val="18"/>
              </w:rPr>
              <w:t>:</w:t>
            </w:r>
            <w:r>
              <w:rPr>
                <w:rFonts w:hint="eastAsia"/>
                <w:sz w:val="18"/>
                <w:szCs w:val="18"/>
              </w:rPr>
              <w:t>≤</w:t>
            </w:r>
            <w:r>
              <w:rPr>
                <w:sz w:val="18"/>
                <w:szCs w:val="18"/>
              </w:rPr>
              <w:t>100mg/kg</w:t>
            </w:r>
          </w:p>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sz w:val="18"/>
                <w:szCs w:val="18"/>
              </w:rPr>
              <w:t>B:</w:t>
            </w:r>
            <w:r>
              <w:rPr>
                <w:rFonts w:hint="eastAsia"/>
                <w:sz w:val="18"/>
                <w:szCs w:val="18"/>
              </w:rPr>
              <w:t>级:≤</w:t>
            </w:r>
            <w:r>
              <w:rPr>
                <w:sz w:val="18"/>
                <w:szCs w:val="18"/>
              </w:rPr>
              <w:t>200mg/kg</w:t>
            </w:r>
          </w:p>
        </w:tc>
        <w:tc>
          <w:tcPr>
            <w:tcW w:w="851" w:type="dxa"/>
            <w:vAlign w:val="center"/>
          </w:tcPr>
          <w:p>
            <w:pPr>
              <w:keepNext w:val="0"/>
              <w:keepLines w:val="0"/>
              <w:pageBreakBefore w:val="0"/>
              <w:widowControl w:val="0"/>
              <w:kinsoku/>
              <w:wordWrap/>
              <w:overflowPunct/>
              <w:topLinePunct w:val="0"/>
              <w:autoSpaceDE/>
              <w:autoSpaceDN/>
              <w:bidi w:val="0"/>
              <w:adjustRightInd w:val="0"/>
              <w:spacing w:line="240" w:lineRule="exact"/>
              <w:ind w:left="0" w:leftChars="0" w:right="0" w:rightChars="0"/>
              <w:jc w:val="center"/>
              <w:textAlignment w:val="auto"/>
              <w:outlineLvl w:val="9"/>
              <w:rPr>
                <w:sz w:val="18"/>
                <w:szCs w:val="18"/>
              </w:rPr>
            </w:pPr>
            <w:r>
              <w:rPr>
                <w:rFonts w:hint="eastAsia"/>
                <w:sz w:val="18"/>
                <w:szCs w:val="18"/>
              </w:rPr>
              <w:t>/</w:t>
            </w:r>
          </w:p>
        </w:tc>
        <w:tc>
          <w:tcPr>
            <w:tcW w:w="850" w:type="dxa"/>
            <w:vAlign w:val="center"/>
          </w:tcPr>
          <w:p>
            <w:pPr>
              <w:keepNext w:val="0"/>
              <w:keepLines w:val="0"/>
              <w:pageBreakBefore w:val="0"/>
              <w:widowControl w:val="0"/>
              <w:kinsoku/>
              <w:wordWrap/>
              <w:overflowPunct/>
              <w:topLinePunct w:val="0"/>
              <w:autoSpaceDE/>
              <w:autoSpaceDN/>
              <w:bidi w:val="0"/>
              <w:adjustRightInd w:val="0"/>
              <w:spacing w:line="240" w:lineRule="exact"/>
              <w:ind w:left="0" w:leftChars="0" w:right="0" w:rightChars="0"/>
              <w:jc w:val="center"/>
              <w:textAlignment w:val="auto"/>
              <w:outlineLvl w:val="9"/>
              <w:rPr>
                <w:sz w:val="18"/>
                <w:szCs w:val="18"/>
              </w:rPr>
            </w:pPr>
            <w:r>
              <w:rPr>
                <w:rFonts w:hint="eastAsia"/>
                <w:sz w:val="18"/>
                <w:szCs w:val="18"/>
              </w:rPr>
              <w:t>/</w:t>
            </w:r>
          </w:p>
        </w:tc>
        <w:tc>
          <w:tcPr>
            <w:tcW w:w="1658"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sz w:val="18"/>
                <w:szCs w:val="18"/>
              </w:rPr>
              <w:t>A</w:t>
            </w:r>
            <w:r>
              <w:rPr>
                <w:rFonts w:hint="eastAsia"/>
                <w:sz w:val="18"/>
                <w:szCs w:val="18"/>
              </w:rPr>
              <w:t>级</w:t>
            </w:r>
            <w:r>
              <w:rPr>
                <w:sz w:val="18"/>
                <w:szCs w:val="18"/>
              </w:rPr>
              <w:t>: X＞100mg/kg</w:t>
            </w:r>
          </w:p>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sz w:val="18"/>
                <w:szCs w:val="18"/>
              </w:rPr>
              <w:t>B:</w:t>
            </w:r>
            <w:r>
              <w:rPr>
                <w:rFonts w:hint="eastAsia"/>
                <w:sz w:val="18"/>
                <w:szCs w:val="18"/>
              </w:rPr>
              <w:t>级:</w:t>
            </w:r>
            <w:r>
              <w:rPr>
                <w:sz w:val="18"/>
                <w:szCs w:val="18"/>
              </w:rPr>
              <w:t xml:space="preserve"> X＞200mg/kg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478" w:type="dxa"/>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outlineLvl w:val="9"/>
              <w:rPr>
                <w:sz w:val="18"/>
                <w:szCs w:val="18"/>
              </w:rPr>
            </w:pPr>
            <w:r>
              <w:rPr>
                <w:sz w:val="18"/>
                <w:szCs w:val="18"/>
              </w:rPr>
              <w:t>3</w:t>
            </w:r>
          </w:p>
        </w:tc>
        <w:tc>
          <w:tcPr>
            <w:tcW w:w="1096" w:type="dxa"/>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outlineLvl w:val="9"/>
              <w:rPr>
                <w:sz w:val="18"/>
                <w:szCs w:val="18"/>
              </w:rPr>
            </w:pPr>
            <w:r>
              <w:rPr>
                <w:rFonts w:hint="eastAsia"/>
                <w:sz w:val="18"/>
                <w:szCs w:val="18"/>
              </w:rPr>
              <w:t>苯（反应型、溶剂型）</w:t>
            </w:r>
          </w:p>
        </w:tc>
        <w:tc>
          <w:tcPr>
            <w:tcW w:w="198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反应型:≤</w:t>
            </w:r>
            <w:r>
              <w:rPr>
                <w:sz w:val="18"/>
                <w:szCs w:val="18"/>
              </w:rPr>
              <w:t>200mg/kg</w:t>
            </w:r>
          </w:p>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溶剂型:≤2.0g/kg</w:t>
            </w:r>
          </w:p>
        </w:tc>
        <w:tc>
          <w:tcPr>
            <w:tcW w:w="1984"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反应型:≤</w:t>
            </w:r>
            <w:r>
              <w:rPr>
                <w:sz w:val="18"/>
                <w:szCs w:val="18"/>
              </w:rPr>
              <w:t>200mg/kg</w:t>
            </w:r>
          </w:p>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溶剂型:≤2.0g/kg</w:t>
            </w:r>
          </w:p>
        </w:tc>
        <w:tc>
          <w:tcPr>
            <w:tcW w:w="851" w:type="dxa"/>
            <w:vAlign w:val="center"/>
          </w:tcPr>
          <w:p>
            <w:pPr>
              <w:keepNext w:val="0"/>
              <w:keepLines w:val="0"/>
              <w:pageBreakBefore w:val="0"/>
              <w:widowControl w:val="0"/>
              <w:kinsoku/>
              <w:wordWrap/>
              <w:overflowPunct/>
              <w:topLinePunct w:val="0"/>
              <w:autoSpaceDE/>
              <w:autoSpaceDN/>
              <w:bidi w:val="0"/>
              <w:adjustRightInd w:val="0"/>
              <w:spacing w:line="240" w:lineRule="exact"/>
              <w:ind w:left="0" w:leftChars="0" w:right="0" w:rightChars="0"/>
              <w:jc w:val="center"/>
              <w:textAlignment w:val="auto"/>
              <w:outlineLvl w:val="9"/>
              <w:rPr>
                <w:sz w:val="18"/>
                <w:szCs w:val="18"/>
              </w:rPr>
            </w:pPr>
            <w:r>
              <w:rPr>
                <w:rFonts w:hint="eastAsia"/>
                <w:sz w:val="18"/>
                <w:szCs w:val="18"/>
              </w:rPr>
              <w:t>/</w:t>
            </w:r>
          </w:p>
        </w:tc>
        <w:tc>
          <w:tcPr>
            <w:tcW w:w="850" w:type="dxa"/>
            <w:vAlign w:val="center"/>
          </w:tcPr>
          <w:p>
            <w:pPr>
              <w:keepNext w:val="0"/>
              <w:keepLines w:val="0"/>
              <w:pageBreakBefore w:val="0"/>
              <w:widowControl w:val="0"/>
              <w:kinsoku/>
              <w:wordWrap/>
              <w:overflowPunct/>
              <w:topLinePunct w:val="0"/>
              <w:autoSpaceDE/>
              <w:autoSpaceDN/>
              <w:bidi w:val="0"/>
              <w:adjustRightInd w:val="0"/>
              <w:spacing w:line="240" w:lineRule="exact"/>
              <w:ind w:left="0" w:leftChars="0" w:right="0" w:rightChars="0"/>
              <w:jc w:val="center"/>
              <w:textAlignment w:val="auto"/>
              <w:outlineLvl w:val="9"/>
              <w:rPr>
                <w:sz w:val="18"/>
                <w:szCs w:val="18"/>
              </w:rPr>
            </w:pPr>
            <w:r>
              <w:rPr>
                <w:rFonts w:hint="eastAsia"/>
                <w:sz w:val="18"/>
                <w:szCs w:val="18"/>
              </w:rPr>
              <w:t>/</w:t>
            </w:r>
          </w:p>
        </w:tc>
        <w:tc>
          <w:tcPr>
            <w:tcW w:w="1658"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反应型:</w:t>
            </w:r>
            <w:r>
              <w:rPr>
                <w:sz w:val="18"/>
                <w:szCs w:val="18"/>
              </w:rPr>
              <w:t xml:space="preserve"> X＞200mg/kg</w:t>
            </w:r>
          </w:p>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溶剂型:</w:t>
            </w:r>
            <w:r>
              <w:rPr>
                <w:sz w:val="18"/>
                <w:szCs w:val="18"/>
              </w:rPr>
              <w:t xml:space="preserve"> X＞</w:t>
            </w:r>
            <w:r>
              <w:rPr>
                <w:rFonts w:hint="eastAsia"/>
                <w:sz w:val="18"/>
                <w:szCs w:val="18"/>
              </w:rPr>
              <w:t>2.0g/kg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478" w:type="dxa"/>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outlineLvl w:val="9"/>
              <w:rPr>
                <w:sz w:val="18"/>
                <w:szCs w:val="18"/>
              </w:rPr>
            </w:pPr>
            <w:r>
              <w:rPr>
                <w:sz w:val="18"/>
                <w:szCs w:val="18"/>
              </w:rPr>
              <w:t>4</w:t>
            </w:r>
          </w:p>
        </w:tc>
        <w:tc>
          <w:tcPr>
            <w:tcW w:w="1096" w:type="dxa"/>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outlineLvl w:val="9"/>
              <w:rPr>
                <w:sz w:val="18"/>
                <w:szCs w:val="18"/>
              </w:rPr>
            </w:pPr>
            <w:r>
              <w:rPr>
                <w:rFonts w:hint="eastAsia"/>
                <w:sz w:val="18"/>
                <w:szCs w:val="18"/>
              </w:rPr>
              <w:t>甲苯+乙苯+二甲苯（反应型、溶剂型）</w:t>
            </w:r>
          </w:p>
        </w:tc>
        <w:tc>
          <w:tcPr>
            <w:tcW w:w="198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反应型A级</w:t>
            </w:r>
            <w:r>
              <w:rPr>
                <w:sz w:val="18"/>
                <w:szCs w:val="18"/>
              </w:rPr>
              <w:t>:</w:t>
            </w:r>
            <w:r>
              <w:rPr>
                <w:rFonts w:hint="eastAsia"/>
                <w:sz w:val="18"/>
                <w:szCs w:val="18"/>
              </w:rPr>
              <w:t xml:space="preserve"> ≤1.0g/kg</w:t>
            </w:r>
          </w:p>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反应型B级</w:t>
            </w:r>
            <w:r>
              <w:rPr>
                <w:sz w:val="18"/>
                <w:szCs w:val="18"/>
              </w:rPr>
              <w:t>:</w:t>
            </w:r>
            <w:r>
              <w:rPr>
                <w:rFonts w:hint="eastAsia"/>
                <w:sz w:val="18"/>
                <w:szCs w:val="18"/>
              </w:rPr>
              <w:t xml:space="preserve"> ≤5.0g/kg</w:t>
            </w:r>
          </w:p>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溶剂型:≤400g/kg</w:t>
            </w:r>
          </w:p>
        </w:tc>
        <w:tc>
          <w:tcPr>
            <w:tcW w:w="1984"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反应型A级</w:t>
            </w:r>
            <w:r>
              <w:rPr>
                <w:sz w:val="18"/>
                <w:szCs w:val="18"/>
              </w:rPr>
              <w:t>:</w:t>
            </w:r>
            <w:r>
              <w:rPr>
                <w:rFonts w:hint="eastAsia"/>
                <w:sz w:val="18"/>
                <w:szCs w:val="18"/>
              </w:rPr>
              <w:t xml:space="preserve"> ≤1.0g/kg</w:t>
            </w:r>
          </w:p>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反应型B级</w:t>
            </w:r>
            <w:r>
              <w:rPr>
                <w:sz w:val="18"/>
                <w:szCs w:val="18"/>
              </w:rPr>
              <w:t>:</w:t>
            </w:r>
            <w:r>
              <w:rPr>
                <w:rFonts w:hint="eastAsia"/>
                <w:sz w:val="18"/>
                <w:szCs w:val="18"/>
              </w:rPr>
              <w:t xml:space="preserve"> ≤5.0g/kg</w:t>
            </w:r>
          </w:p>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溶剂型:≤400g/kg</w:t>
            </w:r>
          </w:p>
        </w:tc>
        <w:tc>
          <w:tcPr>
            <w:tcW w:w="851" w:type="dxa"/>
            <w:vAlign w:val="center"/>
          </w:tcPr>
          <w:p>
            <w:pPr>
              <w:keepNext w:val="0"/>
              <w:keepLines w:val="0"/>
              <w:pageBreakBefore w:val="0"/>
              <w:widowControl w:val="0"/>
              <w:kinsoku/>
              <w:wordWrap/>
              <w:overflowPunct/>
              <w:topLinePunct w:val="0"/>
              <w:autoSpaceDE/>
              <w:autoSpaceDN/>
              <w:bidi w:val="0"/>
              <w:adjustRightInd w:val="0"/>
              <w:spacing w:line="240" w:lineRule="exact"/>
              <w:ind w:left="0" w:leftChars="0" w:right="0" w:rightChars="0"/>
              <w:jc w:val="center"/>
              <w:textAlignment w:val="auto"/>
              <w:outlineLvl w:val="9"/>
              <w:rPr>
                <w:sz w:val="18"/>
                <w:szCs w:val="18"/>
              </w:rPr>
            </w:pPr>
            <w:r>
              <w:rPr>
                <w:rFonts w:hint="eastAsia"/>
                <w:sz w:val="18"/>
                <w:szCs w:val="18"/>
              </w:rPr>
              <w:t>/</w:t>
            </w:r>
          </w:p>
        </w:tc>
        <w:tc>
          <w:tcPr>
            <w:tcW w:w="850" w:type="dxa"/>
            <w:vAlign w:val="center"/>
          </w:tcPr>
          <w:p>
            <w:pPr>
              <w:keepNext w:val="0"/>
              <w:keepLines w:val="0"/>
              <w:pageBreakBefore w:val="0"/>
              <w:widowControl w:val="0"/>
              <w:kinsoku/>
              <w:wordWrap/>
              <w:overflowPunct/>
              <w:topLinePunct w:val="0"/>
              <w:autoSpaceDE/>
              <w:autoSpaceDN/>
              <w:bidi w:val="0"/>
              <w:adjustRightInd w:val="0"/>
              <w:spacing w:line="240" w:lineRule="exact"/>
              <w:ind w:left="0" w:leftChars="0" w:right="0" w:rightChars="0"/>
              <w:jc w:val="center"/>
              <w:textAlignment w:val="auto"/>
              <w:outlineLvl w:val="9"/>
              <w:rPr>
                <w:sz w:val="18"/>
                <w:szCs w:val="18"/>
              </w:rPr>
            </w:pPr>
            <w:r>
              <w:rPr>
                <w:rFonts w:hint="eastAsia"/>
                <w:sz w:val="18"/>
                <w:szCs w:val="18"/>
              </w:rPr>
              <w:t>/</w:t>
            </w:r>
          </w:p>
        </w:tc>
        <w:tc>
          <w:tcPr>
            <w:tcW w:w="1658"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反应型A级</w:t>
            </w:r>
            <w:r>
              <w:rPr>
                <w:sz w:val="18"/>
                <w:szCs w:val="18"/>
              </w:rPr>
              <w:t>:</w:t>
            </w:r>
            <w:r>
              <w:rPr>
                <w:rFonts w:hint="eastAsia"/>
                <w:sz w:val="18"/>
                <w:szCs w:val="18"/>
              </w:rPr>
              <w:t xml:space="preserve"> </w:t>
            </w:r>
            <w:r>
              <w:rPr>
                <w:sz w:val="18"/>
                <w:szCs w:val="18"/>
              </w:rPr>
              <w:t>X＞</w:t>
            </w:r>
            <w:r>
              <w:rPr>
                <w:rFonts w:hint="eastAsia"/>
                <w:sz w:val="18"/>
                <w:szCs w:val="18"/>
              </w:rPr>
              <w:t>1.0g/kg</w:t>
            </w:r>
          </w:p>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反应型B级</w:t>
            </w:r>
            <w:r>
              <w:rPr>
                <w:sz w:val="18"/>
                <w:szCs w:val="18"/>
              </w:rPr>
              <w:t>:</w:t>
            </w:r>
            <w:r>
              <w:rPr>
                <w:rFonts w:hint="eastAsia"/>
                <w:sz w:val="18"/>
                <w:szCs w:val="18"/>
              </w:rPr>
              <w:t xml:space="preserve"> </w:t>
            </w:r>
            <w:r>
              <w:rPr>
                <w:sz w:val="18"/>
                <w:szCs w:val="18"/>
              </w:rPr>
              <w:t>X＞</w:t>
            </w:r>
            <w:r>
              <w:rPr>
                <w:rFonts w:hint="eastAsia"/>
                <w:sz w:val="18"/>
                <w:szCs w:val="18"/>
              </w:rPr>
              <w:t>5.0g/kg</w:t>
            </w:r>
          </w:p>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溶剂型:</w:t>
            </w:r>
            <w:r>
              <w:rPr>
                <w:sz w:val="18"/>
                <w:szCs w:val="18"/>
              </w:rPr>
              <w:t xml:space="preserve"> X＞</w:t>
            </w:r>
            <w:r>
              <w:rPr>
                <w:rFonts w:hint="eastAsia"/>
                <w:sz w:val="18"/>
                <w:szCs w:val="18"/>
              </w:rPr>
              <w:t>400g/kg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478" w:type="dxa"/>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outlineLvl w:val="9"/>
              <w:rPr>
                <w:sz w:val="18"/>
                <w:szCs w:val="18"/>
              </w:rPr>
            </w:pPr>
            <w:r>
              <w:rPr>
                <w:sz w:val="18"/>
                <w:szCs w:val="18"/>
              </w:rPr>
              <w:t>5</w:t>
            </w:r>
          </w:p>
        </w:tc>
        <w:tc>
          <w:tcPr>
            <w:tcW w:w="1096" w:type="dxa"/>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outlineLvl w:val="9"/>
              <w:rPr>
                <w:sz w:val="18"/>
                <w:szCs w:val="18"/>
              </w:rPr>
            </w:pPr>
            <w:r>
              <w:rPr>
                <w:rFonts w:hint="eastAsia"/>
                <w:sz w:val="18"/>
                <w:szCs w:val="18"/>
              </w:rPr>
              <w:t>苯、甲苯、乙苯和二甲苯总和（水性）</w:t>
            </w:r>
          </w:p>
        </w:tc>
        <w:tc>
          <w:tcPr>
            <w:tcW w:w="198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w:t>
            </w:r>
            <w:r>
              <w:rPr>
                <w:sz w:val="18"/>
                <w:szCs w:val="18"/>
              </w:rPr>
              <w:t>300mg/kg</w:t>
            </w:r>
          </w:p>
        </w:tc>
        <w:tc>
          <w:tcPr>
            <w:tcW w:w="1984"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w:t>
            </w:r>
            <w:r>
              <w:rPr>
                <w:sz w:val="18"/>
                <w:szCs w:val="18"/>
              </w:rPr>
              <w:t>300mg/kg</w:t>
            </w:r>
          </w:p>
        </w:tc>
        <w:tc>
          <w:tcPr>
            <w:tcW w:w="851" w:type="dxa"/>
            <w:vAlign w:val="center"/>
          </w:tcPr>
          <w:p>
            <w:pPr>
              <w:keepNext w:val="0"/>
              <w:keepLines w:val="0"/>
              <w:pageBreakBefore w:val="0"/>
              <w:widowControl w:val="0"/>
              <w:kinsoku/>
              <w:wordWrap/>
              <w:overflowPunct/>
              <w:topLinePunct w:val="0"/>
              <w:autoSpaceDE/>
              <w:autoSpaceDN/>
              <w:bidi w:val="0"/>
              <w:adjustRightInd w:val="0"/>
              <w:spacing w:line="240" w:lineRule="exact"/>
              <w:ind w:left="0" w:leftChars="0" w:right="0" w:rightChars="0"/>
              <w:jc w:val="center"/>
              <w:textAlignment w:val="auto"/>
              <w:outlineLvl w:val="9"/>
              <w:rPr>
                <w:sz w:val="18"/>
                <w:szCs w:val="18"/>
              </w:rPr>
            </w:pPr>
            <w:r>
              <w:rPr>
                <w:rFonts w:hint="eastAsia"/>
                <w:sz w:val="18"/>
                <w:szCs w:val="18"/>
              </w:rPr>
              <w:t>/</w:t>
            </w:r>
          </w:p>
        </w:tc>
        <w:tc>
          <w:tcPr>
            <w:tcW w:w="850" w:type="dxa"/>
            <w:vAlign w:val="center"/>
          </w:tcPr>
          <w:p>
            <w:pPr>
              <w:keepNext w:val="0"/>
              <w:keepLines w:val="0"/>
              <w:pageBreakBefore w:val="0"/>
              <w:widowControl w:val="0"/>
              <w:kinsoku/>
              <w:wordWrap/>
              <w:overflowPunct/>
              <w:topLinePunct w:val="0"/>
              <w:autoSpaceDE/>
              <w:autoSpaceDN/>
              <w:bidi w:val="0"/>
              <w:adjustRightInd w:val="0"/>
              <w:spacing w:line="240" w:lineRule="exact"/>
              <w:ind w:left="0" w:leftChars="0" w:right="0" w:rightChars="0"/>
              <w:jc w:val="center"/>
              <w:textAlignment w:val="auto"/>
              <w:outlineLvl w:val="9"/>
              <w:rPr>
                <w:sz w:val="18"/>
                <w:szCs w:val="18"/>
              </w:rPr>
            </w:pPr>
            <w:r>
              <w:rPr>
                <w:rFonts w:hint="eastAsia"/>
                <w:sz w:val="18"/>
                <w:szCs w:val="18"/>
              </w:rPr>
              <w:t>/</w:t>
            </w:r>
          </w:p>
        </w:tc>
        <w:tc>
          <w:tcPr>
            <w:tcW w:w="1658"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sz w:val="18"/>
                <w:szCs w:val="18"/>
              </w:rPr>
              <w:t>X＞ 300mg/kg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478" w:type="dxa"/>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outlineLvl w:val="9"/>
              <w:rPr>
                <w:sz w:val="18"/>
                <w:szCs w:val="18"/>
              </w:rPr>
            </w:pPr>
            <w:r>
              <w:rPr>
                <w:sz w:val="18"/>
                <w:szCs w:val="18"/>
              </w:rPr>
              <w:t>6</w:t>
            </w:r>
          </w:p>
        </w:tc>
        <w:tc>
          <w:tcPr>
            <w:tcW w:w="1096" w:type="dxa"/>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outlineLvl w:val="9"/>
              <w:rPr>
                <w:sz w:val="18"/>
                <w:szCs w:val="18"/>
              </w:rPr>
            </w:pPr>
            <w:r>
              <w:rPr>
                <w:rFonts w:hint="eastAsia"/>
                <w:sz w:val="18"/>
                <w:szCs w:val="18"/>
              </w:rPr>
              <w:t>苯酚（反应型、溶剂型）</w:t>
            </w:r>
          </w:p>
        </w:tc>
        <w:tc>
          <w:tcPr>
            <w:tcW w:w="198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反应型A级</w:t>
            </w:r>
            <w:r>
              <w:rPr>
                <w:sz w:val="18"/>
                <w:szCs w:val="18"/>
              </w:rPr>
              <w:t>:</w:t>
            </w:r>
            <w:r>
              <w:rPr>
                <w:rFonts w:hint="eastAsia"/>
                <w:sz w:val="18"/>
                <w:szCs w:val="18"/>
              </w:rPr>
              <w:t>≤200mg/kg</w:t>
            </w:r>
          </w:p>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反应型B级</w:t>
            </w:r>
            <w:r>
              <w:rPr>
                <w:sz w:val="18"/>
                <w:szCs w:val="18"/>
              </w:rPr>
              <w:t>:</w:t>
            </w:r>
            <w:r>
              <w:rPr>
                <w:rFonts w:hint="eastAsia"/>
                <w:sz w:val="18"/>
                <w:szCs w:val="18"/>
              </w:rPr>
              <w:t>≤500mg/kg</w:t>
            </w:r>
          </w:p>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溶剂型:≤500g/kg</w:t>
            </w:r>
          </w:p>
        </w:tc>
        <w:tc>
          <w:tcPr>
            <w:tcW w:w="1984"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反应型A级</w:t>
            </w:r>
            <w:r>
              <w:rPr>
                <w:sz w:val="18"/>
                <w:szCs w:val="18"/>
              </w:rPr>
              <w:t>:</w:t>
            </w:r>
            <w:r>
              <w:rPr>
                <w:rFonts w:hint="eastAsia"/>
                <w:sz w:val="18"/>
                <w:szCs w:val="18"/>
              </w:rPr>
              <w:t>≤200mg/kg</w:t>
            </w:r>
          </w:p>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反应型B级</w:t>
            </w:r>
            <w:r>
              <w:rPr>
                <w:sz w:val="18"/>
                <w:szCs w:val="18"/>
              </w:rPr>
              <w:t>:</w:t>
            </w:r>
            <w:r>
              <w:rPr>
                <w:rFonts w:hint="eastAsia"/>
                <w:sz w:val="18"/>
                <w:szCs w:val="18"/>
              </w:rPr>
              <w:t>≤500mg/kg</w:t>
            </w:r>
          </w:p>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溶剂型:≤500g/kg</w:t>
            </w:r>
          </w:p>
        </w:tc>
        <w:tc>
          <w:tcPr>
            <w:tcW w:w="851" w:type="dxa"/>
            <w:vAlign w:val="center"/>
          </w:tcPr>
          <w:p>
            <w:pPr>
              <w:keepNext w:val="0"/>
              <w:keepLines w:val="0"/>
              <w:pageBreakBefore w:val="0"/>
              <w:widowControl w:val="0"/>
              <w:kinsoku/>
              <w:wordWrap/>
              <w:overflowPunct/>
              <w:topLinePunct w:val="0"/>
              <w:autoSpaceDE/>
              <w:autoSpaceDN/>
              <w:bidi w:val="0"/>
              <w:adjustRightInd w:val="0"/>
              <w:spacing w:line="240" w:lineRule="exact"/>
              <w:ind w:left="0" w:leftChars="0" w:right="0" w:rightChars="0"/>
              <w:jc w:val="center"/>
              <w:textAlignment w:val="auto"/>
              <w:outlineLvl w:val="9"/>
              <w:rPr>
                <w:sz w:val="18"/>
                <w:szCs w:val="18"/>
              </w:rPr>
            </w:pPr>
            <w:r>
              <w:rPr>
                <w:rFonts w:hint="eastAsia"/>
                <w:sz w:val="18"/>
                <w:szCs w:val="18"/>
              </w:rPr>
              <w:t>/</w:t>
            </w:r>
          </w:p>
        </w:tc>
        <w:tc>
          <w:tcPr>
            <w:tcW w:w="850" w:type="dxa"/>
            <w:vAlign w:val="center"/>
          </w:tcPr>
          <w:p>
            <w:pPr>
              <w:keepNext w:val="0"/>
              <w:keepLines w:val="0"/>
              <w:pageBreakBefore w:val="0"/>
              <w:widowControl w:val="0"/>
              <w:kinsoku/>
              <w:wordWrap/>
              <w:overflowPunct/>
              <w:topLinePunct w:val="0"/>
              <w:autoSpaceDE/>
              <w:autoSpaceDN/>
              <w:bidi w:val="0"/>
              <w:adjustRightInd w:val="0"/>
              <w:spacing w:line="240" w:lineRule="exact"/>
              <w:ind w:left="0" w:leftChars="0" w:right="0" w:rightChars="0"/>
              <w:jc w:val="center"/>
              <w:textAlignment w:val="auto"/>
              <w:outlineLvl w:val="9"/>
              <w:rPr>
                <w:sz w:val="18"/>
                <w:szCs w:val="18"/>
              </w:rPr>
            </w:pPr>
            <w:r>
              <w:rPr>
                <w:rFonts w:hint="eastAsia"/>
                <w:sz w:val="18"/>
                <w:szCs w:val="18"/>
              </w:rPr>
              <w:t>/</w:t>
            </w:r>
          </w:p>
        </w:tc>
        <w:tc>
          <w:tcPr>
            <w:tcW w:w="1658"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反应型A级</w:t>
            </w:r>
            <w:r>
              <w:rPr>
                <w:sz w:val="18"/>
                <w:szCs w:val="18"/>
              </w:rPr>
              <w:t>: X＞</w:t>
            </w:r>
            <w:r>
              <w:rPr>
                <w:rFonts w:hint="eastAsia"/>
                <w:sz w:val="18"/>
                <w:szCs w:val="18"/>
              </w:rPr>
              <w:t>200mg/kg</w:t>
            </w:r>
          </w:p>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反应型B级</w:t>
            </w:r>
            <w:r>
              <w:rPr>
                <w:sz w:val="18"/>
                <w:szCs w:val="18"/>
              </w:rPr>
              <w:t>: X＞</w:t>
            </w:r>
            <w:r>
              <w:rPr>
                <w:rFonts w:hint="eastAsia"/>
                <w:sz w:val="18"/>
                <w:szCs w:val="18"/>
              </w:rPr>
              <w:t>500mg/kg</w:t>
            </w:r>
          </w:p>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溶剂型:</w:t>
            </w:r>
            <w:r>
              <w:rPr>
                <w:sz w:val="18"/>
                <w:szCs w:val="18"/>
              </w:rPr>
              <w:t xml:space="preserve"> X＞</w:t>
            </w:r>
            <w:r>
              <w:rPr>
                <w:rFonts w:hint="eastAsia"/>
                <w:sz w:val="18"/>
                <w:szCs w:val="18"/>
              </w:rPr>
              <w:t>500g/kg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478" w:type="dxa"/>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outlineLvl w:val="9"/>
              <w:rPr>
                <w:sz w:val="18"/>
                <w:szCs w:val="18"/>
              </w:rPr>
            </w:pPr>
            <w:r>
              <w:rPr>
                <w:sz w:val="18"/>
                <w:szCs w:val="18"/>
              </w:rPr>
              <w:t>7</w:t>
            </w:r>
          </w:p>
        </w:tc>
        <w:tc>
          <w:tcPr>
            <w:tcW w:w="1096" w:type="dxa"/>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outlineLvl w:val="9"/>
              <w:rPr>
                <w:sz w:val="18"/>
                <w:szCs w:val="18"/>
              </w:rPr>
            </w:pPr>
            <w:r>
              <w:rPr>
                <w:rFonts w:hint="eastAsia"/>
                <w:sz w:val="18"/>
                <w:szCs w:val="18"/>
              </w:rPr>
              <w:t>蒽（反应型、溶剂型）</w:t>
            </w:r>
          </w:p>
        </w:tc>
        <w:tc>
          <w:tcPr>
            <w:tcW w:w="198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反应型A级</w:t>
            </w:r>
            <w:r>
              <w:rPr>
                <w:sz w:val="18"/>
                <w:szCs w:val="18"/>
              </w:rPr>
              <w:t>:</w:t>
            </w:r>
            <w:r>
              <w:rPr>
                <w:rFonts w:hint="eastAsia"/>
                <w:sz w:val="18"/>
                <w:szCs w:val="18"/>
              </w:rPr>
              <w:t xml:space="preserve"> ≤10mg/kg</w:t>
            </w:r>
          </w:p>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反应型B级</w:t>
            </w:r>
            <w:r>
              <w:rPr>
                <w:sz w:val="18"/>
                <w:szCs w:val="18"/>
              </w:rPr>
              <w:t>:</w:t>
            </w:r>
            <w:r>
              <w:rPr>
                <w:rFonts w:hint="eastAsia"/>
                <w:sz w:val="18"/>
                <w:szCs w:val="18"/>
              </w:rPr>
              <w:t xml:space="preserve"> ≤100mg/kg</w:t>
            </w:r>
          </w:p>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溶剂型:≤100g/kg</w:t>
            </w:r>
          </w:p>
        </w:tc>
        <w:tc>
          <w:tcPr>
            <w:tcW w:w="1984"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反应型A级</w:t>
            </w:r>
            <w:r>
              <w:rPr>
                <w:sz w:val="18"/>
                <w:szCs w:val="18"/>
              </w:rPr>
              <w:t>:</w:t>
            </w:r>
            <w:r>
              <w:rPr>
                <w:rFonts w:hint="eastAsia"/>
                <w:sz w:val="18"/>
                <w:szCs w:val="18"/>
              </w:rPr>
              <w:t xml:space="preserve"> ≤10mg/kg</w:t>
            </w:r>
          </w:p>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反应型B级</w:t>
            </w:r>
            <w:r>
              <w:rPr>
                <w:sz w:val="18"/>
                <w:szCs w:val="18"/>
              </w:rPr>
              <w:t>:</w:t>
            </w:r>
            <w:r>
              <w:rPr>
                <w:rFonts w:hint="eastAsia"/>
                <w:sz w:val="18"/>
                <w:szCs w:val="18"/>
              </w:rPr>
              <w:t xml:space="preserve"> ≤100mg/kg</w:t>
            </w:r>
          </w:p>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溶剂型:≤100g/kg</w:t>
            </w:r>
          </w:p>
        </w:tc>
        <w:tc>
          <w:tcPr>
            <w:tcW w:w="851" w:type="dxa"/>
            <w:vAlign w:val="center"/>
          </w:tcPr>
          <w:p>
            <w:pPr>
              <w:keepNext w:val="0"/>
              <w:keepLines w:val="0"/>
              <w:pageBreakBefore w:val="0"/>
              <w:widowControl w:val="0"/>
              <w:kinsoku/>
              <w:wordWrap/>
              <w:overflowPunct/>
              <w:topLinePunct w:val="0"/>
              <w:autoSpaceDE/>
              <w:autoSpaceDN/>
              <w:bidi w:val="0"/>
              <w:adjustRightInd w:val="0"/>
              <w:spacing w:line="240" w:lineRule="exact"/>
              <w:ind w:left="0" w:leftChars="0" w:right="0" w:rightChars="0"/>
              <w:jc w:val="center"/>
              <w:textAlignment w:val="auto"/>
              <w:outlineLvl w:val="9"/>
              <w:rPr>
                <w:sz w:val="18"/>
                <w:szCs w:val="18"/>
              </w:rPr>
            </w:pPr>
            <w:r>
              <w:rPr>
                <w:rFonts w:hint="eastAsia"/>
                <w:sz w:val="18"/>
                <w:szCs w:val="18"/>
              </w:rPr>
              <w:t>/</w:t>
            </w:r>
          </w:p>
        </w:tc>
        <w:tc>
          <w:tcPr>
            <w:tcW w:w="850" w:type="dxa"/>
            <w:vAlign w:val="center"/>
          </w:tcPr>
          <w:p>
            <w:pPr>
              <w:keepNext w:val="0"/>
              <w:keepLines w:val="0"/>
              <w:pageBreakBefore w:val="0"/>
              <w:widowControl w:val="0"/>
              <w:kinsoku/>
              <w:wordWrap/>
              <w:overflowPunct/>
              <w:topLinePunct w:val="0"/>
              <w:autoSpaceDE/>
              <w:autoSpaceDN/>
              <w:bidi w:val="0"/>
              <w:adjustRightInd w:val="0"/>
              <w:spacing w:line="240" w:lineRule="exact"/>
              <w:ind w:left="0" w:leftChars="0" w:right="0" w:rightChars="0"/>
              <w:jc w:val="center"/>
              <w:textAlignment w:val="auto"/>
              <w:outlineLvl w:val="9"/>
              <w:rPr>
                <w:sz w:val="18"/>
                <w:szCs w:val="18"/>
              </w:rPr>
            </w:pPr>
            <w:r>
              <w:rPr>
                <w:rFonts w:hint="eastAsia"/>
                <w:sz w:val="18"/>
                <w:szCs w:val="18"/>
              </w:rPr>
              <w:t>/</w:t>
            </w:r>
          </w:p>
        </w:tc>
        <w:tc>
          <w:tcPr>
            <w:tcW w:w="1658"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反应型A级</w:t>
            </w:r>
            <w:r>
              <w:rPr>
                <w:sz w:val="18"/>
                <w:szCs w:val="18"/>
              </w:rPr>
              <w:t>:</w:t>
            </w:r>
            <w:r>
              <w:rPr>
                <w:rFonts w:hint="eastAsia"/>
                <w:sz w:val="18"/>
                <w:szCs w:val="18"/>
              </w:rPr>
              <w:t xml:space="preserve"> </w:t>
            </w:r>
            <w:r>
              <w:rPr>
                <w:sz w:val="18"/>
                <w:szCs w:val="18"/>
              </w:rPr>
              <w:t>X＞</w:t>
            </w:r>
            <w:r>
              <w:rPr>
                <w:rFonts w:hint="eastAsia"/>
                <w:sz w:val="18"/>
                <w:szCs w:val="18"/>
              </w:rPr>
              <w:t>10mg/kg</w:t>
            </w:r>
          </w:p>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反应型B级</w:t>
            </w:r>
            <w:r>
              <w:rPr>
                <w:sz w:val="18"/>
                <w:szCs w:val="18"/>
              </w:rPr>
              <w:t>:</w:t>
            </w:r>
            <w:r>
              <w:rPr>
                <w:rFonts w:hint="eastAsia"/>
                <w:sz w:val="18"/>
                <w:szCs w:val="18"/>
              </w:rPr>
              <w:t xml:space="preserve"> </w:t>
            </w:r>
            <w:r>
              <w:rPr>
                <w:sz w:val="18"/>
                <w:szCs w:val="18"/>
              </w:rPr>
              <w:t>X＞</w:t>
            </w:r>
            <w:r>
              <w:rPr>
                <w:rFonts w:hint="eastAsia"/>
                <w:sz w:val="18"/>
                <w:szCs w:val="18"/>
              </w:rPr>
              <w:t>100mg/kg</w:t>
            </w:r>
          </w:p>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溶剂型:</w:t>
            </w:r>
            <w:r>
              <w:rPr>
                <w:sz w:val="18"/>
                <w:szCs w:val="18"/>
              </w:rPr>
              <w:t xml:space="preserve"> X＞</w:t>
            </w:r>
            <w:r>
              <w:rPr>
                <w:rFonts w:hint="eastAsia"/>
                <w:sz w:val="18"/>
                <w:szCs w:val="18"/>
              </w:rPr>
              <w:t>100g/kg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478" w:type="dxa"/>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outlineLvl w:val="9"/>
              <w:rPr>
                <w:sz w:val="18"/>
                <w:szCs w:val="18"/>
              </w:rPr>
            </w:pPr>
            <w:r>
              <w:rPr>
                <w:sz w:val="18"/>
                <w:szCs w:val="18"/>
              </w:rPr>
              <w:t>8</w:t>
            </w:r>
          </w:p>
        </w:tc>
        <w:tc>
          <w:tcPr>
            <w:tcW w:w="1096" w:type="dxa"/>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outlineLvl w:val="9"/>
              <w:rPr>
                <w:sz w:val="18"/>
                <w:szCs w:val="18"/>
              </w:rPr>
            </w:pPr>
            <w:r>
              <w:rPr>
                <w:rFonts w:hint="eastAsia"/>
                <w:sz w:val="18"/>
                <w:szCs w:val="18"/>
              </w:rPr>
              <w:t>萘（反应型、溶剂型）</w:t>
            </w:r>
          </w:p>
        </w:tc>
        <w:tc>
          <w:tcPr>
            <w:tcW w:w="198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反应型A级</w:t>
            </w:r>
            <w:r>
              <w:rPr>
                <w:sz w:val="18"/>
                <w:szCs w:val="18"/>
              </w:rPr>
              <w:t>:</w:t>
            </w:r>
            <w:r>
              <w:rPr>
                <w:rFonts w:hint="eastAsia"/>
                <w:sz w:val="18"/>
                <w:szCs w:val="18"/>
              </w:rPr>
              <w:t xml:space="preserve"> ≤200mg/kg</w:t>
            </w:r>
          </w:p>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反应型B级</w:t>
            </w:r>
            <w:r>
              <w:rPr>
                <w:sz w:val="18"/>
                <w:szCs w:val="18"/>
              </w:rPr>
              <w:t>:</w:t>
            </w:r>
            <w:r>
              <w:rPr>
                <w:rFonts w:hint="eastAsia"/>
                <w:sz w:val="18"/>
                <w:szCs w:val="18"/>
              </w:rPr>
              <w:t xml:space="preserve"> ≤500mg/kg</w:t>
            </w:r>
          </w:p>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溶剂型:≤500g/kg</w:t>
            </w:r>
          </w:p>
        </w:tc>
        <w:tc>
          <w:tcPr>
            <w:tcW w:w="1984"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反应型A级</w:t>
            </w:r>
            <w:r>
              <w:rPr>
                <w:sz w:val="18"/>
                <w:szCs w:val="18"/>
              </w:rPr>
              <w:t>:</w:t>
            </w:r>
            <w:r>
              <w:rPr>
                <w:rFonts w:hint="eastAsia"/>
                <w:sz w:val="18"/>
                <w:szCs w:val="18"/>
              </w:rPr>
              <w:t xml:space="preserve"> ≤200mg/kg</w:t>
            </w:r>
          </w:p>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反应型B级</w:t>
            </w:r>
            <w:r>
              <w:rPr>
                <w:sz w:val="18"/>
                <w:szCs w:val="18"/>
              </w:rPr>
              <w:t>:</w:t>
            </w:r>
            <w:r>
              <w:rPr>
                <w:rFonts w:hint="eastAsia"/>
                <w:sz w:val="18"/>
                <w:szCs w:val="18"/>
              </w:rPr>
              <w:t xml:space="preserve"> ≤500mg/kg</w:t>
            </w:r>
          </w:p>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溶剂型:≤500g/kg</w:t>
            </w:r>
          </w:p>
        </w:tc>
        <w:tc>
          <w:tcPr>
            <w:tcW w:w="851" w:type="dxa"/>
            <w:vAlign w:val="center"/>
          </w:tcPr>
          <w:p>
            <w:pPr>
              <w:keepNext w:val="0"/>
              <w:keepLines w:val="0"/>
              <w:pageBreakBefore w:val="0"/>
              <w:widowControl w:val="0"/>
              <w:kinsoku/>
              <w:wordWrap/>
              <w:overflowPunct/>
              <w:topLinePunct w:val="0"/>
              <w:autoSpaceDE/>
              <w:autoSpaceDN/>
              <w:bidi w:val="0"/>
              <w:adjustRightInd w:val="0"/>
              <w:spacing w:line="240" w:lineRule="exact"/>
              <w:ind w:left="0" w:leftChars="0" w:right="0" w:rightChars="0"/>
              <w:jc w:val="center"/>
              <w:textAlignment w:val="auto"/>
              <w:outlineLvl w:val="9"/>
              <w:rPr>
                <w:sz w:val="18"/>
                <w:szCs w:val="18"/>
              </w:rPr>
            </w:pPr>
            <w:r>
              <w:rPr>
                <w:rFonts w:hint="eastAsia"/>
                <w:sz w:val="18"/>
                <w:szCs w:val="18"/>
              </w:rPr>
              <w:t>/</w:t>
            </w:r>
          </w:p>
        </w:tc>
        <w:tc>
          <w:tcPr>
            <w:tcW w:w="850" w:type="dxa"/>
            <w:vAlign w:val="center"/>
          </w:tcPr>
          <w:p>
            <w:pPr>
              <w:keepNext w:val="0"/>
              <w:keepLines w:val="0"/>
              <w:pageBreakBefore w:val="0"/>
              <w:widowControl w:val="0"/>
              <w:kinsoku/>
              <w:wordWrap/>
              <w:overflowPunct/>
              <w:topLinePunct w:val="0"/>
              <w:autoSpaceDE/>
              <w:autoSpaceDN/>
              <w:bidi w:val="0"/>
              <w:adjustRightInd w:val="0"/>
              <w:spacing w:line="240" w:lineRule="exact"/>
              <w:ind w:left="0" w:leftChars="0" w:right="0" w:rightChars="0"/>
              <w:jc w:val="center"/>
              <w:textAlignment w:val="auto"/>
              <w:outlineLvl w:val="9"/>
              <w:rPr>
                <w:sz w:val="18"/>
                <w:szCs w:val="18"/>
              </w:rPr>
            </w:pPr>
            <w:r>
              <w:rPr>
                <w:rFonts w:hint="eastAsia"/>
                <w:sz w:val="18"/>
                <w:szCs w:val="18"/>
              </w:rPr>
              <w:t>/</w:t>
            </w:r>
          </w:p>
        </w:tc>
        <w:tc>
          <w:tcPr>
            <w:tcW w:w="1658"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反应型A级</w:t>
            </w:r>
            <w:r>
              <w:rPr>
                <w:sz w:val="18"/>
                <w:szCs w:val="18"/>
              </w:rPr>
              <w:t>:</w:t>
            </w:r>
            <w:r>
              <w:rPr>
                <w:rFonts w:hint="eastAsia"/>
                <w:sz w:val="18"/>
                <w:szCs w:val="18"/>
              </w:rPr>
              <w:t xml:space="preserve"> </w:t>
            </w:r>
            <w:r>
              <w:rPr>
                <w:sz w:val="18"/>
                <w:szCs w:val="18"/>
              </w:rPr>
              <w:t>X＞</w:t>
            </w:r>
            <w:r>
              <w:rPr>
                <w:rFonts w:hint="eastAsia"/>
                <w:sz w:val="18"/>
                <w:szCs w:val="18"/>
              </w:rPr>
              <w:t>200mg/kg</w:t>
            </w:r>
          </w:p>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反应型B级</w:t>
            </w:r>
            <w:r>
              <w:rPr>
                <w:sz w:val="18"/>
                <w:szCs w:val="18"/>
              </w:rPr>
              <w:t>:</w:t>
            </w:r>
            <w:r>
              <w:rPr>
                <w:rFonts w:hint="eastAsia"/>
                <w:sz w:val="18"/>
                <w:szCs w:val="18"/>
              </w:rPr>
              <w:t xml:space="preserve"> </w:t>
            </w:r>
            <w:r>
              <w:rPr>
                <w:sz w:val="18"/>
                <w:szCs w:val="18"/>
              </w:rPr>
              <w:t>X＞</w:t>
            </w:r>
            <w:r>
              <w:rPr>
                <w:rFonts w:hint="eastAsia"/>
                <w:sz w:val="18"/>
                <w:szCs w:val="18"/>
              </w:rPr>
              <w:t>500mg/kg</w:t>
            </w:r>
          </w:p>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溶剂型:</w:t>
            </w:r>
            <w:r>
              <w:rPr>
                <w:sz w:val="18"/>
                <w:szCs w:val="18"/>
              </w:rPr>
              <w:t xml:space="preserve"> X＞</w:t>
            </w:r>
            <w:r>
              <w:rPr>
                <w:rFonts w:hint="eastAsia"/>
                <w:sz w:val="18"/>
                <w:szCs w:val="18"/>
              </w:rPr>
              <w:t>500g/kg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478" w:type="dxa"/>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outlineLvl w:val="9"/>
              <w:rPr>
                <w:sz w:val="18"/>
                <w:szCs w:val="18"/>
              </w:rPr>
            </w:pPr>
            <w:r>
              <w:rPr>
                <w:sz w:val="18"/>
                <w:szCs w:val="18"/>
              </w:rPr>
              <w:t>9</w:t>
            </w:r>
          </w:p>
        </w:tc>
        <w:tc>
          <w:tcPr>
            <w:tcW w:w="1096" w:type="dxa"/>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outlineLvl w:val="9"/>
              <w:rPr>
                <w:sz w:val="18"/>
                <w:szCs w:val="18"/>
              </w:rPr>
            </w:pPr>
            <w:r>
              <w:rPr>
                <w:rFonts w:hint="eastAsia"/>
                <w:sz w:val="18"/>
                <w:szCs w:val="18"/>
              </w:rPr>
              <w:t>游离TDI（限聚氨酯类）</w:t>
            </w:r>
          </w:p>
        </w:tc>
        <w:tc>
          <w:tcPr>
            <w:tcW w:w="198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反应型A级</w:t>
            </w:r>
            <w:r>
              <w:rPr>
                <w:sz w:val="18"/>
                <w:szCs w:val="18"/>
              </w:rPr>
              <w:t>:</w:t>
            </w:r>
            <w:r>
              <w:rPr>
                <w:rFonts w:hint="eastAsia"/>
                <w:sz w:val="18"/>
                <w:szCs w:val="18"/>
              </w:rPr>
              <w:t xml:space="preserve"> ≤3g/kg</w:t>
            </w:r>
          </w:p>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反应型B级</w:t>
            </w:r>
            <w:r>
              <w:rPr>
                <w:sz w:val="18"/>
                <w:szCs w:val="18"/>
              </w:rPr>
              <w:t>:</w:t>
            </w:r>
            <w:r>
              <w:rPr>
                <w:rFonts w:hint="eastAsia"/>
                <w:sz w:val="18"/>
                <w:szCs w:val="18"/>
              </w:rPr>
              <w:t xml:space="preserve"> ≤7g/kg</w:t>
            </w:r>
          </w:p>
        </w:tc>
        <w:tc>
          <w:tcPr>
            <w:tcW w:w="1984"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反应型A级</w:t>
            </w:r>
            <w:r>
              <w:rPr>
                <w:sz w:val="18"/>
                <w:szCs w:val="18"/>
              </w:rPr>
              <w:t>:</w:t>
            </w:r>
            <w:r>
              <w:rPr>
                <w:rFonts w:hint="eastAsia"/>
                <w:sz w:val="18"/>
                <w:szCs w:val="18"/>
              </w:rPr>
              <w:t xml:space="preserve"> ≤3g/kg</w:t>
            </w:r>
          </w:p>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反应型B级</w:t>
            </w:r>
            <w:r>
              <w:rPr>
                <w:sz w:val="18"/>
                <w:szCs w:val="18"/>
              </w:rPr>
              <w:t>:</w:t>
            </w:r>
            <w:r>
              <w:rPr>
                <w:rFonts w:hint="eastAsia"/>
                <w:sz w:val="18"/>
                <w:szCs w:val="18"/>
              </w:rPr>
              <w:t xml:space="preserve"> ≤7g/kg</w:t>
            </w:r>
          </w:p>
        </w:tc>
        <w:tc>
          <w:tcPr>
            <w:tcW w:w="851" w:type="dxa"/>
            <w:vAlign w:val="center"/>
          </w:tcPr>
          <w:p>
            <w:pPr>
              <w:keepNext w:val="0"/>
              <w:keepLines w:val="0"/>
              <w:pageBreakBefore w:val="0"/>
              <w:widowControl w:val="0"/>
              <w:kinsoku/>
              <w:wordWrap/>
              <w:overflowPunct/>
              <w:topLinePunct w:val="0"/>
              <w:autoSpaceDE/>
              <w:autoSpaceDN/>
              <w:bidi w:val="0"/>
              <w:adjustRightInd w:val="0"/>
              <w:spacing w:line="240" w:lineRule="exact"/>
              <w:ind w:left="0" w:leftChars="0" w:right="0" w:rightChars="0"/>
              <w:jc w:val="center"/>
              <w:textAlignment w:val="auto"/>
              <w:outlineLvl w:val="9"/>
              <w:rPr>
                <w:sz w:val="18"/>
                <w:szCs w:val="18"/>
              </w:rPr>
            </w:pPr>
            <w:r>
              <w:rPr>
                <w:rFonts w:hint="eastAsia"/>
                <w:sz w:val="18"/>
                <w:szCs w:val="18"/>
              </w:rPr>
              <w:t>/</w:t>
            </w:r>
          </w:p>
        </w:tc>
        <w:tc>
          <w:tcPr>
            <w:tcW w:w="850" w:type="dxa"/>
            <w:vAlign w:val="center"/>
          </w:tcPr>
          <w:p>
            <w:pPr>
              <w:keepNext w:val="0"/>
              <w:keepLines w:val="0"/>
              <w:pageBreakBefore w:val="0"/>
              <w:widowControl w:val="0"/>
              <w:kinsoku/>
              <w:wordWrap/>
              <w:overflowPunct/>
              <w:topLinePunct w:val="0"/>
              <w:autoSpaceDE/>
              <w:autoSpaceDN/>
              <w:bidi w:val="0"/>
              <w:adjustRightInd w:val="0"/>
              <w:spacing w:line="240" w:lineRule="exact"/>
              <w:ind w:left="0" w:leftChars="0" w:right="0" w:rightChars="0"/>
              <w:jc w:val="center"/>
              <w:textAlignment w:val="auto"/>
              <w:outlineLvl w:val="9"/>
              <w:rPr>
                <w:sz w:val="18"/>
                <w:szCs w:val="18"/>
              </w:rPr>
            </w:pPr>
            <w:r>
              <w:rPr>
                <w:rFonts w:hint="eastAsia"/>
                <w:sz w:val="18"/>
                <w:szCs w:val="18"/>
              </w:rPr>
              <w:t>/</w:t>
            </w:r>
          </w:p>
        </w:tc>
        <w:tc>
          <w:tcPr>
            <w:tcW w:w="1658"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反应型A级</w:t>
            </w:r>
            <w:r>
              <w:rPr>
                <w:sz w:val="18"/>
                <w:szCs w:val="18"/>
              </w:rPr>
              <w:t>:</w:t>
            </w:r>
            <w:r>
              <w:rPr>
                <w:rFonts w:hint="eastAsia"/>
                <w:sz w:val="18"/>
                <w:szCs w:val="18"/>
              </w:rPr>
              <w:t xml:space="preserve"> </w:t>
            </w:r>
            <w:r>
              <w:rPr>
                <w:sz w:val="18"/>
                <w:szCs w:val="18"/>
              </w:rPr>
              <w:t>X＞</w:t>
            </w:r>
            <w:r>
              <w:rPr>
                <w:rFonts w:hint="eastAsia"/>
                <w:sz w:val="18"/>
                <w:szCs w:val="18"/>
              </w:rPr>
              <w:t>3g/kg</w:t>
            </w:r>
          </w:p>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反应型B级</w:t>
            </w:r>
            <w:r>
              <w:rPr>
                <w:sz w:val="18"/>
                <w:szCs w:val="18"/>
              </w:rPr>
              <w:t>:</w:t>
            </w:r>
            <w:r>
              <w:rPr>
                <w:rFonts w:hint="eastAsia"/>
                <w:sz w:val="18"/>
                <w:szCs w:val="18"/>
              </w:rPr>
              <w:t xml:space="preserve"> </w:t>
            </w:r>
            <w:r>
              <w:rPr>
                <w:sz w:val="18"/>
                <w:szCs w:val="18"/>
              </w:rPr>
              <w:t>X＞</w:t>
            </w:r>
            <w:r>
              <w:rPr>
                <w:rFonts w:hint="eastAsia"/>
                <w:sz w:val="18"/>
                <w:szCs w:val="18"/>
              </w:rPr>
              <w:t>7g/kg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478" w:type="dxa"/>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outlineLvl w:val="9"/>
              <w:rPr>
                <w:sz w:val="18"/>
                <w:szCs w:val="18"/>
              </w:rPr>
            </w:pPr>
            <w:r>
              <w:rPr>
                <w:rFonts w:hint="eastAsia"/>
                <w:sz w:val="18"/>
                <w:szCs w:val="18"/>
              </w:rPr>
              <w:t>10</w:t>
            </w:r>
          </w:p>
        </w:tc>
        <w:tc>
          <w:tcPr>
            <w:tcW w:w="1096" w:type="dxa"/>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outlineLvl w:val="9"/>
              <w:rPr>
                <w:sz w:val="18"/>
                <w:szCs w:val="18"/>
              </w:rPr>
            </w:pPr>
            <w:r>
              <w:rPr>
                <w:rFonts w:hint="eastAsia"/>
                <w:sz w:val="18"/>
                <w:szCs w:val="18"/>
              </w:rPr>
              <w:t>氨（水性）</w:t>
            </w:r>
          </w:p>
        </w:tc>
        <w:tc>
          <w:tcPr>
            <w:tcW w:w="198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A级:≤500mg/kg</w:t>
            </w:r>
          </w:p>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B级:≤1000mg/kg</w:t>
            </w:r>
          </w:p>
        </w:tc>
        <w:tc>
          <w:tcPr>
            <w:tcW w:w="1984"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A级:≤500mg/kg</w:t>
            </w:r>
          </w:p>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B级:≤1000mg/kg</w:t>
            </w:r>
          </w:p>
        </w:tc>
        <w:tc>
          <w:tcPr>
            <w:tcW w:w="851" w:type="dxa"/>
            <w:vAlign w:val="center"/>
          </w:tcPr>
          <w:p>
            <w:pPr>
              <w:keepNext w:val="0"/>
              <w:keepLines w:val="0"/>
              <w:pageBreakBefore w:val="0"/>
              <w:widowControl w:val="0"/>
              <w:kinsoku/>
              <w:wordWrap/>
              <w:overflowPunct/>
              <w:topLinePunct w:val="0"/>
              <w:autoSpaceDE/>
              <w:autoSpaceDN/>
              <w:bidi w:val="0"/>
              <w:adjustRightInd w:val="0"/>
              <w:spacing w:line="240" w:lineRule="exact"/>
              <w:ind w:left="0" w:leftChars="0" w:right="0" w:rightChars="0"/>
              <w:jc w:val="center"/>
              <w:textAlignment w:val="auto"/>
              <w:outlineLvl w:val="9"/>
              <w:rPr>
                <w:sz w:val="18"/>
                <w:szCs w:val="18"/>
              </w:rPr>
            </w:pPr>
            <w:r>
              <w:rPr>
                <w:rFonts w:hint="eastAsia"/>
                <w:sz w:val="18"/>
                <w:szCs w:val="18"/>
              </w:rPr>
              <w:t>/</w:t>
            </w:r>
          </w:p>
        </w:tc>
        <w:tc>
          <w:tcPr>
            <w:tcW w:w="850" w:type="dxa"/>
            <w:vAlign w:val="center"/>
          </w:tcPr>
          <w:p>
            <w:pPr>
              <w:keepNext w:val="0"/>
              <w:keepLines w:val="0"/>
              <w:pageBreakBefore w:val="0"/>
              <w:widowControl w:val="0"/>
              <w:kinsoku/>
              <w:wordWrap/>
              <w:overflowPunct/>
              <w:topLinePunct w:val="0"/>
              <w:autoSpaceDE/>
              <w:autoSpaceDN/>
              <w:bidi w:val="0"/>
              <w:adjustRightInd w:val="0"/>
              <w:spacing w:line="240" w:lineRule="exact"/>
              <w:ind w:left="0" w:leftChars="0" w:right="0" w:rightChars="0"/>
              <w:jc w:val="center"/>
              <w:textAlignment w:val="auto"/>
              <w:outlineLvl w:val="9"/>
              <w:rPr>
                <w:sz w:val="18"/>
                <w:szCs w:val="18"/>
              </w:rPr>
            </w:pPr>
            <w:r>
              <w:rPr>
                <w:rFonts w:hint="eastAsia"/>
                <w:sz w:val="18"/>
                <w:szCs w:val="18"/>
              </w:rPr>
              <w:t>/</w:t>
            </w:r>
          </w:p>
        </w:tc>
        <w:tc>
          <w:tcPr>
            <w:tcW w:w="1658"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A级:</w:t>
            </w:r>
            <w:r>
              <w:rPr>
                <w:sz w:val="18"/>
                <w:szCs w:val="18"/>
              </w:rPr>
              <w:t xml:space="preserve"> X＞</w:t>
            </w:r>
            <w:r>
              <w:rPr>
                <w:rFonts w:hint="eastAsia"/>
                <w:sz w:val="18"/>
                <w:szCs w:val="18"/>
              </w:rPr>
              <w:t>500mg/kg</w:t>
            </w:r>
          </w:p>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B级:</w:t>
            </w:r>
            <w:r>
              <w:rPr>
                <w:sz w:val="18"/>
                <w:szCs w:val="18"/>
              </w:rPr>
              <w:t xml:space="preserve"> X＞</w:t>
            </w:r>
            <w:r>
              <w:rPr>
                <w:rFonts w:hint="eastAsia"/>
                <w:sz w:val="18"/>
                <w:szCs w:val="18"/>
              </w:rPr>
              <w:t>1000mg/kg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478"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rFonts w:hint="eastAsia"/>
                <w:sz w:val="18"/>
                <w:szCs w:val="18"/>
              </w:rPr>
              <w:t>11</w:t>
            </w:r>
          </w:p>
        </w:tc>
        <w:tc>
          <w:tcPr>
            <w:tcW w:w="1096"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sz w:val="18"/>
                <w:szCs w:val="18"/>
              </w:rPr>
              <w:t>可溶性重金属</w:t>
            </w:r>
            <w:r>
              <w:rPr>
                <w:rFonts w:hint="eastAsia"/>
                <w:sz w:val="18"/>
                <w:szCs w:val="18"/>
              </w:rPr>
              <w:t>（非</w:t>
            </w:r>
            <w:r>
              <w:rPr>
                <w:sz w:val="18"/>
                <w:szCs w:val="18"/>
              </w:rPr>
              <w:t>无色、白色、黑色</w:t>
            </w:r>
            <w:r>
              <w:rPr>
                <w:rFonts w:hint="eastAsia"/>
                <w:sz w:val="18"/>
                <w:szCs w:val="18"/>
              </w:rPr>
              <w:t>防水涂料）</w:t>
            </w:r>
          </w:p>
        </w:tc>
        <w:tc>
          <w:tcPr>
            <w:tcW w:w="198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sz w:val="18"/>
                <w:szCs w:val="18"/>
              </w:rPr>
              <w:t>铅（Pb）</w:t>
            </w:r>
            <w:r>
              <w:rPr>
                <w:rFonts w:hint="eastAsia"/>
                <w:sz w:val="18"/>
                <w:szCs w:val="18"/>
              </w:rPr>
              <w:t>≤</w:t>
            </w:r>
            <w:r>
              <w:rPr>
                <w:sz w:val="18"/>
                <w:szCs w:val="18"/>
              </w:rPr>
              <w:t>90 mg/kg</w:t>
            </w:r>
          </w:p>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sz w:val="18"/>
                <w:szCs w:val="18"/>
              </w:rPr>
              <w:t>镉（Cd）</w:t>
            </w:r>
            <w:r>
              <w:rPr>
                <w:rFonts w:hint="eastAsia"/>
                <w:sz w:val="18"/>
                <w:szCs w:val="18"/>
              </w:rPr>
              <w:t>≤</w:t>
            </w:r>
            <w:r>
              <w:rPr>
                <w:sz w:val="18"/>
                <w:szCs w:val="18"/>
              </w:rPr>
              <w:t>75 mg/kg</w:t>
            </w:r>
          </w:p>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sz w:val="18"/>
                <w:szCs w:val="18"/>
              </w:rPr>
              <w:t>铬（Cr）</w:t>
            </w:r>
            <w:r>
              <w:rPr>
                <w:rFonts w:hint="eastAsia"/>
                <w:sz w:val="18"/>
                <w:szCs w:val="18"/>
              </w:rPr>
              <w:t>≤</w:t>
            </w:r>
            <w:r>
              <w:rPr>
                <w:sz w:val="18"/>
                <w:szCs w:val="18"/>
              </w:rPr>
              <w:t>60 mg/kg</w:t>
            </w:r>
          </w:p>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sz w:val="18"/>
                <w:szCs w:val="18"/>
              </w:rPr>
              <w:t>汞（Hg）</w:t>
            </w:r>
            <w:r>
              <w:rPr>
                <w:rFonts w:hint="eastAsia"/>
                <w:sz w:val="18"/>
                <w:szCs w:val="18"/>
              </w:rPr>
              <w:t>≤</w:t>
            </w:r>
            <w:r>
              <w:rPr>
                <w:sz w:val="18"/>
                <w:szCs w:val="18"/>
              </w:rPr>
              <w:t>60 mg/kg</w:t>
            </w:r>
          </w:p>
        </w:tc>
        <w:tc>
          <w:tcPr>
            <w:tcW w:w="1984"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sz w:val="18"/>
                <w:szCs w:val="18"/>
              </w:rPr>
              <w:t>铅（Pb）</w:t>
            </w:r>
            <w:r>
              <w:rPr>
                <w:rFonts w:hint="eastAsia"/>
                <w:sz w:val="18"/>
                <w:szCs w:val="18"/>
              </w:rPr>
              <w:t>≤</w:t>
            </w:r>
            <w:r>
              <w:rPr>
                <w:sz w:val="18"/>
                <w:szCs w:val="18"/>
              </w:rPr>
              <w:t>90 mg/kg</w:t>
            </w:r>
          </w:p>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sz w:val="18"/>
                <w:szCs w:val="18"/>
              </w:rPr>
              <w:t>镉（Cd）</w:t>
            </w:r>
            <w:r>
              <w:rPr>
                <w:rFonts w:hint="eastAsia"/>
                <w:sz w:val="18"/>
                <w:szCs w:val="18"/>
              </w:rPr>
              <w:t>≤</w:t>
            </w:r>
            <w:r>
              <w:rPr>
                <w:sz w:val="18"/>
                <w:szCs w:val="18"/>
              </w:rPr>
              <w:t>75 mg/kg</w:t>
            </w:r>
          </w:p>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sz w:val="18"/>
                <w:szCs w:val="18"/>
              </w:rPr>
              <w:t>铬（Cr）</w:t>
            </w:r>
            <w:r>
              <w:rPr>
                <w:rFonts w:hint="eastAsia"/>
                <w:sz w:val="18"/>
                <w:szCs w:val="18"/>
              </w:rPr>
              <w:t>≤</w:t>
            </w:r>
            <w:r>
              <w:rPr>
                <w:sz w:val="18"/>
                <w:szCs w:val="18"/>
              </w:rPr>
              <w:t>60 mg/kg</w:t>
            </w:r>
          </w:p>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sz w:val="18"/>
                <w:szCs w:val="18"/>
              </w:rPr>
              <w:t>汞（Hg）</w:t>
            </w:r>
            <w:r>
              <w:rPr>
                <w:rFonts w:hint="eastAsia"/>
                <w:sz w:val="18"/>
                <w:szCs w:val="18"/>
              </w:rPr>
              <w:t>≤</w:t>
            </w:r>
            <w:r>
              <w:rPr>
                <w:sz w:val="18"/>
                <w:szCs w:val="18"/>
              </w:rPr>
              <w:t>60 mg/kg</w:t>
            </w:r>
          </w:p>
        </w:tc>
        <w:tc>
          <w:tcPr>
            <w:tcW w:w="851" w:type="dxa"/>
            <w:vAlign w:val="center"/>
          </w:tcPr>
          <w:p>
            <w:pPr>
              <w:keepNext w:val="0"/>
              <w:keepLines w:val="0"/>
              <w:pageBreakBefore w:val="0"/>
              <w:widowControl w:val="0"/>
              <w:kinsoku/>
              <w:wordWrap/>
              <w:overflowPunct/>
              <w:topLinePunct w:val="0"/>
              <w:autoSpaceDE/>
              <w:autoSpaceDN/>
              <w:bidi w:val="0"/>
              <w:adjustRightInd w:val="0"/>
              <w:spacing w:line="240" w:lineRule="exact"/>
              <w:ind w:left="0" w:leftChars="0" w:right="0" w:rightChars="0"/>
              <w:jc w:val="center"/>
              <w:textAlignment w:val="auto"/>
              <w:outlineLvl w:val="9"/>
              <w:rPr>
                <w:sz w:val="18"/>
                <w:szCs w:val="18"/>
              </w:rPr>
            </w:pPr>
            <w:r>
              <w:rPr>
                <w:rFonts w:hint="eastAsia"/>
                <w:sz w:val="18"/>
                <w:szCs w:val="18"/>
              </w:rPr>
              <w:t>/</w:t>
            </w:r>
          </w:p>
        </w:tc>
        <w:tc>
          <w:tcPr>
            <w:tcW w:w="850" w:type="dxa"/>
            <w:vAlign w:val="center"/>
          </w:tcPr>
          <w:p>
            <w:pPr>
              <w:keepNext w:val="0"/>
              <w:keepLines w:val="0"/>
              <w:pageBreakBefore w:val="0"/>
              <w:widowControl w:val="0"/>
              <w:kinsoku/>
              <w:wordWrap/>
              <w:overflowPunct/>
              <w:topLinePunct w:val="0"/>
              <w:autoSpaceDE/>
              <w:autoSpaceDN/>
              <w:bidi w:val="0"/>
              <w:adjustRightInd w:val="0"/>
              <w:spacing w:line="240" w:lineRule="exact"/>
              <w:ind w:left="0" w:leftChars="0" w:right="0" w:rightChars="0"/>
              <w:jc w:val="center"/>
              <w:textAlignment w:val="auto"/>
              <w:outlineLvl w:val="9"/>
              <w:rPr>
                <w:sz w:val="18"/>
                <w:szCs w:val="18"/>
              </w:rPr>
            </w:pPr>
            <w:r>
              <w:rPr>
                <w:rFonts w:hint="eastAsia"/>
                <w:sz w:val="18"/>
                <w:szCs w:val="18"/>
              </w:rPr>
              <w:t>/</w:t>
            </w:r>
          </w:p>
        </w:tc>
        <w:tc>
          <w:tcPr>
            <w:tcW w:w="1658"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sz w:val="18"/>
                <w:szCs w:val="18"/>
              </w:rPr>
              <w:t>铅（Pb）X＞90 mg/kg</w:t>
            </w:r>
          </w:p>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sz w:val="18"/>
                <w:szCs w:val="18"/>
              </w:rPr>
              <w:t>镉（Cd）X＞75 mg/kg</w:t>
            </w:r>
          </w:p>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sz w:val="18"/>
                <w:szCs w:val="18"/>
              </w:rPr>
              <w:t>铬（Cr）X＞60 mg/kg</w:t>
            </w:r>
          </w:p>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center"/>
              <w:textAlignment w:val="auto"/>
              <w:outlineLvl w:val="9"/>
              <w:rPr>
                <w:sz w:val="18"/>
                <w:szCs w:val="18"/>
              </w:rPr>
            </w:pPr>
            <w:r>
              <w:rPr>
                <w:sz w:val="18"/>
                <w:szCs w:val="18"/>
              </w:rPr>
              <w:t>汞（Hg）X＞60 mg/kg</w:t>
            </w:r>
          </w:p>
        </w:tc>
      </w:tr>
    </w:tbl>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eastAsia="楷体_GB2312"/>
          <w:szCs w:val="32"/>
        </w:rPr>
      </w:pPr>
      <w:r>
        <w:rPr>
          <w:rFonts w:hint="eastAsia" w:eastAsia="楷体_GB2312"/>
          <w:szCs w:val="32"/>
        </w:rPr>
        <w:t>5</w:t>
      </w:r>
      <w:r>
        <w:rPr>
          <w:rFonts w:hint="eastAsia" w:eastAsia="楷体_GB2312"/>
          <w:szCs w:val="32"/>
          <w:lang w:eastAsia="zh-CN"/>
        </w:rPr>
        <w:t>．</w:t>
      </w:r>
      <w:r>
        <w:rPr>
          <w:rFonts w:hint="eastAsia" w:eastAsia="楷体_GB2312"/>
          <w:szCs w:val="32"/>
        </w:rPr>
        <w:t>水性木器涂料</w:t>
      </w:r>
    </w:p>
    <w:tbl>
      <w:tblPr>
        <w:tblStyle w:val="3"/>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8"/>
        <w:gridCol w:w="1521"/>
        <w:gridCol w:w="1701"/>
        <w:gridCol w:w="1843"/>
        <w:gridCol w:w="851"/>
        <w:gridCol w:w="850"/>
        <w:gridCol w:w="16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8" w:hRule="atLeast"/>
          <w:tblHeader/>
          <w:jc w:val="center"/>
        </w:trPr>
        <w:tc>
          <w:tcPr>
            <w:tcW w:w="4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 w:val="18"/>
                <w:szCs w:val="18"/>
              </w:rPr>
            </w:pPr>
            <w:r>
              <w:rPr>
                <w:sz w:val="18"/>
                <w:szCs w:val="18"/>
              </w:rPr>
              <w:t>序号</w:t>
            </w:r>
          </w:p>
        </w:tc>
        <w:tc>
          <w:tcPr>
            <w:tcW w:w="152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 w:val="18"/>
                <w:szCs w:val="18"/>
              </w:rPr>
            </w:pPr>
            <w:r>
              <w:rPr>
                <w:sz w:val="18"/>
                <w:szCs w:val="18"/>
              </w:rPr>
              <w:t>检验项目</w:t>
            </w:r>
          </w:p>
        </w:tc>
        <w:tc>
          <w:tcPr>
            <w:tcW w:w="170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 w:val="18"/>
                <w:szCs w:val="18"/>
              </w:rPr>
            </w:pPr>
            <w:r>
              <w:rPr>
                <w:sz w:val="18"/>
                <w:szCs w:val="18"/>
              </w:rPr>
              <w:t>标准要求</w:t>
            </w:r>
          </w:p>
        </w:tc>
        <w:tc>
          <w:tcPr>
            <w:tcW w:w="1843" w:type="dxa"/>
            <w:tcBorders>
              <w:top w:val="single" w:color="auto" w:sz="4" w:space="0"/>
              <w:left w:val="single" w:color="auto" w:sz="4" w:space="0"/>
              <w:bottom w:val="single" w:color="auto" w:sz="4" w:space="0"/>
              <w:right w:val="single" w:color="auto" w:sz="4" w:space="0"/>
            </w:tcBorders>
            <w:vAlign w:val="center"/>
          </w:tcPr>
          <w:p>
            <w:pPr>
              <w:adjustRightInd w:val="0"/>
              <w:spacing w:line="240" w:lineRule="atLeast"/>
              <w:jc w:val="center"/>
              <w:rPr>
                <w:sz w:val="18"/>
                <w:szCs w:val="18"/>
              </w:rPr>
            </w:pPr>
            <w:r>
              <w:rPr>
                <w:sz w:val="18"/>
                <w:szCs w:val="18"/>
              </w:rPr>
              <w:t>样本合格</w:t>
            </w:r>
          </w:p>
        </w:tc>
        <w:tc>
          <w:tcPr>
            <w:tcW w:w="851" w:type="dxa"/>
            <w:tcBorders>
              <w:top w:val="single" w:color="auto" w:sz="4" w:space="0"/>
              <w:left w:val="single" w:color="auto" w:sz="4" w:space="0"/>
              <w:bottom w:val="single" w:color="auto" w:sz="4" w:space="0"/>
              <w:right w:val="single" w:color="auto" w:sz="4" w:space="0"/>
            </w:tcBorders>
            <w:vAlign w:val="center"/>
          </w:tcPr>
          <w:p>
            <w:pPr>
              <w:adjustRightInd w:val="0"/>
              <w:spacing w:line="240" w:lineRule="atLeast"/>
              <w:jc w:val="center"/>
              <w:rPr>
                <w:sz w:val="18"/>
                <w:szCs w:val="18"/>
              </w:rPr>
            </w:pPr>
            <w:r>
              <w:rPr>
                <w:sz w:val="18"/>
                <w:szCs w:val="18"/>
              </w:rPr>
              <w:t>轻微不合格</w:t>
            </w:r>
          </w:p>
        </w:tc>
        <w:tc>
          <w:tcPr>
            <w:tcW w:w="850" w:type="dxa"/>
            <w:tcBorders>
              <w:top w:val="single" w:color="auto" w:sz="4" w:space="0"/>
              <w:left w:val="single" w:color="auto" w:sz="4" w:space="0"/>
              <w:right w:val="single" w:color="auto" w:sz="4" w:space="0"/>
            </w:tcBorders>
            <w:vAlign w:val="center"/>
          </w:tcPr>
          <w:p>
            <w:pPr>
              <w:adjustRightInd w:val="0"/>
              <w:spacing w:line="240" w:lineRule="atLeast"/>
              <w:jc w:val="center"/>
              <w:rPr>
                <w:sz w:val="18"/>
                <w:szCs w:val="18"/>
              </w:rPr>
            </w:pPr>
            <w:r>
              <w:rPr>
                <w:sz w:val="18"/>
                <w:szCs w:val="18"/>
              </w:rPr>
              <w:t>较严重不合格</w:t>
            </w:r>
          </w:p>
        </w:tc>
        <w:tc>
          <w:tcPr>
            <w:tcW w:w="1658" w:type="dxa"/>
            <w:tcBorders>
              <w:top w:val="single" w:color="auto" w:sz="4" w:space="0"/>
              <w:left w:val="single" w:color="auto" w:sz="4" w:space="0"/>
              <w:right w:val="single" w:color="auto" w:sz="4" w:space="0"/>
            </w:tcBorders>
            <w:vAlign w:val="center"/>
          </w:tcPr>
          <w:p>
            <w:pPr>
              <w:adjustRightInd w:val="0"/>
              <w:spacing w:line="240" w:lineRule="atLeast"/>
              <w:jc w:val="center"/>
              <w:rPr>
                <w:sz w:val="18"/>
                <w:szCs w:val="18"/>
              </w:rPr>
            </w:pPr>
            <w:r>
              <w:rPr>
                <w:sz w:val="18"/>
                <w:szCs w:val="18"/>
              </w:rPr>
              <w:t>严重不合格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478" w:type="dxa"/>
            <w:vAlign w:val="center"/>
          </w:tcPr>
          <w:p>
            <w:pPr>
              <w:spacing w:line="240" w:lineRule="atLeast"/>
              <w:jc w:val="center"/>
              <w:rPr>
                <w:sz w:val="18"/>
                <w:szCs w:val="18"/>
              </w:rPr>
            </w:pPr>
            <w:r>
              <w:rPr>
                <w:sz w:val="18"/>
                <w:szCs w:val="18"/>
              </w:rPr>
              <w:t>1</w:t>
            </w:r>
          </w:p>
        </w:tc>
        <w:tc>
          <w:tcPr>
            <w:tcW w:w="1521" w:type="dxa"/>
            <w:vAlign w:val="center"/>
          </w:tcPr>
          <w:p>
            <w:pPr>
              <w:spacing w:line="240" w:lineRule="atLeast"/>
              <w:jc w:val="center"/>
              <w:rPr>
                <w:sz w:val="18"/>
                <w:szCs w:val="18"/>
              </w:rPr>
            </w:pPr>
            <w:r>
              <w:rPr>
                <w:sz w:val="18"/>
                <w:szCs w:val="18"/>
              </w:rPr>
              <w:t>挥发性有机化合物含量</w:t>
            </w:r>
          </w:p>
        </w:tc>
        <w:tc>
          <w:tcPr>
            <w:tcW w:w="1701" w:type="dxa"/>
            <w:vAlign w:val="center"/>
          </w:tcPr>
          <w:p>
            <w:pPr>
              <w:adjustRightInd w:val="0"/>
              <w:snapToGrid w:val="0"/>
              <w:spacing w:line="240" w:lineRule="atLeast"/>
              <w:jc w:val="center"/>
              <w:rPr>
                <w:sz w:val="18"/>
                <w:szCs w:val="18"/>
              </w:rPr>
            </w:pPr>
            <w:r>
              <w:rPr>
                <w:rFonts w:hint="eastAsia"/>
                <w:sz w:val="18"/>
                <w:szCs w:val="18"/>
              </w:rPr>
              <w:t>涂料:≤300g/L</w:t>
            </w:r>
          </w:p>
          <w:p>
            <w:pPr>
              <w:adjustRightInd w:val="0"/>
              <w:snapToGrid w:val="0"/>
              <w:spacing w:line="240" w:lineRule="atLeast"/>
              <w:jc w:val="center"/>
              <w:rPr>
                <w:sz w:val="18"/>
                <w:szCs w:val="18"/>
              </w:rPr>
            </w:pPr>
            <w:r>
              <w:rPr>
                <w:rFonts w:hint="eastAsia"/>
                <w:sz w:val="18"/>
                <w:szCs w:val="18"/>
              </w:rPr>
              <w:t>腻子:≤60g/kg</w:t>
            </w:r>
          </w:p>
        </w:tc>
        <w:tc>
          <w:tcPr>
            <w:tcW w:w="1843" w:type="dxa"/>
            <w:vAlign w:val="center"/>
          </w:tcPr>
          <w:p>
            <w:pPr>
              <w:adjustRightInd w:val="0"/>
              <w:snapToGrid w:val="0"/>
              <w:spacing w:line="240" w:lineRule="atLeast"/>
              <w:jc w:val="center"/>
              <w:rPr>
                <w:sz w:val="18"/>
                <w:szCs w:val="18"/>
              </w:rPr>
            </w:pPr>
            <w:r>
              <w:rPr>
                <w:rFonts w:hint="eastAsia"/>
                <w:sz w:val="18"/>
                <w:szCs w:val="18"/>
              </w:rPr>
              <w:t>涂料:≤300g/L</w:t>
            </w:r>
          </w:p>
          <w:p>
            <w:pPr>
              <w:adjustRightInd w:val="0"/>
              <w:snapToGrid w:val="0"/>
              <w:spacing w:line="240" w:lineRule="atLeast"/>
              <w:jc w:val="center"/>
              <w:rPr>
                <w:sz w:val="18"/>
                <w:szCs w:val="18"/>
              </w:rPr>
            </w:pPr>
            <w:r>
              <w:rPr>
                <w:rFonts w:hint="eastAsia"/>
                <w:sz w:val="18"/>
                <w:szCs w:val="18"/>
              </w:rPr>
              <w:t>腻子:≤60g/kg</w:t>
            </w:r>
          </w:p>
        </w:tc>
        <w:tc>
          <w:tcPr>
            <w:tcW w:w="851" w:type="dxa"/>
            <w:vAlign w:val="center"/>
          </w:tcPr>
          <w:p>
            <w:pPr>
              <w:adjustRightInd w:val="0"/>
              <w:spacing w:line="240" w:lineRule="atLeast"/>
              <w:jc w:val="center"/>
              <w:rPr>
                <w:sz w:val="18"/>
                <w:szCs w:val="18"/>
              </w:rPr>
            </w:pPr>
            <w:r>
              <w:rPr>
                <w:rFonts w:hint="eastAsia"/>
                <w:sz w:val="18"/>
                <w:szCs w:val="18"/>
              </w:rPr>
              <w:t>/</w:t>
            </w:r>
          </w:p>
        </w:tc>
        <w:tc>
          <w:tcPr>
            <w:tcW w:w="850" w:type="dxa"/>
            <w:vAlign w:val="center"/>
          </w:tcPr>
          <w:p>
            <w:pPr>
              <w:adjustRightInd w:val="0"/>
              <w:spacing w:line="240" w:lineRule="atLeast"/>
              <w:jc w:val="center"/>
              <w:rPr>
                <w:sz w:val="18"/>
                <w:szCs w:val="18"/>
              </w:rPr>
            </w:pPr>
            <w:r>
              <w:rPr>
                <w:rFonts w:hint="eastAsia"/>
                <w:sz w:val="18"/>
                <w:szCs w:val="18"/>
              </w:rPr>
              <w:t>/</w:t>
            </w:r>
          </w:p>
        </w:tc>
        <w:tc>
          <w:tcPr>
            <w:tcW w:w="1658" w:type="dxa"/>
            <w:vAlign w:val="center"/>
          </w:tcPr>
          <w:p>
            <w:pPr>
              <w:adjustRightInd w:val="0"/>
              <w:snapToGrid w:val="0"/>
              <w:spacing w:line="240" w:lineRule="atLeast"/>
              <w:jc w:val="center"/>
              <w:rPr>
                <w:sz w:val="18"/>
                <w:szCs w:val="18"/>
              </w:rPr>
            </w:pPr>
            <w:r>
              <w:rPr>
                <w:rFonts w:hint="eastAsia"/>
                <w:sz w:val="18"/>
                <w:szCs w:val="18"/>
              </w:rPr>
              <w:t>涂料:</w:t>
            </w:r>
            <w:r>
              <w:rPr>
                <w:sz w:val="18"/>
                <w:szCs w:val="18"/>
              </w:rPr>
              <w:t xml:space="preserve"> X＞</w:t>
            </w:r>
            <w:r>
              <w:rPr>
                <w:rFonts w:hint="eastAsia"/>
                <w:sz w:val="18"/>
                <w:szCs w:val="18"/>
              </w:rPr>
              <w:t>300g/L</w:t>
            </w:r>
          </w:p>
          <w:p>
            <w:pPr>
              <w:adjustRightInd w:val="0"/>
              <w:snapToGrid w:val="0"/>
              <w:spacing w:line="240" w:lineRule="atLeast"/>
              <w:jc w:val="center"/>
              <w:rPr>
                <w:sz w:val="18"/>
                <w:szCs w:val="18"/>
              </w:rPr>
            </w:pPr>
            <w:r>
              <w:rPr>
                <w:rFonts w:hint="eastAsia"/>
                <w:sz w:val="18"/>
                <w:szCs w:val="18"/>
              </w:rPr>
              <w:t>腻子:</w:t>
            </w:r>
            <w:r>
              <w:rPr>
                <w:sz w:val="18"/>
                <w:szCs w:val="18"/>
              </w:rPr>
              <w:t xml:space="preserve"> X＞</w:t>
            </w:r>
            <w:r>
              <w:rPr>
                <w:rFonts w:hint="eastAsia"/>
                <w:sz w:val="18"/>
                <w:szCs w:val="18"/>
              </w:rPr>
              <w:t>60g/kg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478" w:type="dxa"/>
            <w:vAlign w:val="center"/>
          </w:tcPr>
          <w:p>
            <w:pPr>
              <w:spacing w:line="240" w:lineRule="atLeast"/>
              <w:jc w:val="center"/>
              <w:rPr>
                <w:sz w:val="18"/>
                <w:szCs w:val="18"/>
              </w:rPr>
            </w:pPr>
            <w:r>
              <w:rPr>
                <w:rFonts w:hint="eastAsia"/>
                <w:sz w:val="18"/>
                <w:szCs w:val="18"/>
              </w:rPr>
              <w:t>2</w:t>
            </w:r>
          </w:p>
        </w:tc>
        <w:tc>
          <w:tcPr>
            <w:tcW w:w="1521" w:type="dxa"/>
            <w:vAlign w:val="center"/>
          </w:tcPr>
          <w:p>
            <w:pPr>
              <w:spacing w:line="240" w:lineRule="atLeast"/>
              <w:jc w:val="center"/>
              <w:rPr>
                <w:sz w:val="18"/>
                <w:szCs w:val="18"/>
              </w:rPr>
            </w:pPr>
            <w:r>
              <w:rPr>
                <w:rFonts w:hint="eastAsia" w:ascii="宋体" w:hAnsi="宋体" w:cs="宋体"/>
                <w:kern w:val="0"/>
                <w:sz w:val="18"/>
                <w:szCs w:val="18"/>
              </w:rPr>
              <w:t>苯系物含量（</w:t>
            </w:r>
            <w:r>
              <w:rPr>
                <w:rFonts w:hint="eastAsia"/>
                <w:sz w:val="18"/>
                <w:szCs w:val="18"/>
              </w:rPr>
              <w:t>苯、甲苯、乙苯和二甲苯总和</w:t>
            </w:r>
            <w:r>
              <w:rPr>
                <w:rFonts w:hint="eastAsia" w:ascii="宋体" w:hAnsi="宋体" w:cs="宋体"/>
                <w:kern w:val="0"/>
                <w:sz w:val="18"/>
                <w:szCs w:val="18"/>
              </w:rPr>
              <w:t>）</w:t>
            </w:r>
          </w:p>
        </w:tc>
        <w:tc>
          <w:tcPr>
            <w:tcW w:w="1701" w:type="dxa"/>
            <w:vAlign w:val="center"/>
          </w:tcPr>
          <w:p>
            <w:pPr>
              <w:adjustRightInd w:val="0"/>
              <w:snapToGrid w:val="0"/>
              <w:spacing w:line="240" w:lineRule="atLeast"/>
              <w:jc w:val="center"/>
              <w:rPr>
                <w:sz w:val="18"/>
                <w:szCs w:val="18"/>
              </w:rPr>
            </w:pPr>
            <w:r>
              <w:rPr>
                <w:rFonts w:hint="eastAsia"/>
                <w:sz w:val="18"/>
                <w:szCs w:val="18"/>
              </w:rPr>
              <w:t>≤300mg/kg</w:t>
            </w:r>
          </w:p>
        </w:tc>
        <w:tc>
          <w:tcPr>
            <w:tcW w:w="1843" w:type="dxa"/>
            <w:vAlign w:val="center"/>
          </w:tcPr>
          <w:p>
            <w:pPr>
              <w:adjustRightInd w:val="0"/>
              <w:snapToGrid w:val="0"/>
              <w:spacing w:line="240" w:lineRule="atLeast"/>
              <w:jc w:val="center"/>
              <w:rPr>
                <w:sz w:val="18"/>
                <w:szCs w:val="18"/>
              </w:rPr>
            </w:pPr>
            <w:r>
              <w:rPr>
                <w:rFonts w:hint="eastAsia"/>
                <w:sz w:val="18"/>
                <w:szCs w:val="18"/>
              </w:rPr>
              <w:t>≤300mg/kg</w:t>
            </w:r>
          </w:p>
        </w:tc>
        <w:tc>
          <w:tcPr>
            <w:tcW w:w="851" w:type="dxa"/>
            <w:vAlign w:val="center"/>
          </w:tcPr>
          <w:p>
            <w:pPr>
              <w:adjustRightInd w:val="0"/>
              <w:spacing w:line="240" w:lineRule="atLeast"/>
              <w:jc w:val="center"/>
              <w:rPr>
                <w:sz w:val="18"/>
                <w:szCs w:val="18"/>
              </w:rPr>
            </w:pPr>
            <w:r>
              <w:rPr>
                <w:rFonts w:hint="eastAsia"/>
                <w:sz w:val="18"/>
                <w:szCs w:val="18"/>
              </w:rPr>
              <w:t>/</w:t>
            </w:r>
          </w:p>
        </w:tc>
        <w:tc>
          <w:tcPr>
            <w:tcW w:w="850" w:type="dxa"/>
            <w:vAlign w:val="center"/>
          </w:tcPr>
          <w:p>
            <w:pPr>
              <w:adjustRightInd w:val="0"/>
              <w:spacing w:line="240" w:lineRule="atLeast"/>
              <w:jc w:val="center"/>
              <w:rPr>
                <w:sz w:val="18"/>
                <w:szCs w:val="18"/>
              </w:rPr>
            </w:pPr>
            <w:r>
              <w:rPr>
                <w:rFonts w:hint="eastAsia"/>
                <w:sz w:val="18"/>
                <w:szCs w:val="18"/>
              </w:rPr>
              <w:t>/</w:t>
            </w:r>
          </w:p>
        </w:tc>
        <w:tc>
          <w:tcPr>
            <w:tcW w:w="1658" w:type="dxa"/>
            <w:vAlign w:val="center"/>
          </w:tcPr>
          <w:p>
            <w:pPr>
              <w:adjustRightInd w:val="0"/>
              <w:snapToGrid w:val="0"/>
              <w:spacing w:line="240" w:lineRule="atLeast"/>
              <w:jc w:val="center"/>
              <w:rPr>
                <w:sz w:val="18"/>
                <w:szCs w:val="18"/>
              </w:rPr>
            </w:pPr>
            <w:r>
              <w:rPr>
                <w:sz w:val="18"/>
                <w:szCs w:val="18"/>
              </w:rPr>
              <w:t xml:space="preserve">X＞ </w:t>
            </w:r>
            <w:r>
              <w:rPr>
                <w:rFonts w:hint="eastAsia"/>
                <w:sz w:val="18"/>
                <w:szCs w:val="18"/>
              </w:rPr>
              <w:t>300mg/kg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478" w:type="dxa"/>
            <w:vAlign w:val="center"/>
          </w:tcPr>
          <w:p>
            <w:pPr>
              <w:spacing w:line="240" w:lineRule="atLeast"/>
              <w:jc w:val="center"/>
              <w:rPr>
                <w:sz w:val="18"/>
                <w:szCs w:val="18"/>
              </w:rPr>
            </w:pPr>
            <w:r>
              <w:rPr>
                <w:rFonts w:hint="eastAsia"/>
                <w:sz w:val="18"/>
                <w:szCs w:val="18"/>
              </w:rPr>
              <w:t>3</w:t>
            </w:r>
          </w:p>
        </w:tc>
        <w:tc>
          <w:tcPr>
            <w:tcW w:w="1521" w:type="dxa"/>
            <w:vAlign w:val="center"/>
          </w:tcPr>
          <w:p>
            <w:pPr>
              <w:spacing w:line="240" w:lineRule="atLeast"/>
              <w:jc w:val="center"/>
              <w:rPr>
                <w:sz w:val="18"/>
                <w:szCs w:val="18"/>
              </w:rPr>
            </w:pPr>
            <w:r>
              <w:rPr>
                <w:sz w:val="18"/>
                <w:szCs w:val="18"/>
              </w:rPr>
              <w:t>游离甲醛含量</w:t>
            </w:r>
          </w:p>
        </w:tc>
        <w:tc>
          <w:tcPr>
            <w:tcW w:w="1701" w:type="dxa"/>
            <w:vAlign w:val="center"/>
          </w:tcPr>
          <w:p>
            <w:pPr>
              <w:adjustRightInd w:val="0"/>
              <w:snapToGrid w:val="0"/>
              <w:spacing w:line="240" w:lineRule="atLeast"/>
              <w:jc w:val="center"/>
              <w:rPr>
                <w:sz w:val="18"/>
                <w:szCs w:val="18"/>
              </w:rPr>
            </w:pPr>
            <w:r>
              <w:rPr>
                <w:rFonts w:hint="eastAsia"/>
                <w:sz w:val="18"/>
                <w:szCs w:val="18"/>
              </w:rPr>
              <w:t>≤100mg/kg</w:t>
            </w:r>
          </w:p>
        </w:tc>
        <w:tc>
          <w:tcPr>
            <w:tcW w:w="1843" w:type="dxa"/>
            <w:vAlign w:val="center"/>
          </w:tcPr>
          <w:p>
            <w:pPr>
              <w:adjustRightInd w:val="0"/>
              <w:snapToGrid w:val="0"/>
              <w:spacing w:line="240" w:lineRule="atLeast"/>
              <w:jc w:val="center"/>
              <w:rPr>
                <w:sz w:val="18"/>
                <w:szCs w:val="18"/>
              </w:rPr>
            </w:pPr>
            <w:r>
              <w:rPr>
                <w:rFonts w:hint="eastAsia"/>
                <w:sz w:val="18"/>
                <w:szCs w:val="18"/>
              </w:rPr>
              <w:t>≤100mg/kg</w:t>
            </w:r>
          </w:p>
        </w:tc>
        <w:tc>
          <w:tcPr>
            <w:tcW w:w="851" w:type="dxa"/>
            <w:vAlign w:val="center"/>
          </w:tcPr>
          <w:p>
            <w:pPr>
              <w:adjustRightInd w:val="0"/>
              <w:spacing w:line="240" w:lineRule="atLeast"/>
              <w:jc w:val="center"/>
              <w:rPr>
                <w:sz w:val="18"/>
                <w:szCs w:val="18"/>
              </w:rPr>
            </w:pPr>
            <w:r>
              <w:rPr>
                <w:rFonts w:hint="eastAsia"/>
                <w:sz w:val="18"/>
                <w:szCs w:val="18"/>
              </w:rPr>
              <w:t>/</w:t>
            </w:r>
          </w:p>
        </w:tc>
        <w:tc>
          <w:tcPr>
            <w:tcW w:w="850" w:type="dxa"/>
            <w:vAlign w:val="center"/>
          </w:tcPr>
          <w:p>
            <w:pPr>
              <w:adjustRightInd w:val="0"/>
              <w:spacing w:line="240" w:lineRule="atLeast"/>
              <w:jc w:val="center"/>
              <w:rPr>
                <w:sz w:val="18"/>
                <w:szCs w:val="18"/>
              </w:rPr>
            </w:pPr>
            <w:r>
              <w:rPr>
                <w:rFonts w:hint="eastAsia"/>
                <w:sz w:val="18"/>
                <w:szCs w:val="18"/>
              </w:rPr>
              <w:t>/</w:t>
            </w:r>
          </w:p>
        </w:tc>
        <w:tc>
          <w:tcPr>
            <w:tcW w:w="1658" w:type="dxa"/>
            <w:vAlign w:val="center"/>
          </w:tcPr>
          <w:p>
            <w:pPr>
              <w:adjustRightInd w:val="0"/>
              <w:snapToGrid w:val="0"/>
              <w:spacing w:line="240" w:lineRule="atLeast"/>
              <w:jc w:val="center"/>
              <w:rPr>
                <w:sz w:val="18"/>
                <w:szCs w:val="18"/>
              </w:rPr>
            </w:pPr>
            <w:r>
              <w:rPr>
                <w:sz w:val="18"/>
                <w:szCs w:val="18"/>
              </w:rPr>
              <w:t xml:space="preserve">X＞ </w:t>
            </w:r>
            <w:r>
              <w:rPr>
                <w:rFonts w:hint="eastAsia"/>
                <w:sz w:val="18"/>
                <w:szCs w:val="18"/>
              </w:rPr>
              <w:t>100mg/kg</w:t>
            </w:r>
            <w:r>
              <w:rPr>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478" w:type="dxa"/>
            <w:vAlign w:val="center"/>
          </w:tcPr>
          <w:p>
            <w:pPr>
              <w:spacing w:line="240" w:lineRule="atLeast"/>
              <w:jc w:val="center"/>
              <w:rPr>
                <w:sz w:val="18"/>
                <w:szCs w:val="18"/>
              </w:rPr>
            </w:pPr>
            <w:r>
              <w:rPr>
                <w:rFonts w:hint="eastAsia"/>
                <w:sz w:val="18"/>
                <w:szCs w:val="18"/>
              </w:rPr>
              <w:t>4</w:t>
            </w:r>
          </w:p>
        </w:tc>
        <w:tc>
          <w:tcPr>
            <w:tcW w:w="1521" w:type="dxa"/>
            <w:vAlign w:val="center"/>
          </w:tcPr>
          <w:p>
            <w:pPr>
              <w:spacing w:line="240" w:lineRule="atLeast"/>
              <w:jc w:val="center"/>
              <w:rPr>
                <w:sz w:val="18"/>
                <w:szCs w:val="18"/>
              </w:rPr>
            </w:pPr>
            <w:r>
              <w:rPr>
                <w:rFonts w:hint="eastAsia" w:ascii="宋体" w:hAnsi="宋体" w:cs="宋体"/>
                <w:kern w:val="0"/>
                <w:sz w:val="18"/>
                <w:szCs w:val="18"/>
              </w:rPr>
              <w:t>乙二醇醚及其酯类含量</w:t>
            </w:r>
            <w:r>
              <w:rPr>
                <w:sz w:val="18"/>
                <w:szCs w:val="18"/>
              </w:rPr>
              <w:t>(</w:t>
            </w:r>
            <w:r>
              <w:rPr>
                <w:rFonts w:ascii="Verdana" w:hAnsi="Verdana"/>
                <w:sz w:val="18"/>
                <w:szCs w:val="18"/>
              </w:rPr>
              <w:t>乙二醇甲醚、乙二醇甲醚醋酸酯、乙二醇乙醚、乙二醇乙醚醋酸</w:t>
            </w:r>
            <w:r>
              <w:rPr>
                <w:rFonts w:hint="eastAsia" w:ascii="Verdana" w:hAnsi="Verdana"/>
                <w:sz w:val="18"/>
                <w:szCs w:val="18"/>
              </w:rPr>
              <w:t>酯</w:t>
            </w:r>
            <w:r>
              <w:rPr>
                <w:rFonts w:ascii="Verdana" w:hAnsi="Verdana"/>
                <w:sz w:val="18"/>
                <w:szCs w:val="18"/>
              </w:rPr>
              <w:t>，二乙二醇丁醚醋酸酯总和</w:t>
            </w:r>
            <w:r>
              <w:rPr>
                <w:sz w:val="18"/>
                <w:szCs w:val="18"/>
              </w:rPr>
              <w:t>)</w:t>
            </w:r>
          </w:p>
        </w:tc>
        <w:tc>
          <w:tcPr>
            <w:tcW w:w="1701" w:type="dxa"/>
            <w:vAlign w:val="center"/>
          </w:tcPr>
          <w:p>
            <w:pPr>
              <w:adjustRightInd w:val="0"/>
              <w:snapToGrid w:val="0"/>
              <w:spacing w:line="240" w:lineRule="atLeast"/>
              <w:jc w:val="center"/>
              <w:rPr>
                <w:sz w:val="18"/>
                <w:szCs w:val="18"/>
              </w:rPr>
            </w:pPr>
            <w:r>
              <w:rPr>
                <w:rFonts w:hint="eastAsia"/>
                <w:sz w:val="18"/>
                <w:szCs w:val="18"/>
              </w:rPr>
              <w:t>≤300mg/kg</w:t>
            </w:r>
          </w:p>
        </w:tc>
        <w:tc>
          <w:tcPr>
            <w:tcW w:w="1843" w:type="dxa"/>
            <w:vAlign w:val="center"/>
          </w:tcPr>
          <w:p>
            <w:pPr>
              <w:adjustRightInd w:val="0"/>
              <w:snapToGrid w:val="0"/>
              <w:spacing w:line="240" w:lineRule="atLeast"/>
              <w:jc w:val="center"/>
              <w:rPr>
                <w:sz w:val="18"/>
                <w:szCs w:val="18"/>
              </w:rPr>
            </w:pPr>
            <w:r>
              <w:rPr>
                <w:rFonts w:hint="eastAsia"/>
                <w:sz w:val="18"/>
                <w:szCs w:val="18"/>
              </w:rPr>
              <w:t>≤300mg/kg</w:t>
            </w:r>
          </w:p>
        </w:tc>
        <w:tc>
          <w:tcPr>
            <w:tcW w:w="851" w:type="dxa"/>
            <w:vAlign w:val="center"/>
          </w:tcPr>
          <w:p>
            <w:pPr>
              <w:adjustRightInd w:val="0"/>
              <w:spacing w:line="240" w:lineRule="atLeast"/>
              <w:jc w:val="center"/>
              <w:rPr>
                <w:sz w:val="18"/>
                <w:szCs w:val="18"/>
              </w:rPr>
            </w:pPr>
            <w:r>
              <w:rPr>
                <w:rFonts w:hint="eastAsia"/>
                <w:sz w:val="18"/>
                <w:szCs w:val="18"/>
              </w:rPr>
              <w:t>/</w:t>
            </w:r>
          </w:p>
        </w:tc>
        <w:tc>
          <w:tcPr>
            <w:tcW w:w="850" w:type="dxa"/>
            <w:vAlign w:val="center"/>
          </w:tcPr>
          <w:p>
            <w:pPr>
              <w:adjustRightInd w:val="0"/>
              <w:spacing w:line="240" w:lineRule="atLeast"/>
              <w:jc w:val="center"/>
              <w:rPr>
                <w:sz w:val="18"/>
                <w:szCs w:val="18"/>
              </w:rPr>
            </w:pPr>
            <w:r>
              <w:rPr>
                <w:rFonts w:hint="eastAsia"/>
                <w:sz w:val="18"/>
                <w:szCs w:val="18"/>
              </w:rPr>
              <w:t>/</w:t>
            </w:r>
          </w:p>
        </w:tc>
        <w:tc>
          <w:tcPr>
            <w:tcW w:w="1658" w:type="dxa"/>
            <w:vAlign w:val="center"/>
          </w:tcPr>
          <w:p>
            <w:pPr>
              <w:adjustRightInd w:val="0"/>
              <w:snapToGrid w:val="0"/>
              <w:spacing w:line="240" w:lineRule="atLeast"/>
              <w:jc w:val="center"/>
              <w:rPr>
                <w:sz w:val="18"/>
                <w:szCs w:val="18"/>
              </w:rPr>
            </w:pPr>
            <w:r>
              <w:rPr>
                <w:sz w:val="18"/>
                <w:szCs w:val="18"/>
              </w:rPr>
              <w:t xml:space="preserve">X＞ </w:t>
            </w:r>
            <w:r>
              <w:rPr>
                <w:rFonts w:hint="eastAsia"/>
                <w:sz w:val="18"/>
                <w:szCs w:val="18"/>
              </w:rPr>
              <w:t>300mg/kg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478" w:type="dxa"/>
            <w:vAlign w:val="center"/>
          </w:tcPr>
          <w:p>
            <w:pPr>
              <w:spacing w:line="240" w:lineRule="atLeast"/>
              <w:jc w:val="center"/>
              <w:rPr>
                <w:sz w:val="18"/>
                <w:szCs w:val="18"/>
              </w:rPr>
            </w:pPr>
            <w:r>
              <w:rPr>
                <w:rFonts w:hint="eastAsia"/>
                <w:sz w:val="18"/>
                <w:szCs w:val="18"/>
              </w:rPr>
              <w:t>5</w:t>
            </w:r>
          </w:p>
        </w:tc>
        <w:tc>
          <w:tcPr>
            <w:tcW w:w="1521" w:type="dxa"/>
            <w:vAlign w:val="center"/>
          </w:tcPr>
          <w:p>
            <w:pPr>
              <w:adjustRightInd w:val="0"/>
              <w:snapToGrid w:val="0"/>
              <w:spacing w:line="240" w:lineRule="atLeast"/>
              <w:jc w:val="center"/>
              <w:rPr>
                <w:sz w:val="18"/>
                <w:szCs w:val="18"/>
              </w:rPr>
            </w:pPr>
            <w:r>
              <w:rPr>
                <w:sz w:val="18"/>
                <w:szCs w:val="18"/>
              </w:rPr>
              <w:t>重金属</w:t>
            </w:r>
            <w:r>
              <w:rPr>
                <w:rFonts w:hint="eastAsia"/>
                <w:sz w:val="18"/>
                <w:szCs w:val="18"/>
              </w:rPr>
              <w:t>含量（限色漆和腻子）</w:t>
            </w:r>
          </w:p>
        </w:tc>
        <w:tc>
          <w:tcPr>
            <w:tcW w:w="1701" w:type="dxa"/>
            <w:vAlign w:val="center"/>
          </w:tcPr>
          <w:p>
            <w:pPr>
              <w:adjustRightInd w:val="0"/>
              <w:snapToGrid w:val="0"/>
              <w:spacing w:line="240" w:lineRule="atLeast"/>
              <w:jc w:val="center"/>
              <w:rPr>
                <w:sz w:val="18"/>
                <w:szCs w:val="18"/>
              </w:rPr>
            </w:pPr>
            <w:r>
              <w:rPr>
                <w:sz w:val="18"/>
                <w:szCs w:val="18"/>
              </w:rPr>
              <w:t>铅（Pb）</w:t>
            </w:r>
            <w:r>
              <w:rPr>
                <w:rFonts w:hint="eastAsia"/>
                <w:sz w:val="18"/>
                <w:szCs w:val="18"/>
              </w:rPr>
              <w:t>≤</w:t>
            </w:r>
            <w:r>
              <w:rPr>
                <w:sz w:val="18"/>
                <w:szCs w:val="18"/>
              </w:rPr>
              <w:t>90 mg/kg</w:t>
            </w:r>
          </w:p>
          <w:p>
            <w:pPr>
              <w:adjustRightInd w:val="0"/>
              <w:snapToGrid w:val="0"/>
              <w:spacing w:line="240" w:lineRule="atLeast"/>
              <w:jc w:val="center"/>
              <w:rPr>
                <w:sz w:val="18"/>
                <w:szCs w:val="18"/>
              </w:rPr>
            </w:pPr>
            <w:r>
              <w:rPr>
                <w:sz w:val="18"/>
                <w:szCs w:val="18"/>
              </w:rPr>
              <w:t>镉（Cd）</w:t>
            </w:r>
            <w:r>
              <w:rPr>
                <w:rFonts w:hint="eastAsia"/>
                <w:sz w:val="18"/>
                <w:szCs w:val="18"/>
              </w:rPr>
              <w:t>≤</w:t>
            </w:r>
            <w:r>
              <w:rPr>
                <w:sz w:val="18"/>
                <w:szCs w:val="18"/>
              </w:rPr>
              <w:t>75 mg/kg</w:t>
            </w:r>
          </w:p>
          <w:p>
            <w:pPr>
              <w:adjustRightInd w:val="0"/>
              <w:snapToGrid w:val="0"/>
              <w:spacing w:line="240" w:lineRule="atLeast"/>
              <w:jc w:val="center"/>
              <w:rPr>
                <w:sz w:val="18"/>
                <w:szCs w:val="18"/>
              </w:rPr>
            </w:pPr>
            <w:r>
              <w:rPr>
                <w:sz w:val="18"/>
                <w:szCs w:val="18"/>
              </w:rPr>
              <w:t>铬（Cr）</w:t>
            </w:r>
            <w:r>
              <w:rPr>
                <w:rFonts w:hint="eastAsia"/>
                <w:sz w:val="18"/>
                <w:szCs w:val="18"/>
              </w:rPr>
              <w:t>≤</w:t>
            </w:r>
            <w:r>
              <w:rPr>
                <w:sz w:val="18"/>
                <w:szCs w:val="18"/>
              </w:rPr>
              <w:t>60 mg/kg</w:t>
            </w:r>
          </w:p>
          <w:p>
            <w:pPr>
              <w:adjustRightInd w:val="0"/>
              <w:snapToGrid w:val="0"/>
              <w:spacing w:line="240" w:lineRule="atLeast"/>
              <w:jc w:val="center"/>
              <w:rPr>
                <w:sz w:val="18"/>
                <w:szCs w:val="18"/>
              </w:rPr>
            </w:pPr>
            <w:r>
              <w:rPr>
                <w:sz w:val="18"/>
                <w:szCs w:val="18"/>
              </w:rPr>
              <w:t>汞（Hg）</w:t>
            </w:r>
            <w:r>
              <w:rPr>
                <w:rFonts w:hint="eastAsia"/>
                <w:sz w:val="18"/>
                <w:szCs w:val="18"/>
              </w:rPr>
              <w:t>≤</w:t>
            </w:r>
            <w:r>
              <w:rPr>
                <w:sz w:val="18"/>
                <w:szCs w:val="18"/>
              </w:rPr>
              <w:t>60 mg/kg</w:t>
            </w:r>
          </w:p>
        </w:tc>
        <w:tc>
          <w:tcPr>
            <w:tcW w:w="1843" w:type="dxa"/>
            <w:vAlign w:val="center"/>
          </w:tcPr>
          <w:p>
            <w:pPr>
              <w:adjustRightInd w:val="0"/>
              <w:snapToGrid w:val="0"/>
              <w:spacing w:line="240" w:lineRule="atLeast"/>
              <w:jc w:val="center"/>
              <w:rPr>
                <w:sz w:val="18"/>
                <w:szCs w:val="18"/>
              </w:rPr>
            </w:pPr>
            <w:r>
              <w:rPr>
                <w:sz w:val="18"/>
                <w:szCs w:val="18"/>
              </w:rPr>
              <w:t>铅（Pb）</w:t>
            </w:r>
            <w:r>
              <w:rPr>
                <w:rFonts w:hint="eastAsia"/>
                <w:sz w:val="18"/>
                <w:szCs w:val="18"/>
              </w:rPr>
              <w:t>≤</w:t>
            </w:r>
            <w:r>
              <w:rPr>
                <w:sz w:val="18"/>
                <w:szCs w:val="18"/>
              </w:rPr>
              <w:t>90 mg/kg</w:t>
            </w:r>
          </w:p>
          <w:p>
            <w:pPr>
              <w:adjustRightInd w:val="0"/>
              <w:snapToGrid w:val="0"/>
              <w:spacing w:line="240" w:lineRule="atLeast"/>
              <w:jc w:val="center"/>
              <w:rPr>
                <w:sz w:val="18"/>
                <w:szCs w:val="18"/>
              </w:rPr>
            </w:pPr>
            <w:r>
              <w:rPr>
                <w:sz w:val="18"/>
                <w:szCs w:val="18"/>
              </w:rPr>
              <w:t>镉（Cd）</w:t>
            </w:r>
            <w:r>
              <w:rPr>
                <w:rFonts w:hint="eastAsia"/>
                <w:sz w:val="18"/>
                <w:szCs w:val="18"/>
              </w:rPr>
              <w:t>≤</w:t>
            </w:r>
            <w:r>
              <w:rPr>
                <w:sz w:val="18"/>
                <w:szCs w:val="18"/>
              </w:rPr>
              <w:t>75 mg/kg</w:t>
            </w:r>
          </w:p>
          <w:p>
            <w:pPr>
              <w:adjustRightInd w:val="0"/>
              <w:snapToGrid w:val="0"/>
              <w:spacing w:line="240" w:lineRule="atLeast"/>
              <w:jc w:val="center"/>
              <w:rPr>
                <w:sz w:val="18"/>
                <w:szCs w:val="18"/>
              </w:rPr>
            </w:pPr>
            <w:r>
              <w:rPr>
                <w:sz w:val="18"/>
                <w:szCs w:val="18"/>
              </w:rPr>
              <w:t>铬（Cr）</w:t>
            </w:r>
            <w:r>
              <w:rPr>
                <w:rFonts w:hint="eastAsia"/>
                <w:sz w:val="18"/>
                <w:szCs w:val="18"/>
              </w:rPr>
              <w:t>≤</w:t>
            </w:r>
            <w:r>
              <w:rPr>
                <w:sz w:val="18"/>
                <w:szCs w:val="18"/>
              </w:rPr>
              <w:t>60 mg/kg</w:t>
            </w:r>
          </w:p>
          <w:p>
            <w:pPr>
              <w:adjustRightInd w:val="0"/>
              <w:snapToGrid w:val="0"/>
              <w:spacing w:line="240" w:lineRule="atLeast"/>
              <w:jc w:val="center"/>
              <w:rPr>
                <w:sz w:val="18"/>
                <w:szCs w:val="18"/>
              </w:rPr>
            </w:pPr>
            <w:r>
              <w:rPr>
                <w:sz w:val="18"/>
                <w:szCs w:val="18"/>
              </w:rPr>
              <w:t>汞（Hg）</w:t>
            </w:r>
            <w:r>
              <w:rPr>
                <w:rFonts w:hint="eastAsia"/>
                <w:sz w:val="18"/>
                <w:szCs w:val="18"/>
              </w:rPr>
              <w:t>≤</w:t>
            </w:r>
            <w:r>
              <w:rPr>
                <w:sz w:val="18"/>
                <w:szCs w:val="18"/>
              </w:rPr>
              <w:t>60 mg/kg</w:t>
            </w:r>
          </w:p>
        </w:tc>
        <w:tc>
          <w:tcPr>
            <w:tcW w:w="851" w:type="dxa"/>
            <w:vAlign w:val="center"/>
          </w:tcPr>
          <w:p>
            <w:pPr>
              <w:adjustRightInd w:val="0"/>
              <w:spacing w:line="240" w:lineRule="atLeast"/>
              <w:jc w:val="center"/>
              <w:rPr>
                <w:sz w:val="18"/>
                <w:szCs w:val="18"/>
              </w:rPr>
            </w:pPr>
            <w:r>
              <w:rPr>
                <w:rFonts w:hint="eastAsia"/>
                <w:sz w:val="18"/>
                <w:szCs w:val="18"/>
              </w:rPr>
              <w:t>/</w:t>
            </w:r>
          </w:p>
        </w:tc>
        <w:tc>
          <w:tcPr>
            <w:tcW w:w="850" w:type="dxa"/>
            <w:vAlign w:val="center"/>
          </w:tcPr>
          <w:p>
            <w:pPr>
              <w:adjustRightInd w:val="0"/>
              <w:spacing w:line="240" w:lineRule="atLeast"/>
              <w:jc w:val="center"/>
              <w:rPr>
                <w:sz w:val="18"/>
                <w:szCs w:val="18"/>
              </w:rPr>
            </w:pPr>
            <w:r>
              <w:rPr>
                <w:rFonts w:hint="eastAsia"/>
                <w:sz w:val="18"/>
                <w:szCs w:val="18"/>
              </w:rPr>
              <w:t>/</w:t>
            </w:r>
          </w:p>
        </w:tc>
        <w:tc>
          <w:tcPr>
            <w:tcW w:w="1658" w:type="dxa"/>
            <w:vAlign w:val="center"/>
          </w:tcPr>
          <w:p>
            <w:pPr>
              <w:adjustRightInd w:val="0"/>
              <w:snapToGrid w:val="0"/>
              <w:spacing w:line="240" w:lineRule="atLeast"/>
              <w:jc w:val="center"/>
              <w:rPr>
                <w:sz w:val="18"/>
                <w:szCs w:val="18"/>
              </w:rPr>
            </w:pPr>
            <w:r>
              <w:rPr>
                <w:sz w:val="18"/>
                <w:szCs w:val="18"/>
              </w:rPr>
              <w:t>铅（Pb）X＞90 mg/kg</w:t>
            </w:r>
          </w:p>
          <w:p>
            <w:pPr>
              <w:adjustRightInd w:val="0"/>
              <w:snapToGrid w:val="0"/>
              <w:spacing w:line="240" w:lineRule="atLeast"/>
              <w:jc w:val="center"/>
              <w:rPr>
                <w:sz w:val="18"/>
                <w:szCs w:val="18"/>
              </w:rPr>
            </w:pPr>
            <w:r>
              <w:rPr>
                <w:sz w:val="18"/>
                <w:szCs w:val="18"/>
              </w:rPr>
              <w:t>镉（Cd）X＞75 mg/kg</w:t>
            </w:r>
          </w:p>
          <w:p>
            <w:pPr>
              <w:adjustRightInd w:val="0"/>
              <w:snapToGrid w:val="0"/>
              <w:spacing w:line="240" w:lineRule="atLeast"/>
              <w:jc w:val="center"/>
              <w:rPr>
                <w:sz w:val="18"/>
                <w:szCs w:val="18"/>
              </w:rPr>
            </w:pPr>
            <w:r>
              <w:rPr>
                <w:sz w:val="18"/>
                <w:szCs w:val="18"/>
              </w:rPr>
              <w:t>铬（Cr）X＞60 mg/kg</w:t>
            </w:r>
          </w:p>
          <w:p>
            <w:pPr>
              <w:adjustRightInd w:val="0"/>
              <w:snapToGrid w:val="0"/>
              <w:spacing w:line="240" w:lineRule="atLeast"/>
              <w:jc w:val="center"/>
              <w:rPr>
                <w:sz w:val="18"/>
                <w:szCs w:val="18"/>
              </w:rPr>
            </w:pPr>
            <w:r>
              <w:rPr>
                <w:sz w:val="18"/>
                <w:szCs w:val="18"/>
              </w:rPr>
              <w:t>汞（Hg）X＞60 mg/kg</w:t>
            </w:r>
          </w:p>
        </w:tc>
      </w:tr>
    </w:tbl>
    <w:p>
      <w:pPr>
        <w:ind w:firstLine="640" w:firstLineChars="200"/>
        <w:rPr>
          <w:rFonts w:eastAsia="楷体_GB2312"/>
          <w:szCs w:val="32"/>
        </w:rPr>
      </w:pPr>
      <w:r>
        <w:rPr>
          <w:rFonts w:hint="eastAsia" w:eastAsia="楷体_GB2312"/>
          <w:szCs w:val="32"/>
        </w:rPr>
        <w:t>（三）</w:t>
      </w:r>
      <w:r>
        <w:rPr>
          <w:rFonts w:eastAsia="楷体_GB2312"/>
          <w:szCs w:val="32"/>
        </w:rPr>
        <w:t>内在质量计数型项目的规范限及不合格划分表。</w:t>
      </w:r>
    </w:p>
    <w:p>
      <w:pPr>
        <w:spacing w:line="560" w:lineRule="exact"/>
        <w:ind w:firstLine="640" w:firstLineChars="200"/>
        <w:rPr>
          <w:szCs w:val="28"/>
        </w:rPr>
      </w:pPr>
      <w:r>
        <w:rPr>
          <w:szCs w:val="28"/>
        </w:rPr>
        <w:t>根据计数型质量特性对商品整体质量的影响程度，分为重要质量特性、较重要质量特性和次要质量特性。</w:t>
      </w:r>
    </w:p>
    <w:p>
      <w:pPr>
        <w:ind w:firstLine="640" w:firstLineChars="200"/>
        <w:jc w:val="left"/>
        <w:rPr>
          <w:szCs w:val="28"/>
        </w:rPr>
      </w:pPr>
      <w:r>
        <w:rPr>
          <w:rFonts w:hint="eastAsia"/>
          <w:szCs w:val="28"/>
        </w:rPr>
        <w:t>1</w:t>
      </w:r>
      <w:r>
        <w:rPr>
          <w:rFonts w:hint="eastAsia"/>
          <w:szCs w:val="28"/>
          <w:lang w:eastAsia="zh-CN"/>
        </w:rPr>
        <w:t>．</w:t>
      </w:r>
      <w:r>
        <w:rPr>
          <w:szCs w:val="28"/>
        </w:rPr>
        <w:t>内墙涂料</w:t>
      </w:r>
    </w:p>
    <w:tbl>
      <w:tblPr>
        <w:tblStyle w:val="3"/>
        <w:tblW w:w="891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3"/>
        <w:gridCol w:w="2068"/>
        <w:gridCol w:w="2034"/>
        <w:gridCol w:w="2034"/>
        <w:gridCol w:w="22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3" w:hRule="atLeast"/>
          <w:jc w:val="center"/>
        </w:trPr>
        <w:tc>
          <w:tcPr>
            <w:tcW w:w="513" w:type="dxa"/>
            <w:vAlign w:val="center"/>
          </w:tcPr>
          <w:p>
            <w:pPr>
              <w:adjustRightInd w:val="0"/>
              <w:snapToGrid w:val="0"/>
              <w:spacing w:line="240" w:lineRule="atLeast"/>
              <w:jc w:val="center"/>
              <w:rPr>
                <w:sz w:val="18"/>
                <w:szCs w:val="18"/>
              </w:rPr>
            </w:pPr>
            <w:r>
              <w:rPr>
                <w:sz w:val="18"/>
                <w:szCs w:val="18"/>
              </w:rPr>
              <w:t>序号</w:t>
            </w:r>
          </w:p>
        </w:tc>
        <w:tc>
          <w:tcPr>
            <w:tcW w:w="2068" w:type="dxa"/>
            <w:vAlign w:val="center"/>
          </w:tcPr>
          <w:p>
            <w:pPr>
              <w:adjustRightInd w:val="0"/>
              <w:snapToGrid w:val="0"/>
              <w:spacing w:line="240" w:lineRule="atLeast"/>
              <w:jc w:val="center"/>
              <w:rPr>
                <w:sz w:val="18"/>
                <w:szCs w:val="18"/>
              </w:rPr>
            </w:pPr>
            <w:r>
              <w:rPr>
                <w:sz w:val="18"/>
                <w:szCs w:val="18"/>
              </w:rPr>
              <w:t>检验项目</w:t>
            </w:r>
          </w:p>
        </w:tc>
        <w:tc>
          <w:tcPr>
            <w:tcW w:w="2034" w:type="dxa"/>
            <w:vAlign w:val="center"/>
          </w:tcPr>
          <w:p>
            <w:pPr>
              <w:adjustRightInd w:val="0"/>
              <w:snapToGrid w:val="0"/>
              <w:spacing w:line="240" w:lineRule="atLeast"/>
              <w:jc w:val="center"/>
              <w:rPr>
                <w:sz w:val="18"/>
                <w:szCs w:val="18"/>
              </w:rPr>
            </w:pPr>
            <w:r>
              <w:rPr>
                <w:sz w:val="18"/>
                <w:szCs w:val="18"/>
              </w:rPr>
              <w:t>标准要求</w:t>
            </w:r>
          </w:p>
        </w:tc>
        <w:tc>
          <w:tcPr>
            <w:tcW w:w="2034" w:type="dxa"/>
            <w:vAlign w:val="center"/>
          </w:tcPr>
          <w:p>
            <w:pPr>
              <w:adjustRightInd w:val="0"/>
              <w:spacing w:line="240" w:lineRule="atLeast"/>
              <w:jc w:val="center"/>
              <w:rPr>
                <w:sz w:val="18"/>
                <w:szCs w:val="18"/>
              </w:rPr>
            </w:pPr>
            <w:r>
              <w:rPr>
                <w:sz w:val="18"/>
                <w:szCs w:val="18"/>
              </w:rPr>
              <w:t>样本合格</w:t>
            </w:r>
          </w:p>
        </w:tc>
        <w:tc>
          <w:tcPr>
            <w:tcW w:w="2264" w:type="dxa"/>
            <w:vAlign w:val="center"/>
          </w:tcPr>
          <w:p>
            <w:pPr>
              <w:adjustRightInd w:val="0"/>
              <w:spacing w:line="240" w:lineRule="atLeast"/>
              <w:jc w:val="center"/>
              <w:rPr>
                <w:sz w:val="18"/>
                <w:szCs w:val="18"/>
              </w:rPr>
            </w:pPr>
            <w:r>
              <w:rPr>
                <w:sz w:val="18"/>
                <w:szCs w:val="18"/>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5" w:hRule="atLeast"/>
          <w:jc w:val="center"/>
        </w:trPr>
        <w:tc>
          <w:tcPr>
            <w:tcW w:w="513" w:type="dxa"/>
            <w:vAlign w:val="center"/>
          </w:tcPr>
          <w:p>
            <w:pPr>
              <w:adjustRightInd w:val="0"/>
              <w:snapToGrid w:val="0"/>
              <w:spacing w:line="240" w:lineRule="atLeast"/>
              <w:jc w:val="center"/>
              <w:rPr>
                <w:sz w:val="18"/>
                <w:szCs w:val="18"/>
              </w:rPr>
            </w:pPr>
            <w:r>
              <w:rPr>
                <w:sz w:val="18"/>
                <w:szCs w:val="18"/>
              </w:rPr>
              <w:t>1</w:t>
            </w:r>
          </w:p>
        </w:tc>
        <w:tc>
          <w:tcPr>
            <w:tcW w:w="2068" w:type="dxa"/>
            <w:vAlign w:val="center"/>
          </w:tcPr>
          <w:p>
            <w:pPr>
              <w:adjustRightInd w:val="0"/>
              <w:snapToGrid w:val="0"/>
              <w:spacing w:line="240" w:lineRule="atLeast"/>
              <w:jc w:val="center"/>
              <w:rPr>
                <w:sz w:val="18"/>
                <w:szCs w:val="18"/>
              </w:rPr>
            </w:pPr>
            <w:r>
              <w:rPr>
                <w:sz w:val="18"/>
                <w:szCs w:val="18"/>
              </w:rPr>
              <w:t>耐洗刷性</w:t>
            </w:r>
          </w:p>
        </w:tc>
        <w:tc>
          <w:tcPr>
            <w:tcW w:w="2034" w:type="dxa"/>
            <w:vAlign w:val="center"/>
          </w:tcPr>
          <w:p>
            <w:pPr>
              <w:adjustRightInd w:val="0"/>
              <w:snapToGrid w:val="0"/>
              <w:spacing w:line="240" w:lineRule="atLeast"/>
              <w:jc w:val="center"/>
              <w:rPr>
                <w:sz w:val="18"/>
                <w:szCs w:val="18"/>
              </w:rPr>
            </w:pPr>
            <w:r>
              <w:rPr>
                <w:sz w:val="18"/>
                <w:szCs w:val="18"/>
              </w:rPr>
              <w:t>符合GB/T 9756标准要求</w:t>
            </w:r>
          </w:p>
        </w:tc>
        <w:tc>
          <w:tcPr>
            <w:tcW w:w="2034" w:type="dxa"/>
            <w:vAlign w:val="center"/>
          </w:tcPr>
          <w:p>
            <w:pPr>
              <w:adjustRightInd w:val="0"/>
              <w:snapToGrid w:val="0"/>
              <w:spacing w:line="240" w:lineRule="atLeast"/>
              <w:jc w:val="center"/>
              <w:rPr>
                <w:sz w:val="18"/>
                <w:szCs w:val="18"/>
              </w:rPr>
            </w:pPr>
            <w:r>
              <w:rPr>
                <w:sz w:val="18"/>
                <w:szCs w:val="18"/>
              </w:rPr>
              <w:t>符合GB/T 9756标准要求</w:t>
            </w:r>
          </w:p>
        </w:tc>
        <w:tc>
          <w:tcPr>
            <w:tcW w:w="2264" w:type="dxa"/>
            <w:vAlign w:val="center"/>
          </w:tcPr>
          <w:p>
            <w:pPr>
              <w:adjustRightInd w:val="0"/>
              <w:snapToGrid w:val="0"/>
              <w:spacing w:line="240" w:lineRule="atLeast"/>
              <w:jc w:val="center"/>
              <w:rPr>
                <w:sz w:val="18"/>
                <w:szCs w:val="18"/>
              </w:rPr>
            </w:pPr>
            <w:r>
              <w:rPr>
                <w:sz w:val="18"/>
                <w:szCs w:val="18"/>
              </w:rPr>
              <w:t>不符合GB/T 9756标准要求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5" w:hRule="atLeast"/>
          <w:jc w:val="center"/>
        </w:trPr>
        <w:tc>
          <w:tcPr>
            <w:tcW w:w="513" w:type="dxa"/>
            <w:vAlign w:val="center"/>
          </w:tcPr>
          <w:p>
            <w:pPr>
              <w:adjustRightInd w:val="0"/>
              <w:snapToGrid w:val="0"/>
              <w:spacing w:line="240" w:lineRule="atLeast"/>
              <w:jc w:val="center"/>
              <w:rPr>
                <w:sz w:val="18"/>
                <w:szCs w:val="18"/>
              </w:rPr>
            </w:pPr>
            <w:r>
              <w:rPr>
                <w:rFonts w:hint="eastAsia"/>
                <w:sz w:val="18"/>
                <w:szCs w:val="18"/>
              </w:rPr>
              <w:t>2</w:t>
            </w:r>
          </w:p>
        </w:tc>
        <w:tc>
          <w:tcPr>
            <w:tcW w:w="2068" w:type="dxa"/>
            <w:vAlign w:val="center"/>
          </w:tcPr>
          <w:p>
            <w:pPr>
              <w:adjustRightInd w:val="0"/>
              <w:snapToGrid w:val="0"/>
              <w:spacing w:line="240" w:lineRule="atLeast"/>
              <w:jc w:val="center"/>
              <w:rPr>
                <w:sz w:val="18"/>
                <w:szCs w:val="18"/>
              </w:rPr>
            </w:pPr>
            <w:r>
              <w:rPr>
                <w:rFonts w:hint="eastAsia"/>
                <w:sz w:val="18"/>
                <w:szCs w:val="18"/>
              </w:rPr>
              <w:t>干燥时间</w:t>
            </w:r>
          </w:p>
        </w:tc>
        <w:tc>
          <w:tcPr>
            <w:tcW w:w="2034" w:type="dxa"/>
            <w:vAlign w:val="center"/>
          </w:tcPr>
          <w:p>
            <w:pPr>
              <w:adjustRightInd w:val="0"/>
              <w:snapToGrid w:val="0"/>
              <w:spacing w:line="240" w:lineRule="atLeast"/>
              <w:jc w:val="center"/>
              <w:rPr>
                <w:sz w:val="18"/>
                <w:szCs w:val="18"/>
              </w:rPr>
            </w:pPr>
            <w:r>
              <w:rPr>
                <w:sz w:val="18"/>
                <w:szCs w:val="18"/>
              </w:rPr>
              <w:t>符合GB/T 9756标准要求</w:t>
            </w:r>
          </w:p>
        </w:tc>
        <w:tc>
          <w:tcPr>
            <w:tcW w:w="2034" w:type="dxa"/>
            <w:vAlign w:val="center"/>
          </w:tcPr>
          <w:p>
            <w:pPr>
              <w:adjustRightInd w:val="0"/>
              <w:snapToGrid w:val="0"/>
              <w:spacing w:line="240" w:lineRule="atLeast"/>
              <w:jc w:val="center"/>
              <w:rPr>
                <w:sz w:val="18"/>
                <w:szCs w:val="18"/>
              </w:rPr>
            </w:pPr>
            <w:r>
              <w:rPr>
                <w:sz w:val="18"/>
                <w:szCs w:val="18"/>
              </w:rPr>
              <w:t>符合GB/T 9756标准要求</w:t>
            </w:r>
          </w:p>
        </w:tc>
        <w:tc>
          <w:tcPr>
            <w:tcW w:w="2264" w:type="dxa"/>
            <w:vAlign w:val="center"/>
          </w:tcPr>
          <w:p>
            <w:pPr>
              <w:adjustRightInd w:val="0"/>
              <w:snapToGrid w:val="0"/>
              <w:spacing w:line="240" w:lineRule="atLeast"/>
              <w:jc w:val="center"/>
              <w:rPr>
                <w:sz w:val="18"/>
                <w:szCs w:val="18"/>
              </w:rPr>
            </w:pPr>
            <w:r>
              <w:rPr>
                <w:sz w:val="18"/>
                <w:szCs w:val="18"/>
              </w:rPr>
              <w:t>不符合GB/T 9756标准要求</w:t>
            </w:r>
          </w:p>
        </w:tc>
      </w:tr>
    </w:tbl>
    <w:p>
      <w:pPr>
        <w:ind w:firstLine="640" w:firstLineChars="200"/>
        <w:jc w:val="left"/>
        <w:rPr>
          <w:szCs w:val="28"/>
        </w:rPr>
      </w:pPr>
      <w:r>
        <w:rPr>
          <w:rFonts w:hint="eastAsia"/>
          <w:szCs w:val="28"/>
        </w:rPr>
        <w:t>2</w:t>
      </w:r>
      <w:r>
        <w:rPr>
          <w:rFonts w:hint="eastAsia"/>
          <w:szCs w:val="28"/>
          <w:lang w:eastAsia="zh-CN"/>
        </w:rPr>
        <w:t>．</w:t>
      </w:r>
      <w:r>
        <w:rPr>
          <w:szCs w:val="28"/>
        </w:rPr>
        <w:t>外墙涂料</w:t>
      </w:r>
    </w:p>
    <w:tbl>
      <w:tblPr>
        <w:tblStyle w:val="3"/>
        <w:tblW w:w="891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
        <w:gridCol w:w="1993"/>
        <w:gridCol w:w="2034"/>
        <w:gridCol w:w="2034"/>
        <w:gridCol w:w="22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jc w:val="center"/>
        </w:trPr>
        <w:tc>
          <w:tcPr>
            <w:tcW w:w="588" w:type="dxa"/>
            <w:vAlign w:val="center"/>
          </w:tcPr>
          <w:p>
            <w:pPr>
              <w:adjustRightInd w:val="0"/>
              <w:snapToGrid w:val="0"/>
              <w:spacing w:line="240" w:lineRule="atLeast"/>
              <w:jc w:val="center"/>
              <w:rPr>
                <w:sz w:val="18"/>
                <w:szCs w:val="18"/>
              </w:rPr>
            </w:pPr>
            <w:r>
              <w:rPr>
                <w:sz w:val="18"/>
                <w:szCs w:val="18"/>
              </w:rPr>
              <w:t>序号</w:t>
            </w:r>
          </w:p>
        </w:tc>
        <w:tc>
          <w:tcPr>
            <w:tcW w:w="1993" w:type="dxa"/>
            <w:vAlign w:val="center"/>
          </w:tcPr>
          <w:p>
            <w:pPr>
              <w:adjustRightInd w:val="0"/>
              <w:snapToGrid w:val="0"/>
              <w:spacing w:line="240" w:lineRule="atLeast"/>
              <w:jc w:val="center"/>
              <w:rPr>
                <w:sz w:val="18"/>
                <w:szCs w:val="18"/>
              </w:rPr>
            </w:pPr>
            <w:r>
              <w:rPr>
                <w:sz w:val="18"/>
                <w:szCs w:val="18"/>
              </w:rPr>
              <w:t>检验项目</w:t>
            </w:r>
          </w:p>
        </w:tc>
        <w:tc>
          <w:tcPr>
            <w:tcW w:w="2034" w:type="dxa"/>
            <w:vAlign w:val="center"/>
          </w:tcPr>
          <w:p>
            <w:pPr>
              <w:adjustRightInd w:val="0"/>
              <w:snapToGrid w:val="0"/>
              <w:spacing w:line="240" w:lineRule="atLeast"/>
              <w:jc w:val="center"/>
              <w:rPr>
                <w:sz w:val="18"/>
                <w:szCs w:val="18"/>
              </w:rPr>
            </w:pPr>
            <w:r>
              <w:rPr>
                <w:sz w:val="18"/>
                <w:szCs w:val="18"/>
              </w:rPr>
              <w:t>标准要求</w:t>
            </w:r>
          </w:p>
        </w:tc>
        <w:tc>
          <w:tcPr>
            <w:tcW w:w="2034" w:type="dxa"/>
            <w:vAlign w:val="center"/>
          </w:tcPr>
          <w:p>
            <w:pPr>
              <w:adjustRightInd w:val="0"/>
              <w:spacing w:line="240" w:lineRule="atLeast"/>
              <w:jc w:val="center"/>
              <w:rPr>
                <w:sz w:val="18"/>
                <w:szCs w:val="18"/>
              </w:rPr>
            </w:pPr>
            <w:r>
              <w:rPr>
                <w:sz w:val="18"/>
                <w:szCs w:val="18"/>
              </w:rPr>
              <w:t>样本合格</w:t>
            </w:r>
          </w:p>
        </w:tc>
        <w:tc>
          <w:tcPr>
            <w:tcW w:w="2264" w:type="dxa"/>
            <w:vAlign w:val="center"/>
          </w:tcPr>
          <w:p>
            <w:pPr>
              <w:adjustRightInd w:val="0"/>
              <w:spacing w:line="240" w:lineRule="atLeast"/>
              <w:jc w:val="center"/>
              <w:rPr>
                <w:sz w:val="18"/>
                <w:szCs w:val="18"/>
              </w:rPr>
            </w:pPr>
            <w:r>
              <w:rPr>
                <w:sz w:val="18"/>
                <w:szCs w:val="18"/>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0" w:hRule="atLeast"/>
          <w:jc w:val="center"/>
        </w:trPr>
        <w:tc>
          <w:tcPr>
            <w:tcW w:w="588" w:type="dxa"/>
            <w:vAlign w:val="center"/>
          </w:tcPr>
          <w:p>
            <w:pPr>
              <w:adjustRightInd w:val="0"/>
              <w:snapToGrid w:val="0"/>
              <w:spacing w:line="240" w:lineRule="atLeast"/>
              <w:jc w:val="center"/>
              <w:rPr>
                <w:sz w:val="18"/>
                <w:szCs w:val="18"/>
              </w:rPr>
            </w:pPr>
            <w:r>
              <w:rPr>
                <w:rFonts w:hint="eastAsia"/>
                <w:sz w:val="18"/>
                <w:szCs w:val="18"/>
              </w:rPr>
              <w:t>1</w:t>
            </w:r>
          </w:p>
        </w:tc>
        <w:tc>
          <w:tcPr>
            <w:tcW w:w="1993" w:type="dxa"/>
            <w:vAlign w:val="center"/>
          </w:tcPr>
          <w:p>
            <w:pPr>
              <w:adjustRightInd w:val="0"/>
              <w:snapToGrid w:val="0"/>
              <w:spacing w:line="240" w:lineRule="atLeast"/>
              <w:jc w:val="center"/>
              <w:rPr>
                <w:sz w:val="18"/>
                <w:szCs w:val="18"/>
              </w:rPr>
            </w:pPr>
            <w:r>
              <w:rPr>
                <w:sz w:val="18"/>
                <w:szCs w:val="18"/>
              </w:rPr>
              <w:t>耐水性</w:t>
            </w:r>
          </w:p>
        </w:tc>
        <w:tc>
          <w:tcPr>
            <w:tcW w:w="2034" w:type="dxa"/>
            <w:vAlign w:val="center"/>
          </w:tcPr>
          <w:p>
            <w:pPr>
              <w:adjustRightInd w:val="0"/>
              <w:snapToGrid w:val="0"/>
              <w:spacing w:line="240" w:lineRule="atLeast"/>
              <w:jc w:val="center"/>
              <w:rPr>
                <w:sz w:val="18"/>
                <w:szCs w:val="18"/>
              </w:rPr>
            </w:pPr>
            <w:r>
              <w:rPr>
                <w:sz w:val="18"/>
                <w:szCs w:val="18"/>
              </w:rPr>
              <w:t>符合GB/T 9755标准要求</w:t>
            </w:r>
          </w:p>
        </w:tc>
        <w:tc>
          <w:tcPr>
            <w:tcW w:w="2034" w:type="dxa"/>
            <w:vAlign w:val="center"/>
          </w:tcPr>
          <w:p>
            <w:pPr>
              <w:adjustRightInd w:val="0"/>
              <w:snapToGrid w:val="0"/>
              <w:spacing w:line="240" w:lineRule="atLeast"/>
              <w:jc w:val="center"/>
              <w:rPr>
                <w:sz w:val="18"/>
                <w:szCs w:val="18"/>
              </w:rPr>
            </w:pPr>
            <w:r>
              <w:rPr>
                <w:sz w:val="18"/>
                <w:szCs w:val="18"/>
              </w:rPr>
              <w:t>符合GB/T 9755标准要求</w:t>
            </w:r>
          </w:p>
        </w:tc>
        <w:tc>
          <w:tcPr>
            <w:tcW w:w="2264" w:type="dxa"/>
            <w:vAlign w:val="center"/>
          </w:tcPr>
          <w:p>
            <w:pPr>
              <w:adjustRightInd w:val="0"/>
              <w:snapToGrid w:val="0"/>
              <w:spacing w:line="240" w:lineRule="atLeast"/>
              <w:jc w:val="center"/>
              <w:rPr>
                <w:sz w:val="18"/>
                <w:szCs w:val="18"/>
              </w:rPr>
            </w:pPr>
            <w:r>
              <w:rPr>
                <w:sz w:val="18"/>
                <w:szCs w:val="18"/>
              </w:rPr>
              <w:t>不符合GB/T 9755标准要求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0" w:hRule="atLeast"/>
          <w:jc w:val="center"/>
        </w:trPr>
        <w:tc>
          <w:tcPr>
            <w:tcW w:w="588" w:type="dxa"/>
            <w:vAlign w:val="center"/>
          </w:tcPr>
          <w:p>
            <w:pPr>
              <w:adjustRightInd w:val="0"/>
              <w:snapToGrid w:val="0"/>
              <w:spacing w:line="240" w:lineRule="atLeast"/>
              <w:jc w:val="center"/>
              <w:rPr>
                <w:sz w:val="18"/>
                <w:szCs w:val="18"/>
              </w:rPr>
            </w:pPr>
            <w:r>
              <w:rPr>
                <w:rFonts w:hint="eastAsia"/>
                <w:sz w:val="18"/>
                <w:szCs w:val="18"/>
              </w:rPr>
              <w:t>2</w:t>
            </w:r>
          </w:p>
        </w:tc>
        <w:tc>
          <w:tcPr>
            <w:tcW w:w="1993" w:type="dxa"/>
            <w:vAlign w:val="center"/>
          </w:tcPr>
          <w:p>
            <w:pPr>
              <w:adjustRightInd w:val="0"/>
              <w:snapToGrid w:val="0"/>
              <w:spacing w:line="240" w:lineRule="atLeast"/>
              <w:jc w:val="center"/>
              <w:rPr>
                <w:sz w:val="18"/>
                <w:szCs w:val="18"/>
              </w:rPr>
            </w:pPr>
            <w:r>
              <w:rPr>
                <w:sz w:val="18"/>
                <w:szCs w:val="18"/>
              </w:rPr>
              <w:t>耐碱性</w:t>
            </w:r>
          </w:p>
        </w:tc>
        <w:tc>
          <w:tcPr>
            <w:tcW w:w="2034" w:type="dxa"/>
            <w:vAlign w:val="center"/>
          </w:tcPr>
          <w:p>
            <w:pPr>
              <w:adjustRightInd w:val="0"/>
              <w:snapToGrid w:val="0"/>
              <w:spacing w:line="240" w:lineRule="atLeast"/>
              <w:jc w:val="center"/>
              <w:rPr>
                <w:sz w:val="18"/>
                <w:szCs w:val="18"/>
              </w:rPr>
            </w:pPr>
            <w:r>
              <w:rPr>
                <w:sz w:val="18"/>
                <w:szCs w:val="18"/>
              </w:rPr>
              <w:t>符合GB/T 9755标准要求</w:t>
            </w:r>
          </w:p>
        </w:tc>
        <w:tc>
          <w:tcPr>
            <w:tcW w:w="2034" w:type="dxa"/>
            <w:vAlign w:val="center"/>
          </w:tcPr>
          <w:p>
            <w:pPr>
              <w:adjustRightInd w:val="0"/>
              <w:snapToGrid w:val="0"/>
              <w:spacing w:line="240" w:lineRule="atLeast"/>
              <w:jc w:val="center"/>
              <w:rPr>
                <w:sz w:val="18"/>
                <w:szCs w:val="18"/>
              </w:rPr>
            </w:pPr>
            <w:r>
              <w:rPr>
                <w:sz w:val="18"/>
                <w:szCs w:val="18"/>
              </w:rPr>
              <w:t>符合GB/T 9755标准要求</w:t>
            </w:r>
          </w:p>
        </w:tc>
        <w:tc>
          <w:tcPr>
            <w:tcW w:w="2264" w:type="dxa"/>
            <w:vAlign w:val="center"/>
          </w:tcPr>
          <w:p>
            <w:pPr>
              <w:adjustRightInd w:val="0"/>
              <w:snapToGrid w:val="0"/>
              <w:spacing w:line="240" w:lineRule="atLeast"/>
              <w:jc w:val="center"/>
              <w:rPr>
                <w:sz w:val="18"/>
                <w:szCs w:val="18"/>
              </w:rPr>
            </w:pPr>
            <w:r>
              <w:rPr>
                <w:sz w:val="18"/>
                <w:szCs w:val="18"/>
              </w:rPr>
              <w:t>不符合GB/T 9755标准要求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5" w:hRule="atLeast"/>
          <w:jc w:val="center"/>
        </w:trPr>
        <w:tc>
          <w:tcPr>
            <w:tcW w:w="588" w:type="dxa"/>
            <w:vAlign w:val="center"/>
          </w:tcPr>
          <w:p>
            <w:pPr>
              <w:adjustRightInd w:val="0"/>
              <w:snapToGrid w:val="0"/>
              <w:spacing w:line="240" w:lineRule="atLeast"/>
              <w:jc w:val="center"/>
              <w:rPr>
                <w:sz w:val="18"/>
                <w:szCs w:val="18"/>
              </w:rPr>
            </w:pPr>
            <w:r>
              <w:rPr>
                <w:rFonts w:hint="eastAsia"/>
                <w:sz w:val="18"/>
                <w:szCs w:val="18"/>
              </w:rPr>
              <w:t>3</w:t>
            </w:r>
          </w:p>
        </w:tc>
        <w:tc>
          <w:tcPr>
            <w:tcW w:w="1993" w:type="dxa"/>
            <w:vAlign w:val="center"/>
          </w:tcPr>
          <w:p>
            <w:pPr>
              <w:adjustRightInd w:val="0"/>
              <w:snapToGrid w:val="0"/>
              <w:spacing w:line="240" w:lineRule="atLeast"/>
              <w:jc w:val="center"/>
              <w:rPr>
                <w:sz w:val="18"/>
                <w:szCs w:val="18"/>
              </w:rPr>
            </w:pPr>
            <w:r>
              <w:rPr>
                <w:sz w:val="18"/>
                <w:szCs w:val="18"/>
              </w:rPr>
              <w:t>耐洗刷性</w:t>
            </w:r>
          </w:p>
        </w:tc>
        <w:tc>
          <w:tcPr>
            <w:tcW w:w="2034" w:type="dxa"/>
            <w:vAlign w:val="center"/>
          </w:tcPr>
          <w:p>
            <w:pPr>
              <w:adjustRightInd w:val="0"/>
              <w:snapToGrid w:val="0"/>
              <w:spacing w:line="240" w:lineRule="atLeast"/>
              <w:jc w:val="center"/>
              <w:rPr>
                <w:sz w:val="18"/>
                <w:szCs w:val="18"/>
              </w:rPr>
            </w:pPr>
            <w:r>
              <w:rPr>
                <w:sz w:val="18"/>
                <w:szCs w:val="18"/>
              </w:rPr>
              <w:t>符合GB/T 9755标准要求</w:t>
            </w:r>
          </w:p>
        </w:tc>
        <w:tc>
          <w:tcPr>
            <w:tcW w:w="2034" w:type="dxa"/>
            <w:vAlign w:val="center"/>
          </w:tcPr>
          <w:p>
            <w:pPr>
              <w:adjustRightInd w:val="0"/>
              <w:snapToGrid w:val="0"/>
              <w:spacing w:line="240" w:lineRule="atLeast"/>
              <w:jc w:val="center"/>
              <w:rPr>
                <w:sz w:val="18"/>
                <w:szCs w:val="18"/>
              </w:rPr>
            </w:pPr>
            <w:r>
              <w:rPr>
                <w:sz w:val="18"/>
                <w:szCs w:val="18"/>
              </w:rPr>
              <w:t>符合GB/T 9755标准要求</w:t>
            </w:r>
          </w:p>
        </w:tc>
        <w:tc>
          <w:tcPr>
            <w:tcW w:w="2264" w:type="dxa"/>
            <w:vAlign w:val="center"/>
          </w:tcPr>
          <w:p>
            <w:pPr>
              <w:adjustRightInd w:val="0"/>
              <w:snapToGrid w:val="0"/>
              <w:spacing w:line="240" w:lineRule="atLeast"/>
              <w:jc w:val="center"/>
              <w:rPr>
                <w:sz w:val="18"/>
                <w:szCs w:val="18"/>
              </w:rPr>
            </w:pPr>
            <w:r>
              <w:rPr>
                <w:sz w:val="18"/>
                <w:szCs w:val="18"/>
              </w:rPr>
              <w:t>不符合GB/T 9755标准要求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5" w:hRule="atLeast"/>
          <w:jc w:val="center"/>
        </w:trPr>
        <w:tc>
          <w:tcPr>
            <w:tcW w:w="588" w:type="dxa"/>
            <w:vAlign w:val="center"/>
          </w:tcPr>
          <w:p>
            <w:pPr>
              <w:adjustRightInd w:val="0"/>
              <w:snapToGrid w:val="0"/>
              <w:spacing w:line="240" w:lineRule="atLeast"/>
              <w:jc w:val="center"/>
              <w:rPr>
                <w:sz w:val="18"/>
                <w:szCs w:val="18"/>
              </w:rPr>
            </w:pPr>
            <w:r>
              <w:rPr>
                <w:rFonts w:hint="eastAsia"/>
                <w:sz w:val="18"/>
                <w:szCs w:val="18"/>
              </w:rPr>
              <w:t>4</w:t>
            </w:r>
          </w:p>
        </w:tc>
        <w:tc>
          <w:tcPr>
            <w:tcW w:w="1993" w:type="dxa"/>
            <w:vAlign w:val="center"/>
          </w:tcPr>
          <w:p>
            <w:pPr>
              <w:adjustRightInd w:val="0"/>
              <w:snapToGrid w:val="0"/>
              <w:spacing w:line="240" w:lineRule="atLeast"/>
              <w:jc w:val="center"/>
              <w:rPr>
                <w:sz w:val="18"/>
                <w:szCs w:val="18"/>
              </w:rPr>
            </w:pPr>
            <w:r>
              <w:rPr>
                <w:rFonts w:hint="eastAsia"/>
                <w:sz w:val="18"/>
                <w:szCs w:val="18"/>
              </w:rPr>
              <w:t>干燥时间</w:t>
            </w:r>
          </w:p>
        </w:tc>
        <w:tc>
          <w:tcPr>
            <w:tcW w:w="2034" w:type="dxa"/>
            <w:vAlign w:val="center"/>
          </w:tcPr>
          <w:p>
            <w:pPr>
              <w:adjustRightInd w:val="0"/>
              <w:snapToGrid w:val="0"/>
              <w:spacing w:line="240" w:lineRule="atLeast"/>
              <w:jc w:val="center"/>
              <w:rPr>
                <w:sz w:val="18"/>
                <w:szCs w:val="18"/>
              </w:rPr>
            </w:pPr>
            <w:r>
              <w:rPr>
                <w:sz w:val="18"/>
                <w:szCs w:val="18"/>
              </w:rPr>
              <w:t>符合GB/T 9755标准要求</w:t>
            </w:r>
          </w:p>
        </w:tc>
        <w:tc>
          <w:tcPr>
            <w:tcW w:w="2034" w:type="dxa"/>
            <w:vAlign w:val="center"/>
          </w:tcPr>
          <w:p>
            <w:pPr>
              <w:adjustRightInd w:val="0"/>
              <w:snapToGrid w:val="0"/>
              <w:spacing w:line="240" w:lineRule="atLeast"/>
              <w:jc w:val="center"/>
              <w:rPr>
                <w:sz w:val="18"/>
                <w:szCs w:val="18"/>
              </w:rPr>
            </w:pPr>
            <w:r>
              <w:rPr>
                <w:sz w:val="18"/>
                <w:szCs w:val="18"/>
              </w:rPr>
              <w:t>符合GB/T 9755标准要求</w:t>
            </w:r>
          </w:p>
        </w:tc>
        <w:tc>
          <w:tcPr>
            <w:tcW w:w="2264" w:type="dxa"/>
            <w:vAlign w:val="center"/>
          </w:tcPr>
          <w:p>
            <w:pPr>
              <w:adjustRightInd w:val="0"/>
              <w:snapToGrid w:val="0"/>
              <w:spacing w:line="240" w:lineRule="atLeast"/>
              <w:jc w:val="center"/>
              <w:rPr>
                <w:sz w:val="18"/>
                <w:szCs w:val="18"/>
              </w:rPr>
            </w:pPr>
            <w:r>
              <w:rPr>
                <w:sz w:val="18"/>
                <w:szCs w:val="18"/>
              </w:rPr>
              <w:t>不符合GB/T 9755标准要求</w:t>
            </w:r>
          </w:p>
        </w:tc>
      </w:tr>
    </w:tbl>
    <w:p>
      <w:pPr>
        <w:keepNext w:val="0"/>
        <w:keepLines w:val="0"/>
        <w:pageBreakBefore w:val="0"/>
        <w:widowControl w:val="0"/>
        <w:numPr>
          <w:numId w:val="0"/>
        </w:numPr>
        <w:kinsoku/>
        <w:wordWrap/>
        <w:overflowPunct/>
        <w:topLinePunct w:val="0"/>
        <w:autoSpaceDE/>
        <w:autoSpaceDN/>
        <w:bidi w:val="0"/>
        <w:adjustRightInd/>
        <w:snapToGrid/>
        <w:spacing w:line="600" w:lineRule="exact"/>
        <w:ind w:right="0" w:rightChars="0" w:firstLine="640" w:firstLineChars="200"/>
        <w:jc w:val="both"/>
        <w:textAlignment w:val="auto"/>
        <w:outlineLvl w:val="9"/>
        <w:rPr>
          <w:rFonts w:ascii="黑体" w:hAnsi="黑体" w:eastAsia="黑体" w:cs="黑体"/>
          <w:szCs w:val="32"/>
        </w:rPr>
      </w:pPr>
      <w:r>
        <w:rPr>
          <w:rFonts w:hint="eastAsia" w:ascii="黑体" w:hAnsi="黑体" w:eastAsia="黑体" w:cs="黑体"/>
          <w:szCs w:val="32"/>
          <w:lang w:eastAsia="zh-CN"/>
        </w:rPr>
        <w:t>六、</w:t>
      </w:r>
      <w:r>
        <w:rPr>
          <w:rFonts w:hint="eastAsia" w:ascii="黑体" w:hAnsi="黑体" w:eastAsia="黑体" w:cs="黑体"/>
          <w:szCs w:val="32"/>
        </w:rPr>
        <w:t>判定原则</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eastAsia="仿宋"/>
          <w:szCs w:val="32"/>
        </w:rPr>
      </w:pPr>
      <w:r>
        <w:rPr>
          <w:rFonts w:eastAsia="仿宋"/>
          <w:szCs w:val="32"/>
        </w:rPr>
        <w:t>依据所检相关质量特性的重要程度及检测结论，对样本单元进行综合判定。对于不合格的样本单元，判定结果分为A类不合格、B类不合格、C类不合格和D类不合格四类。样本单元不合格的分类见下表。</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eastAsia="仿宋"/>
          <w:szCs w:val="32"/>
        </w:rPr>
      </w:pPr>
      <w:r>
        <w:rPr>
          <w:rFonts w:eastAsia="仿宋"/>
          <w:szCs w:val="32"/>
        </w:rPr>
        <w:t>在样本单元上，存在重要计数型质量特性不合格或重要计量型质量特性严重不合格，判定样本单元为A类不合格；存在较重要计数型质量特性不合格、或重要计量型质量特性较严重不合格、或较重要计量型质量特性严重不合格，判定样本单位为B类不合格；存在次要计数型质量特性不合格、或重要计量型质量特性轻微不合格、较重要计量型质量特性严重不合格，或次要计量型质量特性严重或较严重不合格，判定样本单元为C类不合格；存在较重要计量型质量特性轻微不合格，或次要计量型质量特性轻微不合格，判定样本单元为D类不合格。</w:t>
      </w:r>
    </w:p>
    <w:tbl>
      <w:tblPr>
        <w:tblStyle w:val="3"/>
        <w:tblW w:w="8204" w:type="dxa"/>
        <w:tblInd w:w="853" w:type="dxa"/>
        <w:tblLayout w:type="fixed"/>
        <w:tblCellMar>
          <w:top w:w="0" w:type="dxa"/>
          <w:left w:w="108" w:type="dxa"/>
          <w:bottom w:w="0" w:type="dxa"/>
          <w:right w:w="108" w:type="dxa"/>
        </w:tblCellMar>
      </w:tblPr>
      <w:tblGrid>
        <w:gridCol w:w="3880"/>
        <w:gridCol w:w="2700"/>
        <w:gridCol w:w="1624"/>
      </w:tblGrid>
      <w:tr>
        <w:tblPrEx>
          <w:tblLayout w:type="fixed"/>
          <w:tblCellMar>
            <w:top w:w="0" w:type="dxa"/>
            <w:left w:w="108" w:type="dxa"/>
            <w:bottom w:w="0" w:type="dxa"/>
            <w:right w:w="108" w:type="dxa"/>
          </w:tblCellMar>
        </w:tblPrEx>
        <w:trPr>
          <w:trHeight w:val="450" w:hRule="atLeast"/>
        </w:trPr>
        <w:tc>
          <w:tcPr>
            <w:tcW w:w="3880" w:type="dxa"/>
            <w:tcBorders>
              <w:top w:val="single" w:color="auto" w:sz="8" w:space="0"/>
              <w:left w:val="single" w:color="auto" w:sz="8" w:space="0"/>
              <w:bottom w:val="single" w:color="auto" w:sz="4" w:space="0"/>
              <w:right w:val="single" w:color="auto" w:sz="4" w:space="0"/>
            </w:tcBorders>
            <w:vAlign w:val="center"/>
          </w:tcPr>
          <w:p>
            <w:pPr>
              <w:widowControl/>
              <w:spacing w:line="440" w:lineRule="exact"/>
              <w:jc w:val="center"/>
              <w:rPr>
                <w:rFonts w:eastAsia="等线"/>
                <w:b w:val="0"/>
                <w:bCs w:val="0"/>
                <w:kern w:val="0"/>
                <w:sz w:val="22"/>
              </w:rPr>
            </w:pPr>
            <w:r>
              <w:rPr>
                <w:rFonts w:eastAsia="等线"/>
                <w:b w:val="0"/>
                <w:bCs w:val="0"/>
                <w:kern w:val="0"/>
                <w:sz w:val="22"/>
              </w:rPr>
              <w:t>计量型质量特性</w:t>
            </w:r>
          </w:p>
        </w:tc>
        <w:tc>
          <w:tcPr>
            <w:tcW w:w="2700" w:type="dxa"/>
            <w:tcBorders>
              <w:top w:val="single" w:color="auto" w:sz="8" w:space="0"/>
              <w:left w:val="nil"/>
              <w:bottom w:val="single" w:color="auto" w:sz="4" w:space="0"/>
              <w:right w:val="single" w:color="auto" w:sz="4" w:space="0"/>
            </w:tcBorders>
            <w:vAlign w:val="center"/>
          </w:tcPr>
          <w:p>
            <w:pPr>
              <w:widowControl/>
              <w:spacing w:line="440" w:lineRule="exact"/>
              <w:jc w:val="center"/>
              <w:rPr>
                <w:rFonts w:eastAsia="等线"/>
                <w:b w:val="0"/>
                <w:bCs w:val="0"/>
                <w:kern w:val="0"/>
                <w:sz w:val="22"/>
              </w:rPr>
            </w:pPr>
            <w:r>
              <w:rPr>
                <w:rFonts w:eastAsia="等线"/>
                <w:b w:val="0"/>
                <w:bCs w:val="0"/>
                <w:kern w:val="0"/>
                <w:sz w:val="22"/>
              </w:rPr>
              <w:t>计数型质量特性</w:t>
            </w:r>
          </w:p>
        </w:tc>
        <w:tc>
          <w:tcPr>
            <w:tcW w:w="1624" w:type="dxa"/>
            <w:tcBorders>
              <w:top w:val="single" w:color="auto" w:sz="8" w:space="0"/>
              <w:left w:val="nil"/>
              <w:bottom w:val="single" w:color="auto" w:sz="4" w:space="0"/>
              <w:right w:val="single" w:color="auto" w:sz="8" w:space="0"/>
            </w:tcBorders>
            <w:vAlign w:val="center"/>
          </w:tcPr>
          <w:p>
            <w:pPr>
              <w:widowControl/>
              <w:spacing w:line="440" w:lineRule="exact"/>
              <w:jc w:val="center"/>
              <w:rPr>
                <w:rFonts w:eastAsia="等线"/>
                <w:b w:val="0"/>
                <w:bCs w:val="0"/>
                <w:kern w:val="0"/>
                <w:sz w:val="22"/>
              </w:rPr>
            </w:pPr>
            <w:r>
              <w:rPr>
                <w:rFonts w:eastAsia="等线"/>
                <w:b w:val="0"/>
                <w:bCs w:val="0"/>
                <w:kern w:val="0"/>
                <w:sz w:val="22"/>
              </w:rPr>
              <w:t>不合格类型</w:t>
            </w:r>
          </w:p>
        </w:tc>
      </w:tr>
      <w:tr>
        <w:tblPrEx>
          <w:tblLayout w:type="fixed"/>
          <w:tblCellMar>
            <w:top w:w="0" w:type="dxa"/>
            <w:left w:w="108" w:type="dxa"/>
            <w:bottom w:w="0" w:type="dxa"/>
            <w:right w:w="108" w:type="dxa"/>
          </w:tblCellMar>
        </w:tblPrEx>
        <w:trPr>
          <w:trHeight w:val="360" w:hRule="atLeast"/>
        </w:trPr>
        <w:tc>
          <w:tcPr>
            <w:tcW w:w="3880" w:type="dxa"/>
            <w:tcBorders>
              <w:top w:val="nil"/>
              <w:left w:val="single" w:color="auto" w:sz="8" w:space="0"/>
              <w:bottom w:val="single" w:color="auto" w:sz="4" w:space="0"/>
              <w:right w:val="single" w:color="auto" w:sz="4" w:space="0"/>
            </w:tcBorders>
            <w:vAlign w:val="center"/>
          </w:tcPr>
          <w:p>
            <w:pPr>
              <w:widowControl/>
              <w:spacing w:line="440" w:lineRule="exact"/>
              <w:jc w:val="left"/>
              <w:rPr>
                <w:rFonts w:hint="eastAsia" w:ascii="仿宋_GB2312" w:hAnsi="仿宋_GB2312" w:eastAsia="仿宋_GB2312" w:cs="仿宋_GB2312"/>
                <w:b w:val="0"/>
                <w:bCs w:val="0"/>
                <w:kern w:val="0"/>
                <w:sz w:val="22"/>
              </w:rPr>
            </w:pPr>
            <w:r>
              <w:rPr>
                <w:rFonts w:hint="eastAsia" w:ascii="仿宋_GB2312" w:hAnsi="仿宋_GB2312" w:eastAsia="仿宋_GB2312" w:cs="仿宋_GB2312"/>
                <w:b w:val="0"/>
                <w:bCs w:val="0"/>
                <w:kern w:val="0"/>
                <w:sz w:val="22"/>
              </w:rPr>
              <w:t>重要质量特性严重不合格</w:t>
            </w:r>
          </w:p>
        </w:tc>
        <w:tc>
          <w:tcPr>
            <w:tcW w:w="2700" w:type="dxa"/>
            <w:tcBorders>
              <w:top w:val="nil"/>
              <w:left w:val="nil"/>
              <w:bottom w:val="single" w:color="auto" w:sz="4" w:space="0"/>
              <w:right w:val="single" w:color="auto" w:sz="4" w:space="0"/>
            </w:tcBorders>
            <w:vAlign w:val="center"/>
          </w:tcPr>
          <w:p>
            <w:pPr>
              <w:widowControl/>
              <w:spacing w:line="440" w:lineRule="exact"/>
              <w:jc w:val="center"/>
              <w:rPr>
                <w:rFonts w:hint="default" w:ascii="Times New Roman" w:hAnsi="Times New Roman" w:eastAsia="仿宋_GB2312" w:cs="Times New Roman"/>
                <w:b w:val="0"/>
                <w:bCs w:val="0"/>
                <w:kern w:val="0"/>
                <w:sz w:val="22"/>
              </w:rPr>
            </w:pPr>
            <w:r>
              <w:rPr>
                <w:rFonts w:hint="default" w:ascii="Times New Roman" w:hAnsi="Times New Roman" w:eastAsia="仿宋_GB2312" w:cs="Times New Roman"/>
                <w:b w:val="0"/>
                <w:bCs w:val="0"/>
                <w:kern w:val="0"/>
                <w:sz w:val="22"/>
              </w:rPr>
              <w:t>重要特性不合格</w:t>
            </w:r>
          </w:p>
        </w:tc>
        <w:tc>
          <w:tcPr>
            <w:tcW w:w="1624" w:type="dxa"/>
            <w:tcBorders>
              <w:top w:val="nil"/>
              <w:left w:val="nil"/>
              <w:bottom w:val="single" w:color="auto" w:sz="4" w:space="0"/>
              <w:right w:val="single" w:color="auto" w:sz="8" w:space="0"/>
            </w:tcBorders>
            <w:vAlign w:val="center"/>
          </w:tcPr>
          <w:p>
            <w:pPr>
              <w:widowControl/>
              <w:spacing w:line="440" w:lineRule="exact"/>
              <w:jc w:val="center"/>
              <w:rPr>
                <w:rFonts w:hint="default" w:ascii="Times New Roman" w:hAnsi="Times New Roman" w:eastAsia="仿宋_GB2312" w:cs="Times New Roman"/>
                <w:b w:val="0"/>
                <w:bCs w:val="0"/>
                <w:kern w:val="0"/>
                <w:sz w:val="22"/>
              </w:rPr>
            </w:pPr>
            <w:r>
              <w:rPr>
                <w:rFonts w:hint="default" w:ascii="Times New Roman" w:hAnsi="Times New Roman" w:eastAsia="仿宋_GB2312" w:cs="Times New Roman"/>
                <w:b w:val="0"/>
                <w:bCs w:val="0"/>
                <w:kern w:val="0"/>
                <w:sz w:val="22"/>
              </w:rPr>
              <w:t>A类不合格</w:t>
            </w:r>
          </w:p>
        </w:tc>
      </w:tr>
      <w:tr>
        <w:tblPrEx>
          <w:tblLayout w:type="fixed"/>
          <w:tblCellMar>
            <w:top w:w="0" w:type="dxa"/>
            <w:left w:w="108" w:type="dxa"/>
            <w:bottom w:w="0" w:type="dxa"/>
            <w:right w:w="108" w:type="dxa"/>
          </w:tblCellMar>
        </w:tblPrEx>
        <w:trPr>
          <w:trHeight w:val="360" w:hRule="atLeast"/>
        </w:trPr>
        <w:tc>
          <w:tcPr>
            <w:tcW w:w="3880" w:type="dxa"/>
            <w:tcBorders>
              <w:top w:val="nil"/>
              <w:left w:val="single" w:color="auto" w:sz="8" w:space="0"/>
              <w:bottom w:val="single" w:color="auto" w:sz="4" w:space="0"/>
              <w:right w:val="single" w:color="auto" w:sz="4" w:space="0"/>
            </w:tcBorders>
            <w:vAlign w:val="center"/>
          </w:tcPr>
          <w:p>
            <w:pPr>
              <w:widowControl/>
              <w:spacing w:line="440" w:lineRule="exact"/>
              <w:jc w:val="left"/>
              <w:rPr>
                <w:rFonts w:hint="eastAsia" w:ascii="仿宋_GB2312" w:hAnsi="仿宋_GB2312" w:eastAsia="仿宋_GB2312" w:cs="仿宋_GB2312"/>
                <w:b w:val="0"/>
                <w:bCs w:val="0"/>
                <w:kern w:val="0"/>
                <w:sz w:val="22"/>
              </w:rPr>
            </w:pPr>
            <w:r>
              <w:rPr>
                <w:rFonts w:hint="eastAsia" w:ascii="仿宋_GB2312" w:hAnsi="仿宋_GB2312" w:eastAsia="仿宋_GB2312" w:cs="仿宋_GB2312"/>
                <w:b w:val="0"/>
                <w:bCs w:val="0"/>
                <w:kern w:val="0"/>
                <w:sz w:val="22"/>
              </w:rPr>
              <w:t>重要质量特性较严重不合格</w:t>
            </w:r>
          </w:p>
        </w:tc>
        <w:tc>
          <w:tcPr>
            <w:tcW w:w="2700" w:type="dxa"/>
            <w:vMerge w:val="restart"/>
            <w:tcBorders>
              <w:top w:val="nil"/>
              <w:left w:val="single" w:color="auto" w:sz="4" w:space="0"/>
              <w:bottom w:val="single" w:color="auto" w:sz="4" w:space="0"/>
              <w:right w:val="single" w:color="auto" w:sz="4" w:space="0"/>
            </w:tcBorders>
            <w:vAlign w:val="center"/>
          </w:tcPr>
          <w:p>
            <w:pPr>
              <w:widowControl/>
              <w:spacing w:line="440" w:lineRule="exact"/>
              <w:jc w:val="center"/>
              <w:rPr>
                <w:rFonts w:hint="default" w:ascii="Times New Roman" w:hAnsi="Times New Roman" w:eastAsia="仿宋_GB2312" w:cs="Times New Roman"/>
                <w:b w:val="0"/>
                <w:bCs w:val="0"/>
                <w:kern w:val="0"/>
                <w:sz w:val="22"/>
              </w:rPr>
            </w:pPr>
            <w:r>
              <w:rPr>
                <w:rFonts w:hint="default" w:ascii="Times New Roman" w:hAnsi="Times New Roman" w:eastAsia="仿宋_GB2312" w:cs="Times New Roman"/>
                <w:b w:val="0"/>
                <w:bCs w:val="0"/>
                <w:kern w:val="0"/>
                <w:sz w:val="22"/>
              </w:rPr>
              <w:t>较重要特性不合格</w:t>
            </w:r>
          </w:p>
        </w:tc>
        <w:tc>
          <w:tcPr>
            <w:tcW w:w="1624" w:type="dxa"/>
            <w:vMerge w:val="restart"/>
            <w:tcBorders>
              <w:top w:val="nil"/>
              <w:left w:val="single" w:color="auto" w:sz="4" w:space="0"/>
              <w:bottom w:val="single" w:color="auto" w:sz="4" w:space="0"/>
              <w:right w:val="single" w:color="auto" w:sz="8" w:space="0"/>
            </w:tcBorders>
            <w:vAlign w:val="center"/>
          </w:tcPr>
          <w:p>
            <w:pPr>
              <w:widowControl/>
              <w:spacing w:line="440" w:lineRule="exact"/>
              <w:jc w:val="center"/>
              <w:rPr>
                <w:rFonts w:hint="default" w:ascii="Times New Roman" w:hAnsi="Times New Roman" w:eastAsia="仿宋_GB2312" w:cs="Times New Roman"/>
                <w:b w:val="0"/>
                <w:bCs w:val="0"/>
                <w:kern w:val="0"/>
                <w:sz w:val="22"/>
              </w:rPr>
            </w:pPr>
            <w:r>
              <w:rPr>
                <w:rFonts w:hint="default" w:ascii="Times New Roman" w:hAnsi="Times New Roman" w:eastAsia="仿宋_GB2312" w:cs="Times New Roman"/>
                <w:b w:val="0"/>
                <w:bCs w:val="0"/>
                <w:kern w:val="0"/>
                <w:sz w:val="22"/>
              </w:rPr>
              <w:t>B类不合格</w:t>
            </w:r>
          </w:p>
        </w:tc>
      </w:tr>
      <w:tr>
        <w:tblPrEx>
          <w:tblLayout w:type="fixed"/>
          <w:tblCellMar>
            <w:top w:w="0" w:type="dxa"/>
            <w:left w:w="108" w:type="dxa"/>
            <w:bottom w:w="0" w:type="dxa"/>
            <w:right w:w="108" w:type="dxa"/>
          </w:tblCellMar>
        </w:tblPrEx>
        <w:trPr>
          <w:trHeight w:val="360" w:hRule="atLeast"/>
        </w:trPr>
        <w:tc>
          <w:tcPr>
            <w:tcW w:w="3880" w:type="dxa"/>
            <w:tcBorders>
              <w:top w:val="nil"/>
              <w:left w:val="single" w:color="auto" w:sz="8" w:space="0"/>
              <w:bottom w:val="single" w:color="auto" w:sz="4" w:space="0"/>
              <w:right w:val="single" w:color="auto" w:sz="4" w:space="0"/>
            </w:tcBorders>
            <w:vAlign w:val="center"/>
          </w:tcPr>
          <w:p>
            <w:pPr>
              <w:widowControl/>
              <w:spacing w:line="440" w:lineRule="exact"/>
              <w:jc w:val="left"/>
              <w:rPr>
                <w:rFonts w:hint="eastAsia" w:ascii="仿宋_GB2312" w:hAnsi="仿宋_GB2312" w:eastAsia="仿宋_GB2312" w:cs="仿宋_GB2312"/>
                <w:b w:val="0"/>
                <w:bCs w:val="0"/>
                <w:kern w:val="0"/>
                <w:sz w:val="22"/>
              </w:rPr>
            </w:pPr>
            <w:r>
              <w:rPr>
                <w:rFonts w:hint="eastAsia" w:ascii="仿宋_GB2312" w:hAnsi="仿宋_GB2312" w:eastAsia="仿宋_GB2312" w:cs="仿宋_GB2312"/>
                <w:b w:val="0"/>
                <w:bCs w:val="0"/>
                <w:kern w:val="0"/>
                <w:sz w:val="22"/>
              </w:rPr>
              <w:t>较重要质量特性严重不合格</w:t>
            </w:r>
          </w:p>
        </w:tc>
        <w:tc>
          <w:tcPr>
            <w:tcW w:w="2700" w:type="dxa"/>
            <w:vMerge w:val="continue"/>
            <w:tcBorders>
              <w:top w:val="nil"/>
              <w:left w:val="single" w:color="auto" w:sz="4" w:space="0"/>
              <w:bottom w:val="single" w:color="auto" w:sz="4" w:space="0"/>
              <w:right w:val="single" w:color="auto" w:sz="4" w:space="0"/>
            </w:tcBorders>
            <w:vAlign w:val="center"/>
          </w:tcPr>
          <w:p>
            <w:pPr>
              <w:widowControl/>
              <w:spacing w:line="440" w:lineRule="exact"/>
              <w:jc w:val="left"/>
              <w:rPr>
                <w:rFonts w:hint="default" w:ascii="Times New Roman" w:hAnsi="Times New Roman" w:eastAsia="仿宋_GB2312" w:cs="Times New Roman"/>
                <w:b w:val="0"/>
                <w:bCs w:val="0"/>
                <w:kern w:val="0"/>
                <w:sz w:val="22"/>
              </w:rPr>
            </w:pPr>
          </w:p>
        </w:tc>
        <w:tc>
          <w:tcPr>
            <w:tcW w:w="1624" w:type="dxa"/>
            <w:vMerge w:val="continue"/>
            <w:tcBorders>
              <w:top w:val="nil"/>
              <w:left w:val="single" w:color="auto" w:sz="4" w:space="0"/>
              <w:bottom w:val="single" w:color="auto" w:sz="4" w:space="0"/>
              <w:right w:val="single" w:color="auto" w:sz="8" w:space="0"/>
            </w:tcBorders>
            <w:vAlign w:val="center"/>
          </w:tcPr>
          <w:p>
            <w:pPr>
              <w:widowControl/>
              <w:spacing w:line="440" w:lineRule="exact"/>
              <w:jc w:val="left"/>
              <w:rPr>
                <w:rFonts w:hint="default" w:ascii="Times New Roman" w:hAnsi="Times New Roman" w:eastAsia="仿宋_GB2312" w:cs="Times New Roman"/>
                <w:b w:val="0"/>
                <w:bCs w:val="0"/>
                <w:kern w:val="0"/>
                <w:sz w:val="22"/>
              </w:rPr>
            </w:pPr>
          </w:p>
        </w:tc>
      </w:tr>
      <w:tr>
        <w:tblPrEx>
          <w:tblLayout w:type="fixed"/>
          <w:tblCellMar>
            <w:top w:w="0" w:type="dxa"/>
            <w:left w:w="108" w:type="dxa"/>
            <w:bottom w:w="0" w:type="dxa"/>
            <w:right w:w="108" w:type="dxa"/>
          </w:tblCellMar>
        </w:tblPrEx>
        <w:trPr>
          <w:trHeight w:val="360" w:hRule="atLeast"/>
        </w:trPr>
        <w:tc>
          <w:tcPr>
            <w:tcW w:w="3880" w:type="dxa"/>
            <w:tcBorders>
              <w:top w:val="nil"/>
              <w:left w:val="single" w:color="auto" w:sz="8" w:space="0"/>
              <w:bottom w:val="single" w:color="auto" w:sz="4" w:space="0"/>
              <w:right w:val="single" w:color="auto" w:sz="4" w:space="0"/>
            </w:tcBorders>
            <w:vAlign w:val="center"/>
          </w:tcPr>
          <w:p>
            <w:pPr>
              <w:widowControl/>
              <w:spacing w:line="440" w:lineRule="exact"/>
              <w:jc w:val="left"/>
              <w:rPr>
                <w:rFonts w:hint="eastAsia" w:ascii="仿宋_GB2312" w:hAnsi="仿宋_GB2312" w:eastAsia="仿宋_GB2312" w:cs="仿宋_GB2312"/>
                <w:b w:val="0"/>
                <w:bCs w:val="0"/>
                <w:kern w:val="0"/>
                <w:sz w:val="22"/>
              </w:rPr>
            </w:pPr>
            <w:r>
              <w:rPr>
                <w:rFonts w:hint="eastAsia" w:ascii="仿宋_GB2312" w:hAnsi="仿宋_GB2312" w:eastAsia="仿宋_GB2312" w:cs="仿宋_GB2312"/>
                <w:b w:val="0"/>
                <w:bCs w:val="0"/>
                <w:kern w:val="0"/>
                <w:sz w:val="22"/>
              </w:rPr>
              <w:t>重要质量特性轻微不合格</w:t>
            </w:r>
          </w:p>
        </w:tc>
        <w:tc>
          <w:tcPr>
            <w:tcW w:w="2700" w:type="dxa"/>
            <w:vMerge w:val="restart"/>
            <w:tcBorders>
              <w:top w:val="nil"/>
              <w:left w:val="single" w:color="auto" w:sz="4" w:space="0"/>
              <w:bottom w:val="single" w:color="auto" w:sz="4" w:space="0"/>
              <w:right w:val="single" w:color="auto" w:sz="4" w:space="0"/>
            </w:tcBorders>
            <w:vAlign w:val="center"/>
          </w:tcPr>
          <w:p>
            <w:pPr>
              <w:widowControl/>
              <w:spacing w:line="440" w:lineRule="exact"/>
              <w:jc w:val="center"/>
              <w:rPr>
                <w:rFonts w:hint="default" w:ascii="Times New Roman" w:hAnsi="Times New Roman" w:eastAsia="仿宋_GB2312" w:cs="Times New Roman"/>
                <w:b w:val="0"/>
                <w:bCs w:val="0"/>
                <w:kern w:val="0"/>
                <w:sz w:val="22"/>
              </w:rPr>
            </w:pPr>
            <w:r>
              <w:rPr>
                <w:rFonts w:hint="default" w:ascii="Times New Roman" w:hAnsi="Times New Roman" w:eastAsia="仿宋_GB2312" w:cs="Times New Roman"/>
                <w:b w:val="0"/>
                <w:bCs w:val="0"/>
                <w:kern w:val="0"/>
                <w:sz w:val="22"/>
              </w:rPr>
              <w:t>次要特性不合格</w:t>
            </w:r>
          </w:p>
        </w:tc>
        <w:tc>
          <w:tcPr>
            <w:tcW w:w="1624" w:type="dxa"/>
            <w:vMerge w:val="restart"/>
            <w:tcBorders>
              <w:top w:val="nil"/>
              <w:left w:val="single" w:color="auto" w:sz="4" w:space="0"/>
              <w:bottom w:val="single" w:color="auto" w:sz="4" w:space="0"/>
              <w:right w:val="single" w:color="auto" w:sz="8" w:space="0"/>
            </w:tcBorders>
            <w:vAlign w:val="center"/>
          </w:tcPr>
          <w:p>
            <w:pPr>
              <w:widowControl/>
              <w:spacing w:line="440" w:lineRule="exact"/>
              <w:jc w:val="center"/>
              <w:rPr>
                <w:rFonts w:hint="default" w:ascii="Times New Roman" w:hAnsi="Times New Roman" w:eastAsia="仿宋_GB2312" w:cs="Times New Roman"/>
                <w:b w:val="0"/>
                <w:bCs w:val="0"/>
                <w:kern w:val="0"/>
                <w:sz w:val="22"/>
              </w:rPr>
            </w:pPr>
            <w:r>
              <w:rPr>
                <w:rFonts w:hint="default" w:ascii="Times New Roman" w:hAnsi="Times New Roman" w:eastAsia="仿宋_GB2312" w:cs="Times New Roman"/>
                <w:b w:val="0"/>
                <w:bCs w:val="0"/>
                <w:kern w:val="0"/>
                <w:sz w:val="22"/>
              </w:rPr>
              <w:t>C类不合格</w:t>
            </w:r>
          </w:p>
        </w:tc>
      </w:tr>
      <w:tr>
        <w:tblPrEx>
          <w:tblLayout w:type="fixed"/>
          <w:tblCellMar>
            <w:top w:w="0" w:type="dxa"/>
            <w:left w:w="108" w:type="dxa"/>
            <w:bottom w:w="0" w:type="dxa"/>
            <w:right w:w="108" w:type="dxa"/>
          </w:tblCellMar>
        </w:tblPrEx>
        <w:trPr>
          <w:trHeight w:val="360" w:hRule="atLeast"/>
        </w:trPr>
        <w:tc>
          <w:tcPr>
            <w:tcW w:w="3880" w:type="dxa"/>
            <w:tcBorders>
              <w:top w:val="nil"/>
              <w:left w:val="single" w:color="auto" w:sz="8" w:space="0"/>
              <w:bottom w:val="single" w:color="auto" w:sz="4" w:space="0"/>
              <w:right w:val="single" w:color="auto" w:sz="4" w:space="0"/>
            </w:tcBorders>
            <w:vAlign w:val="center"/>
          </w:tcPr>
          <w:p>
            <w:pPr>
              <w:widowControl/>
              <w:spacing w:line="440" w:lineRule="exact"/>
              <w:jc w:val="left"/>
              <w:rPr>
                <w:rFonts w:hint="eastAsia" w:ascii="仿宋_GB2312" w:hAnsi="仿宋_GB2312" w:eastAsia="仿宋_GB2312" w:cs="仿宋_GB2312"/>
                <w:b w:val="0"/>
                <w:bCs w:val="0"/>
                <w:kern w:val="0"/>
                <w:sz w:val="22"/>
              </w:rPr>
            </w:pPr>
            <w:r>
              <w:rPr>
                <w:rFonts w:hint="eastAsia" w:ascii="仿宋_GB2312" w:hAnsi="仿宋_GB2312" w:eastAsia="仿宋_GB2312" w:cs="仿宋_GB2312"/>
                <w:b w:val="0"/>
                <w:bCs w:val="0"/>
                <w:kern w:val="0"/>
                <w:sz w:val="22"/>
              </w:rPr>
              <w:t>较要重质量特性较严重不合格</w:t>
            </w:r>
          </w:p>
        </w:tc>
        <w:tc>
          <w:tcPr>
            <w:tcW w:w="2700" w:type="dxa"/>
            <w:vMerge w:val="continue"/>
            <w:tcBorders>
              <w:top w:val="nil"/>
              <w:left w:val="single" w:color="auto" w:sz="4" w:space="0"/>
              <w:bottom w:val="single" w:color="auto" w:sz="4" w:space="0"/>
              <w:right w:val="single" w:color="auto" w:sz="4" w:space="0"/>
            </w:tcBorders>
            <w:vAlign w:val="center"/>
          </w:tcPr>
          <w:p>
            <w:pPr>
              <w:widowControl/>
              <w:spacing w:line="440" w:lineRule="exact"/>
              <w:jc w:val="left"/>
              <w:rPr>
                <w:rFonts w:hint="default" w:ascii="Times New Roman" w:hAnsi="Times New Roman" w:eastAsia="仿宋_GB2312" w:cs="Times New Roman"/>
                <w:b w:val="0"/>
                <w:bCs w:val="0"/>
                <w:kern w:val="0"/>
                <w:sz w:val="22"/>
              </w:rPr>
            </w:pPr>
          </w:p>
        </w:tc>
        <w:tc>
          <w:tcPr>
            <w:tcW w:w="1624" w:type="dxa"/>
            <w:vMerge w:val="continue"/>
            <w:tcBorders>
              <w:top w:val="nil"/>
              <w:left w:val="single" w:color="auto" w:sz="4" w:space="0"/>
              <w:bottom w:val="single" w:color="auto" w:sz="4" w:space="0"/>
              <w:right w:val="single" w:color="auto" w:sz="8" w:space="0"/>
            </w:tcBorders>
            <w:vAlign w:val="center"/>
          </w:tcPr>
          <w:p>
            <w:pPr>
              <w:widowControl/>
              <w:spacing w:line="440" w:lineRule="exact"/>
              <w:jc w:val="left"/>
              <w:rPr>
                <w:rFonts w:hint="default" w:ascii="Times New Roman" w:hAnsi="Times New Roman" w:eastAsia="仿宋_GB2312" w:cs="Times New Roman"/>
                <w:b w:val="0"/>
                <w:bCs w:val="0"/>
                <w:kern w:val="0"/>
                <w:sz w:val="22"/>
              </w:rPr>
            </w:pPr>
          </w:p>
        </w:tc>
      </w:tr>
      <w:tr>
        <w:tblPrEx>
          <w:tblLayout w:type="fixed"/>
          <w:tblCellMar>
            <w:top w:w="0" w:type="dxa"/>
            <w:left w:w="108" w:type="dxa"/>
            <w:bottom w:w="0" w:type="dxa"/>
            <w:right w:w="108" w:type="dxa"/>
          </w:tblCellMar>
        </w:tblPrEx>
        <w:trPr>
          <w:trHeight w:val="360" w:hRule="atLeast"/>
        </w:trPr>
        <w:tc>
          <w:tcPr>
            <w:tcW w:w="3880" w:type="dxa"/>
            <w:tcBorders>
              <w:top w:val="nil"/>
              <w:left w:val="single" w:color="auto" w:sz="8" w:space="0"/>
              <w:bottom w:val="single" w:color="auto" w:sz="4" w:space="0"/>
              <w:right w:val="single" w:color="auto" w:sz="4" w:space="0"/>
            </w:tcBorders>
            <w:vAlign w:val="center"/>
          </w:tcPr>
          <w:p>
            <w:pPr>
              <w:widowControl/>
              <w:spacing w:line="440" w:lineRule="exact"/>
              <w:jc w:val="left"/>
              <w:rPr>
                <w:rFonts w:hint="eastAsia" w:ascii="仿宋_GB2312" w:hAnsi="仿宋_GB2312" w:eastAsia="仿宋_GB2312" w:cs="仿宋_GB2312"/>
                <w:b w:val="0"/>
                <w:bCs w:val="0"/>
                <w:kern w:val="0"/>
                <w:sz w:val="22"/>
              </w:rPr>
            </w:pPr>
            <w:r>
              <w:rPr>
                <w:rFonts w:hint="eastAsia" w:ascii="仿宋_GB2312" w:hAnsi="仿宋_GB2312" w:eastAsia="仿宋_GB2312" w:cs="仿宋_GB2312"/>
                <w:b w:val="0"/>
                <w:bCs w:val="0"/>
                <w:kern w:val="0"/>
                <w:sz w:val="22"/>
              </w:rPr>
              <w:t>次要质量特性严重或较严重不合格</w:t>
            </w:r>
          </w:p>
        </w:tc>
        <w:tc>
          <w:tcPr>
            <w:tcW w:w="2700" w:type="dxa"/>
            <w:vMerge w:val="continue"/>
            <w:tcBorders>
              <w:top w:val="nil"/>
              <w:left w:val="single" w:color="auto" w:sz="4" w:space="0"/>
              <w:bottom w:val="single" w:color="auto" w:sz="4" w:space="0"/>
              <w:right w:val="single" w:color="auto" w:sz="4" w:space="0"/>
            </w:tcBorders>
            <w:vAlign w:val="center"/>
          </w:tcPr>
          <w:p>
            <w:pPr>
              <w:widowControl/>
              <w:spacing w:line="440" w:lineRule="exact"/>
              <w:jc w:val="left"/>
              <w:rPr>
                <w:rFonts w:hint="default" w:ascii="Times New Roman" w:hAnsi="Times New Roman" w:eastAsia="仿宋_GB2312" w:cs="Times New Roman"/>
                <w:b w:val="0"/>
                <w:bCs w:val="0"/>
                <w:kern w:val="0"/>
                <w:sz w:val="22"/>
              </w:rPr>
            </w:pPr>
          </w:p>
        </w:tc>
        <w:tc>
          <w:tcPr>
            <w:tcW w:w="1624" w:type="dxa"/>
            <w:vMerge w:val="continue"/>
            <w:tcBorders>
              <w:top w:val="nil"/>
              <w:left w:val="single" w:color="auto" w:sz="4" w:space="0"/>
              <w:bottom w:val="single" w:color="auto" w:sz="4" w:space="0"/>
              <w:right w:val="single" w:color="auto" w:sz="8" w:space="0"/>
            </w:tcBorders>
            <w:vAlign w:val="center"/>
          </w:tcPr>
          <w:p>
            <w:pPr>
              <w:widowControl/>
              <w:spacing w:line="440" w:lineRule="exact"/>
              <w:jc w:val="left"/>
              <w:rPr>
                <w:rFonts w:hint="default" w:ascii="Times New Roman" w:hAnsi="Times New Roman" w:eastAsia="仿宋_GB2312" w:cs="Times New Roman"/>
                <w:b w:val="0"/>
                <w:bCs w:val="0"/>
                <w:kern w:val="0"/>
                <w:sz w:val="22"/>
              </w:rPr>
            </w:pPr>
          </w:p>
        </w:tc>
      </w:tr>
      <w:tr>
        <w:tblPrEx>
          <w:tblLayout w:type="fixed"/>
          <w:tblCellMar>
            <w:top w:w="0" w:type="dxa"/>
            <w:left w:w="108" w:type="dxa"/>
            <w:bottom w:w="0" w:type="dxa"/>
            <w:right w:w="108" w:type="dxa"/>
          </w:tblCellMar>
        </w:tblPrEx>
        <w:trPr>
          <w:trHeight w:val="360" w:hRule="atLeast"/>
        </w:trPr>
        <w:tc>
          <w:tcPr>
            <w:tcW w:w="3880" w:type="dxa"/>
            <w:tcBorders>
              <w:top w:val="nil"/>
              <w:left w:val="single" w:color="auto" w:sz="8" w:space="0"/>
              <w:bottom w:val="single" w:color="auto" w:sz="4" w:space="0"/>
              <w:right w:val="single" w:color="auto" w:sz="4" w:space="0"/>
            </w:tcBorders>
            <w:vAlign w:val="center"/>
          </w:tcPr>
          <w:p>
            <w:pPr>
              <w:widowControl/>
              <w:spacing w:line="440" w:lineRule="exact"/>
              <w:jc w:val="left"/>
              <w:rPr>
                <w:rFonts w:hint="eastAsia" w:ascii="仿宋_GB2312" w:hAnsi="仿宋_GB2312" w:eastAsia="仿宋_GB2312" w:cs="仿宋_GB2312"/>
                <w:b w:val="0"/>
                <w:bCs w:val="0"/>
                <w:kern w:val="0"/>
                <w:sz w:val="22"/>
              </w:rPr>
            </w:pPr>
            <w:r>
              <w:rPr>
                <w:rFonts w:hint="eastAsia" w:ascii="仿宋_GB2312" w:hAnsi="仿宋_GB2312" w:eastAsia="仿宋_GB2312" w:cs="仿宋_GB2312"/>
                <w:b w:val="0"/>
                <w:bCs w:val="0"/>
                <w:kern w:val="0"/>
                <w:sz w:val="22"/>
              </w:rPr>
              <w:t>较重质量特性轻微不合格</w:t>
            </w:r>
          </w:p>
        </w:tc>
        <w:tc>
          <w:tcPr>
            <w:tcW w:w="2700" w:type="dxa"/>
            <w:vMerge w:val="restart"/>
            <w:tcBorders>
              <w:top w:val="nil"/>
              <w:left w:val="single" w:color="auto" w:sz="4" w:space="0"/>
              <w:bottom w:val="single" w:color="000000" w:sz="8" w:space="0"/>
              <w:right w:val="single" w:color="auto" w:sz="4" w:space="0"/>
            </w:tcBorders>
            <w:vAlign w:val="center"/>
          </w:tcPr>
          <w:p>
            <w:pPr>
              <w:widowControl/>
              <w:spacing w:line="440" w:lineRule="exact"/>
              <w:jc w:val="center"/>
              <w:rPr>
                <w:rFonts w:hint="default" w:ascii="Times New Roman" w:hAnsi="Times New Roman" w:eastAsia="仿宋_GB2312" w:cs="Times New Roman"/>
                <w:b w:val="0"/>
                <w:bCs w:val="0"/>
                <w:kern w:val="0"/>
                <w:sz w:val="22"/>
              </w:rPr>
            </w:pPr>
            <w:r>
              <w:rPr>
                <w:rFonts w:hint="default" w:ascii="Times New Roman" w:hAnsi="Times New Roman" w:eastAsia="仿宋_GB2312" w:cs="Times New Roman"/>
                <w:b w:val="0"/>
                <w:bCs w:val="0"/>
                <w:kern w:val="0"/>
                <w:sz w:val="22"/>
              </w:rPr>
              <w:t>　/</w:t>
            </w:r>
          </w:p>
        </w:tc>
        <w:tc>
          <w:tcPr>
            <w:tcW w:w="1624" w:type="dxa"/>
            <w:vMerge w:val="restart"/>
            <w:tcBorders>
              <w:top w:val="nil"/>
              <w:left w:val="single" w:color="auto" w:sz="4" w:space="0"/>
              <w:bottom w:val="single" w:color="000000" w:sz="8" w:space="0"/>
              <w:right w:val="single" w:color="auto" w:sz="8" w:space="0"/>
            </w:tcBorders>
            <w:vAlign w:val="center"/>
          </w:tcPr>
          <w:p>
            <w:pPr>
              <w:widowControl/>
              <w:spacing w:line="440" w:lineRule="exact"/>
              <w:jc w:val="center"/>
              <w:rPr>
                <w:rFonts w:hint="default" w:ascii="Times New Roman" w:hAnsi="Times New Roman" w:eastAsia="仿宋_GB2312" w:cs="Times New Roman"/>
                <w:b w:val="0"/>
                <w:bCs w:val="0"/>
                <w:kern w:val="0"/>
                <w:sz w:val="22"/>
              </w:rPr>
            </w:pPr>
            <w:r>
              <w:rPr>
                <w:rFonts w:hint="default" w:ascii="Times New Roman" w:hAnsi="Times New Roman" w:eastAsia="仿宋_GB2312" w:cs="Times New Roman"/>
                <w:b w:val="0"/>
                <w:bCs w:val="0"/>
                <w:kern w:val="0"/>
                <w:sz w:val="22"/>
              </w:rPr>
              <w:t>D类不合格</w:t>
            </w:r>
          </w:p>
        </w:tc>
      </w:tr>
      <w:tr>
        <w:tblPrEx>
          <w:tblLayout w:type="fixed"/>
          <w:tblCellMar>
            <w:top w:w="0" w:type="dxa"/>
            <w:left w:w="108" w:type="dxa"/>
            <w:bottom w:w="0" w:type="dxa"/>
            <w:right w:w="108" w:type="dxa"/>
          </w:tblCellMar>
        </w:tblPrEx>
        <w:trPr>
          <w:trHeight w:val="360" w:hRule="atLeast"/>
        </w:trPr>
        <w:tc>
          <w:tcPr>
            <w:tcW w:w="3880" w:type="dxa"/>
            <w:tcBorders>
              <w:top w:val="nil"/>
              <w:left w:val="single" w:color="auto" w:sz="8" w:space="0"/>
              <w:bottom w:val="single" w:color="auto" w:sz="8" w:space="0"/>
              <w:right w:val="single" w:color="auto" w:sz="4" w:space="0"/>
            </w:tcBorders>
            <w:vAlign w:val="center"/>
          </w:tcPr>
          <w:p>
            <w:pPr>
              <w:widowControl/>
              <w:spacing w:line="440" w:lineRule="exact"/>
              <w:jc w:val="left"/>
              <w:rPr>
                <w:rFonts w:hint="eastAsia" w:ascii="仿宋_GB2312" w:hAnsi="仿宋_GB2312" w:eastAsia="仿宋_GB2312" w:cs="仿宋_GB2312"/>
                <w:kern w:val="0"/>
                <w:sz w:val="22"/>
              </w:rPr>
            </w:pPr>
            <w:r>
              <w:rPr>
                <w:rFonts w:hint="eastAsia" w:ascii="仿宋_GB2312" w:hAnsi="仿宋_GB2312" w:eastAsia="仿宋_GB2312" w:cs="仿宋_GB2312"/>
                <w:kern w:val="0"/>
                <w:sz w:val="22"/>
              </w:rPr>
              <w:t>次要质量特性轻微不合格</w:t>
            </w:r>
          </w:p>
        </w:tc>
        <w:tc>
          <w:tcPr>
            <w:tcW w:w="2700" w:type="dxa"/>
            <w:vMerge w:val="continue"/>
            <w:tcBorders>
              <w:top w:val="nil"/>
              <w:left w:val="single" w:color="auto" w:sz="4" w:space="0"/>
              <w:bottom w:val="single" w:color="000000" w:sz="8" w:space="0"/>
              <w:right w:val="single" w:color="auto" w:sz="4" w:space="0"/>
            </w:tcBorders>
            <w:vAlign w:val="center"/>
          </w:tcPr>
          <w:p>
            <w:pPr>
              <w:widowControl/>
              <w:spacing w:line="440" w:lineRule="exact"/>
              <w:jc w:val="left"/>
              <w:rPr>
                <w:rFonts w:eastAsia="等线"/>
                <w:kern w:val="0"/>
                <w:sz w:val="22"/>
              </w:rPr>
            </w:pPr>
          </w:p>
        </w:tc>
        <w:tc>
          <w:tcPr>
            <w:tcW w:w="1624" w:type="dxa"/>
            <w:vMerge w:val="continue"/>
            <w:tcBorders>
              <w:top w:val="nil"/>
              <w:left w:val="single" w:color="auto" w:sz="4" w:space="0"/>
              <w:bottom w:val="single" w:color="000000" w:sz="8" w:space="0"/>
              <w:right w:val="single" w:color="auto" w:sz="8" w:space="0"/>
            </w:tcBorders>
            <w:vAlign w:val="center"/>
          </w:tcPr>
          <w:p>
            <w:pPr>
              <w:widowControl/>
              <w:spacing w:line="440" w:lineRule="exact"/>
              <w:jc w:val="left"/>
              <w:rPr>
                <w:rFonts w:eastAsia="等线"/>
                <w:kern w:val="0"/>
                <w:sz w:val="22"/>
              </w:rPr>
            </w:pPr>
          </w:p>
        </w:tc>
      </w:tr>
    </w:tbl>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default" w:ascii="Times New Roman" w:hAnsi="Times New Roman" w:eastAsia="黑体" w:cs="Times New Roman"/>
          <w:szCs w:val="32"/>
        </w:rPr>
      </w:pPr>
      <w:r>
        <w:rPr>
          <w:rFonts w:hint="eastAsia" w:eastAsia="黑体" w:cs="Times New Roman"/>
          <w:szCs w:val="32"/>
          <w:lang w:eastAsia="zh-CN"/>
        </w:rPr>
        <w:t>七</w:t>
      </w:r>
      <w:bookmarkStart w:id="0" w:name="_GoBack"/>
      <w:bookmarkEnd w:id="0"/>
      <w:r>
        <w:rPr>
          <w:rFonts w:hint="default" w:ascii="Times New Roman" w:hAnsi="Times New Roman" w:eastAsia="黑体" w:cs="Times New Roman"/>
          <w:szCs w:val="32"/>
        </w:rPr>
        <w:t>、复检工作安排</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default" w:ascii="Times New Roman" w:hAnsi="Times New Roman" w:cs="Times New Roman"/>
          <w:szCs w:val="32"/>
        </w:rPr>
      </w:pPr>
      <w:r>
        <w:rPr>
          <w:rFonts w:hint="default" w:ascii="Times New Roman" w:hAnsi="Times New Roman" w:cs="Times New Roman"/>
          <w:szCs w:val="32"/>
        </w:rPr>
        <w:t>被抽样的销售者或者样品标称的生产者申请复检的，应向广东省市场监督管理局提出复检申请，由广东省市场监督管理局根据复检受理原则处理。复检工作安排按照《广东省工商行政管理局关于广东省流通领域商品质量抽查检验的工作规范》（粤工商消字〔2016〕111号）规定处理。</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方正中等线简体">
    <w:altName w:val="宋体"/>
    <w:panose1 w:val="02010601030101010101"/>
    <w:charset w:val="86"/>
    <w:family w:val="auto"/>
    <w:pitch w:val="default"/>
    <w:sig w:usb0="00000000" w:usb1="00000000" w:usb2="00000010" w:usb3="00000000" w:csb0="00040000" w:csb1="00000000"/>
  </w:font>
  <w:font w:name="方正大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B44463"/>
    <w:rsid w:val="1CE333ED"/>
    <w:rsid w:val="5DB44463"/>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2019-10-08T06:19:00Z</dcterms:created>
  <dc:creator>曾永</dc:creator>
  <cp:lastModifiedBy>曾永</cp:lastModifiedBy>
  <dcterms:modified xsi:type="dcterms:W3CDTF">2019-10-08T06:22:32Z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