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olor w:val="0C0C0C" w:themeColor="text1" w:themeTint="F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C0C0C" w:themeColor="text1" w:themeTint="F2"/>
          <w:sz w:val="44"/>
          <w:szCs w:val="44"/>
        </w:rPr>
      </w:pPr>
      <w:r>
        <w:rPr>
          <w:rFonts w:hint="eastAsia" w:ascii="方正小标宋简体" w:hAnsi="方正小标宋简体" w:eastAsia="方正小标宋简体" w:cs="方正小标宋简体"/>
          <w:color w:val="0C0C0C" w:themeColor="text1" w:themeTint="F2"/>
          <w:sz w:val="44"/>
          <w:szCs w:val="44"/>
        </w:rPr>
        <w:t>2020年广西实施国家随机监督抽查计划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eastAsia="仿宋_GB2312"/>
          <w:color w:val="0C0C0C" w:themeColor="text1" w:themeTint="F2"/>
          <w:sz w:val="44"/>
          <w:szCs w:val="44"/>
        </w:rPr>
      </w:pP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rPr>
          <w:rFonts w:ascii="黑体" w:eastAsia="黑体"/>
          <w:color w:val="0C0C0C" w:themeColor="text1" w:themeTint="F2"/>
          <w:sz w:val="32"/>
          <w:szCs w:val="32"/>
        </w:rPr>
      </w:pPr>
      <w:r>
        <w:rPr>
          <w:rFonts w:hint="eastAsia" w:ascii="黑体" w:eastAsia="黑体" w:cs="黑体"/>
          <w:color w:val="0C0C0C" w:themeColor="text1" w:themeTint="F2"/>
          <w:sz w:val="32"/>
          <w:szCs w:val="32"/>
        </w:rPr>
        <w:t>一、公共场所卫生</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C0C0C" w:themeColor="text1" w:themeTint="F2"/>
          <w:sz w:val="32"/>
          <w:szCs w:val="32"/>
        </w:rPr>
      </w:pPr>
      <w:r>
        <w:rPr>
          <w:rFonts w:hint="eastAsia" w:ascii="仿宋_GB2312" w:hAnsi="仿宋_GB2312" w:eastAsia="仿宋_GB2312" w:cs="仿宋_GB2312"/>
          <w:color w:val="0C0C0C" w:themeColor="text1" w:themeTint="F2"/>
          <w:sz w:val="32"/>
          <w:szCs w:val="32"/>
        </w:rPr>
        <w:t>（一）监督检查内容。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C0C0C" w:themeColor="text1" w:themeTint="F2"/>
          <w:sz w:val="32"/>
          <w:szCs w:val="32"/>
        </w:rPr>
      </w:pPr>
      <w:r>
        <w:rPr>
          <w:rFonts w:hint="eastAsia" w:ascii="仿宋_GB2312" w:hAnsi="仿宋_GB2312" w:eastAsia="仿宋_GB2312" w:cs="仿宋_GB2312"/>
          <w:color w:val="0C0C0C" w:themeColor="text1" w:themeTint="F2"/>
          <w:sz w:val="32"/>
          <w:szCs w:val="32"/>
        </w:rPr>
        <w:t>1.抽查游泳、住宿、沐浴、美容美发等场所卫生管理情况，抽查顾客用品用具、水质、空气以及集中空调通风系统卫生质量。推进公共场所卫生监督量化分级管理。</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C0C0C" w:themeColor="text1" w:themeTint="F2"/>
          <w:sz w:val="32"/>
          <w:szCs w:val="32"/>
        </w:rPr>
      </w:pPr>
      <w:r>
        <w:rPr>
          <w:rFonts w:hint="eastAsia" w:ascii="仿宋_GB2312" w:hAnsi="仿宋_GB2312" w:eastAsia="仿宋_GB2312" w:cs="仿宋_GB2312"/>
          <w:color w:val="0C0C0C" w:themeColor="text1" w:themeTint="F2"/>
          <w:sz w:val="32"/>
          <w:szCs w:val="32"/>
        </w:rPr>
        <w:t>2.餐具饮具集中消毒服务单位。抽查餐具饮具集中消毒服务单位依法生产情况，抽查消毒餐具饮具卫生质量。</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C0C0C" w:themeColor="text1" w:themeTint="F2"/>
          <w:sz w:val="32"/>
          <w:szCs w:val="32"/>
        </w:rPr>
      </w:pPr>
      <w:r>
        <w:rPr>
          <w:rFonts w:hint="eastAsia" w:ascii="仿宋_GB2312" w:hAnsi="仿宋_GB2312" w:eastAsia="仿宋_GB2312" w:cs="仿宋_GB2312"/>
          <w:color w:val="0C0C0C" w:themeColor="text1" w:themeTint="F2"/>
          <w:sz w:val="32"/>
          <w:szCs w:val="32"/>
        </w:rPr>
        <w:t>（二）结果报送要求。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ascii="仿宋_GB2312" w:eastAsia="仿宋_GB2312"/>
          <w:color w:val="0C0C0C" w:themeColor="text1" w:themeTint="F2"/>
          <w:sz w:val="32"/>
          <w:szCs w:val="32"/>
        </w:rPr>
      </w:pPr>
      <w:r>
        <w:rPr>
          <w:rFonts w:hint="eastAsia" w:ascii="仿宋_GB2312" w:hAnsi="仿宋_GB2312" w:eastAsia="仿宋_GB2312" w:cs="仿宋_GB2312"/>
          <w:color w:val="0C0C0C" w:themeColor="text1" w:themeTint="F2"/>
          <w:sz w:val="32"/>
          <w:szCs w:val="32"/>
        </w:rPr>
        <w:t>各地要在2020年7月10日前和8月10日前，分别完成50%以上和80%以上游泳场所抽查任务的结果报送；在2020年6月1日前完成50%以上餐具饮具集中消毒服务单位抽查任务的结果报送；在2020年11月30日前完成全部公共卫生抽查任务的结果报送。在2020年8月31日前，各地全面完成体育场馆等实行非卫生许可管理公共场所的建档立卡</w:t>
      </w:r>
      <w:r>
        <w:rPr>
          <w:rFonts w:hint="eastAsia" w:ascii="仿宋_GB2312" w:eastAsia="仿宋_GB2312" w:cs="仿宋"/>
          <w:color w:val="0C0C0C" w:themeColor="text1" w:themeTint="F2"/>
          <w:sz w:val="32"/>
          <w:szCs w:val="32"/>
        </w:rPr>
        <w:t>工作。所有数据以信息报告系统填报数据为准，不需另外报送纸质报表。公共场所卫生监督量化分级管理上报数据信息，将作为评估各地落实“十三五”规划目标任务的重要依据。</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（三）对监督检查中发现的生活美容场所涉嫌违法开展医疗美容等案件线索，要及时通报、组织协查。重大案件信息要及时向我委报告。</w:t>
      </w:r>
    </w:p>
    <w:p>
      <w:pPr>
        <w:adjustRightInd w:val="0"/>
        <w:snapToGrid w:val="0"/>
        <w:spacing w:line="560" w:lineRule="exact"/>
        <w:rPr>
          <w:rFonts w:ascii="仿宋_GB2312" w:eastAsia="仿宋_GB2312"/>
          <w:color w:val="0C0C0C" w:themeColor="text1" w:themeTint="F2"/>
          <w:sz w:val="32"/>
          <w:szCs w:val="32"/>
        </w:rPr>
        <w:sectPr>
          <w:footerReference r:id="rId3" w:type="default"/>
          <w:pgSz w:w="11906" w:h="16838"/>
          <w:pgMar w:top="1701" w:right="1418" w:bottom="1417" w:left="170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spacing w:line="560" w:lineRule="exact"/>
        <w:ind w:firstLine="68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联 系 人：自治区卫生监督所监督一科  周敏</w:t>
      </w:r>
    </w:p>
    <w:p>
      <w:pPr>
        <w:keepNext w:val="0"/>
        <w:keepLines w:val="0"/>
        <w:pageBreakBefore w:val="0"/>
        <w:widowControl w:val="0"/>
        <w:kinsoku/>
        <w:wordWrap/>
        <w:overflowPunct/>
        <w:topLinePunct w:val="0"/>
        <w:autoSpaceDE/>
        <w:autoSpaceDN/>
        <w:bidi w:val="0"/>
        <w:spacing w:line="560" w:lineRule="exact"/>
        <w:ind w:firstLine="680"/>
        <w:textAlignment w:val="auto"/>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 xml:space="preserve">联系电话：0771-5326478     </w:t>
      </w:r>
    </w:p>
    <w:p>
      <w:pPr>
        <w:keepNext w:val="0"/>
        <w:keepLines w:val="0"/>
        <w:pageBreakBefore w:val="0"/>
        <w:widowControl w:val="0"/>
        <w:kinsoku/>
        <w:wordWrap/>
        <w:overflowPunct/>
        <w:topLinePunct w:val="0"/>
        <w:autoSpaceDE/>
        <w:autoSpaceDN/>
        <w:bidi w:val="0"/>
        <w:spacing w:line="560" w:lineRule="exact"/>
        <w:ind w:firstLine="680"/>
        <w:textAlignment w:val="auto"/>
        <w:rPr>
          <w:rFonts w:hint="default" w:ascii="Times New Roman" w:hAnsi="Times New Roman" w:eastAsia="仿宋_GB2312" w:cs="Times New Roman"/>
          <w:color w:val="0C0C0C" w:themeColor="text1" w:themeTint="F2"/>
          <w:sz w:val="32"/>
          <w:szCs w:val="32"/>
        </w:rPr>
      </w:pPr>
      <w:r>
        <w:rPr>
          <w:rFonts w:hint="eastAsia" w:ascii="仿宋_GB2312" w:eastAsia="仿宋_GB2312" w:cs="仿宋"/>
          <w:color w:val="0C0C0C" w:themeColor="text1" w:themeTint="F2"/>
          <w:sz w:val="32"/>
          <w:szCs w:val="32"/>
        </w:rPr>
        <w:t>邮    箱：</w:t>
      </w:r>
      <w:r>
        <w:rPr>
          <w:rFonts w:hint="default" w:ascii="Times New Roman" w:hAnsi="Times New Roman" w:eastAsia="仿宋_GB2312" w:cs="Times New Roman"/>
          <w:color w:val="0C0C0C" w:themeColor="text1" w:themeTint="F2"/>
          <w:sz w:val="32"/>
          <w:szCs w:val="32"/>
        </w:rPr>
        <w:t>gxjdyk@163.com</w:t>
      </w: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rPr>
          <w:rFonts w:hint="eastAsia" w:ascii="仿宋_GB2312" w:eastAsia="仿宋_GB2312" w:cs="仿宋"/>
          <w:color w:val="0C0C0C" w:themeColor="text1" w:themeTint="F2"/>
          <w:sz w:val="32"/>
          <w:szCs w:val="32"/>
          <w:lang w:eastAsia="zh-CN"/>
        </w:rPr>
      </w:pPr>
      <w:r>
        <w:rPr>
          <w:rFonts w:hint="eastAsia" w:ascii="仿宋_GB2312" w:eastAsia="仿宋_GB2312" w:cs="仿宋"/>
          <w:color w:val="0C0C0C" w:themeColor="text1" w:themeTint="F2"/>
          <w:sz w:val="32"/>
          <w:szCs w:val="32"/>
          <w:lang w:eastAsia="zh-CN"/>
        </w:rPr>
        <w:t>　　</w:t>
      </w: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rPr>
          <w:rFonts w:ascii="仿宋_GB2312" w:eastAsia="仿宋_GB2312"/>
          <w:color w:val="0C0C0C" w:themeColor="text1" w:themeTint="F2"/>
          <w:spacing w:val="-6"/>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附表：1.</w:t>
      </w:r>
      <w:r>
        <w:rPr>
          <w:rFonts w:hint="eastAsia" w:ascii="仿宋_GB2312" w:eastAsia="仿宋_GB2312" w:cs="仿宋"/>
          <w:color w:val="0C0C0C" w:themeColor="text1" w:themeTint="F2"/>
          <w:spacing w:val="-6"/>
          <w:sz w:val="32"/>
          <w:szCs w:val="32"/>
        </w:rPr>
        <w:t>2020年公共场所卫生国家随机监督抽查工作计划表</w:t>
      </w:r>
    </w:p>
    <w:p>
      <w:pPr>
        <w:keepNext w:val="0"/>
        <w:keepLines w:val="0"/>
        <w:pageBreakBefore w:val="0"/>
        <w:widowControl w:val="0"/>
        <w:kinsoku/>
        <w:wordWrap/>
        <w:overflowPunct/>
        <w:topLinePunct w:val="0"/>
        <w:autoSpaceDE/>
        <w:autoSpaceDN/>
        <w:bidi w:val="0"/>
        <w:spacing w:line="560" w:lineRule="exact"/>
        <w:textAlignment w:val="auto"/>
        <w:outlineLvl w:val="0"/>
        <w:rPr>
          <w:rFonts w:hint="eastAsia"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2.2020年餐具饮具集中消毒服务单位国家随机监督</w:t>
      </w:r>
    </w:p>
    <w:p>
      <w:pPr>
        <w:keepNext w:val="0"/>
        <w:keepLines w:val="0"/>
        <w:pageBreakBefore w:val="0"/>
        <w:widowControl w:val="0"/>
        <w:kinsoku/>
        <w:wordWrap/>
        <w:overflowPunct/>
        <w:topLinePunct w:val="0"/>
        <w:autoSpaceDE/>
        <w:autoSpaceDN/>
        <w:bidi w:val="0"/>
        <w:spacing w:line="560" w:lineRule="exact"/>
        <w:textAlignment w:val="auto"/>
        <w:outlineLvl w:val="0"/>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抽查工作计划表</w:t>
      </w:r>
    </w:p>
    <w:p>
      <w:pPr>
        <w:keepNext w:val="0"/>
        <w:keepLines w:val="0"/>
        <w:pageBreakBefore w:val="0"/>
        <w:widowControl w:val="0"/>
        <w:kinsoku/>
        <w:wordWrap/>
        <w:overflowPunct/>
        <w:topLinePunct w:val="0"/>
        <w:autoSpaceDE/>
        <w:autoSpaceDN/>
        <w:bidi w:val="0"/>
        <w:spacing w:line="560" w:lineRule="exact"/>
        <w:textAlignment w:val="auto"/>
        <w:outlineLvl w:val="0"/>
        <w:rPr>
          <w:rFonts w:hint="eastAsia"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3.2020年餐具饮具集中消毒服务单位国家随机监督</w:t>
      </w:r>
    </w:p>
    <w:p>
      <w:pPr>
        <w:keepNext w:val="0"/>
        <w:keepLines w:val="0"/>
        <w:pageBreakBefore w:val="0"/>
        <w:widowControl w:val="0"/>
        <w:kinsoku/>
        <w:wordWrap/>
        <w:overflowPunct/>
        <w:topLinePunct w:val="0"/>
        <w:autoSpaceDE/>
        <w:autoSpaceDN/>
        <w:bidi w:val="0"/>
        <w:spacing w:line="560" w:lineRule="exact"/>
        <w:textAlignment w:val="auto"/>
        <w:outlineLvl w:val="0"/>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抽查信息汇总表</w:t>
      </w:r>
    </w:p>
    <w:p>
      <w:pPr>
        <w:keepNext w:val="0"/>
        <w:keepLines w:val="0"/>
        <w:pageBreakBefore w:val="0"/>
        <w:widowControl w:val="0"/>
        <w:kinsoku/>
        <w:wordWrap/>
        <w:overflowPunct/>
        <w:topLinePunct w:val="0"/>
        <w:autoSpaceDE/>
        <w:autoSpaceDN/>
        <w:bidi w:val="0"/>
        <w:spacing w:line="560" w:lineRule="exact"/>
        <w:ind w:firstLine="1480"/>
        <w:jc w:val="distribute"/>
        <w:textAlignment w:val="auto"/>
        <w:rPr>
          <w:rFonts w:ascii="仿宋_GB2312" w:eastAsia="仿宋_GB2312"/>
          <w:color w:val="0C0C0C" w:themeColor="text1" w:themeTint="F2"/>
          <w:sz w:val="32"/>
          <w:szCs w:val="32"/>
        </w:rPr>
        <w:sectPr>
          <w:footerReference r:id="rId4" w:type="default"/>
          <w:pgSz w:w="11906" w:h="16838"/>
          <w:pgMar w:top="1701" w:right="1417" w:bottom="1417" w:left="1701" w:header="851" w:footer="992" w:gutter="0"/>
          <w:pgNumType w:fmt="decimal"/>
          <w:cols w:space="0" w:num="1"/>
          <w:rtlGutter w:val="0"/>
          <w:docGrid w:type="lines" w:linePitch="312" w:charSpace="0"/>
        </w:sectPr>
      </w:pPr>
    </w:p>
    <w:p>
      <w:pPr>
        <w:widowControl/>
        <w:spacing w:beforeLines="50"/>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 xml:space="preserve">附表1 </w:t>
      </w:r>
    </w:p>
    <w:p>
      <w:pPr>
        <w:widowControl/>
        <w:spacing w:beforeLines="50"/>
        <w:jc w:val="center"/>
        <w:outlineLvl w:val="0"/>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2020年公共场所卫生国家随机监督抽查工作计划表</w:t>
      </w:r>
    </w:p>
    <w:tbl>
      <w:tblPr>
        <w:tblStyle w:val="7"/>
        <w:tblW w:w="1513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551"/>
        <w:gridCol w:w="3899"/>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67" w:type="dxa"/>
            <w:vAlign w:val="center"/>
          </w:tcPr>
          <w:p>
            <w:pPr>
              <w:widowControl/>
              <w:spacing w:line="28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监督检查对象</w:t>
            </w:r>
          </w:p>
        </w:tc>
        <w:tc>
          <w:tcPr>
            <w:tcW w:w="2551" w:type="dxa"/>
            <w:vAlign w:val="center"/>
          </w:tcPr>
          <w:p>
            <w:pPr>
              <w:widowControl/>
              <w:spacing w:line="28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抽查范围和数量</w:t>
            </w:r>
          </w:p>
        </w:tc>
        <w:tc>
          <w:tcPr>
            <w:tcW w:w="3899" w:type="dxa"/>
            <w:vAlign w:val="center"/>
          </w:tcPr>
          <w:p>
            <w:pPr>
              <w:widowControl/>
              <w:spacing w:line="28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检查内容</w:t>
            </w:r>
          </w:p>
        </w:tc>
        <w:tc>
          <w:tcPr>
            <w:tcW w:w="7118" w:type="dxa"/>
            <w:vAlign w:val="center"/>
          </w:tcPr>
          <w:p>
            <w:pPr>
              <w:widowControl/>
              <w:spacing w:line="28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1567" w:type="dxa"/>
            <w:vAlign w:val="center"/>
          </w:tcPr>
          <w:p>
            <w:pPr>
              <w:widowControl/>
              <w:spacing w:line="24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游泳场所</w:t>
            </w:r>
          </w:p>
        </w:tc>
        <w:tc>
          <w:tcPr>
            <w:tcW w:w="2551" w:type="dxa"/>
            <w:vAlign w:val="center"/>
          </w:tcPr>
          <w:p>
            <w:pPr>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辖区全部人工游泳场所（含学校内游泳场所）</w:t>
            </w:r>
          </w:p>
        </w:tc>
        <w:tc>
          <w:tcPr>
            <w:tcW w:w="3899" w:type="dxa"/>
            <w:vMerge w:val="restart"/>
          </w:tcPr>
          <w:p>
            <w:pPr>
              <w:keepNext/>
              <w:keepLines/>
              <w:widowControl/>
              <w:spacing w:beforeLines="50"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1.设置卫生管理部门或人员情况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2.建立卫生管理档案情况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3.从业人员健康体检情况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4.设置禁止吸烟警语标志情况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5.对空气、水质、顾客用品用具等进行卫生检测情况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6.公示卫生许可证、卫生信誉度等级和卫生检测信息情况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7.对顾客用品用具进行清洗、消毒、保洁情况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8.实施卫生监督量化分级管理情况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9.住宿场所按照《艾滋病防治条例》放置安全套或者设置安全套发售设施情况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10.生活美容场所违法开展医疗美容情况</w:t>
            </w:r>
          </w:p>
        </w:tc>
        <w:tc>
          <w:tcPr>
            <w:tcW w:w="7118"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1.泳池水浑浊度、pH、游离性余氯、尿素、菌落总数、大肠菌群</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567" w:type="dxa"/>
            <w:vAlign w:val="center"/>
          </w:tcPr>
          <w:p>
            <w:pPr>
              <w:widowControl/>
              <w:spacing w:line="24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住宿场所</w:t>
            </w:r>
          </w:p>
        </w:tc>
        <w:tc>
          <w:tcPr>
            <w:tcW w:w="2551" w:type="dxa"/>
            <w:vAlign w:val="center"/>
          </w:tcPr>
          <w:p>
            <w:pPr>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辖区总数20%</w:t>
            </w:r>
          </w:p>
        </w:tc>
        <w:tc>
          <w:tcPr>
            <w:tcW w:w="3899" w:type="dxa"/>
            <w:vMerge w:val="continue"/>
            <w:vAlign w:val="center"/>
          </w:tcPr>
          <w:p>
            <w:pPr>
              <w:rPr>
                <w:rFonts w:hint="eastAsia" w:ascii="仿宋_GB2312" w:hAnsi="仿宋_GB2312" w:eastAsia="仿宋_GB2312" w:cs="仿宋_GB2312"/>
                <w:color w:val="0C0C0C" w:themeColor="text1" w:themeTint="F2"/>
                <w:sz w:val="21"/>
                <w:szCs w:val="21"/>
              </w:rPr>
            </w:pPr>
          </w:p>
        </w:tc>
        <w:tc>
          <w:tcPr>
            <w:tcW w:w="7118"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1.棉织品外观、细菌总数、大肠菌群、金黄色葡萄球菌、pH</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567" w:type="dxa"/>
            <w:vAlign w:val="center"/>
          </w:tcPr>
          <w:p>
            <w:pPr>
              <w:widowControl/>
              <w:spacing w:line="24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沐浴场所</w:t>
            </w:r>
          </w:p>
        </w:tc>
        <w:tc>
          <w:tcPr>
            <w:tcW w:w="2551" w:type="dxa"/>
            <w:vAlign w:val="center"/>
          </w:tcPr>
          <w:p>
            <w:pPr>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辖区总数16%</w:t>
            </w:r>
          </w:p>
        </w:tc>
        <w:tc>
          <w:tcPr>
            <w:tcW w:w="3899" w:type="dxa"/>
            <w:vMerge w:val="continue"/>
            <w:vAlign w:val="center"/>
          </w:tcPr>
          <w:p>
            <w:pPr>
              <w:rPr>
                <w:rFonts w:hint="eastAsia" w:ascii="仿宋_GB2312" w:hAnsi="仿宋_GB2312" w:eastAsia="仿宋_GB2312" w:cs="仿宋_GB2312"/>
                <w:color w:val="0C0C0C" w:themeColor="text1" w:themeTint="F2"/>
                <w:sz w:val="21"/>
                <w:szCs w:val="21"/>
              </w:rPr>
            </w:pPr>
          </w:p>
        </w:tc>
        <w:tc>
          <w:tcPr>
            <w:tcW w:w="7118"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1.棉织品外观、细菌总数、大肠菌群、金黄色葡萄球菌、pH</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567" w:type="dxa"/>
            <w:vAlign w:val="center"/>
          </w:tcPr>
          <w:p>
            <w:pPr>
              <w:widowControl/>
              <w:spacing w:line="24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美容美发场所</w:t>
            </w:r>
          </w:p>
        </w:tc>
        <w:tc>
          <w:tcPr>
            <w:tcW w:w="2551" w:type="dxa"/>
            <w:vAlign w:val="center"/>
          </w:tcPr>
          <w:p>
            <w:pPr>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辖区总数12%</w:t>
            </w:r>
            <w:r>
              <w:rPr>
                <w:rFonts w:hint="eastAsia" w:ascii="仿宋_GB2312" w:hAnsi="仿宋_GB2312" w:eastAsia="仿宋_GB2312" w:cs="仿宋_GB2312"/>
                <w:color w:val="0C0C0C" w:themeColor="text1" w:themeTint="F2"/>
                <w:sz w:val="21"/>
                <w:szCs w:val="21"/>
                <w:vertAlign w:val="superscript"/>
              </w:rPr>
              <w:t xml:space="preserve">（a） </w:t>
            </w:r>
          </w:p>
        </w:tc>
        <w:tc>
          <w:tcPr>
            <w:tcW w:w="3899" w:type="dxa"/>
            <w:vMerge w:val="continue"/>
            <w:vAlign w:val="center"/>
          </w:tcPr>
          <w:p>
            <w:pPr>
              <w:rPr>
                <w:rFonts w:hint="eastAsia" w:ascii="仿宋_GB2312" w:hAnsi="仿宋_GB2312" w:eastAsia="仿宋_GB2312" w:cs="仿宋_GB2312"/>
                <w:color w:val="0C0C0C" w:themeColor="text1" w:themeTint="F2"/>
                <w:sz w:val="21"/>
                <w:szCs w:val="21"/>
              </w:rPr>
            </w:pPr>
          </w:p>
        </w:tc>
        <w:tc>
          <w:tcPr>
            <w:tcW w:w="7118"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1.美容美发工具细菌总数、大肠菌群、金黄色葡萄球菌</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567" w:type="dxa"/>
            <w:vAlign w:val="center"/>
          </w:tcPr>
          <w:p>
            <w:pPr>
              <w:widowControl/>
              <w:spacing w:line="24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其他公共场所</w:t>
            </w:r>
          </w:p>
        </w:tc>
        <w:tc>
          <w:tcPr>
            <w:tcW w:w="2551" w:type="dxa"/>
            <w:vAlign w:val="center"/>
          </w:tcPr>
          <w:p>
            <w:pPr>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辖区营业面积2000m</w:t>
            </w:r>
            <w:r>
              <w:rPr>
                <w:rFonts w:hint="eastAsia" w:ascii="仿宋_GB2312" w:hAnsi="仿宋_GB2312" w:eastAsia="仿宋_GB2312" w:cs="仿宋_GB2312"/>
                <w:color w:val="0C0C0C" w:themeColor="text1" w:themeTint="F2"/>
                <w:sz w:val="21"/>
                <w:szCs w:val="21"/>
                <w:vertAlign w:val="superscript"/>
              </w:rPr>
              <w:t>2</w:t>
            </w:r>
            <w:r>
              <w:rPr>
                <w:rFonts w:hint="eastAsia" w:ascii="仿宋_GB2312" w:hAnsi="仿宋_GB2312" w:eastAsia="仿宋_GB2312" w:cs="仿宋_GB2312"/>
                <w:color w:val="0C0C0C" w:themeColor="text1" w:themeTint="F2"/>
                <w:sz w:val="21"/>
                <w:szCs w:val="21"/>
              </w:rPr>
              <w:t>以上商场（超市）60户，影剧院40户，游艺厅、歌舞厅、音乐厅共80户，候车（机、船）室共40户，数量不足的全部检查</w:t>
            </w:r>
          </w:p>
        </w:tc>
        <w:tc>
          <w:tcPr>
            <w:tcW w:w="3899" w:type="dxa"/>
            <w:vMerge w:val="continue"/>
            <w:vAlign w:val="center"/>
          </w:tcPr>
          <w:p>
            <w:pPr>
              <w:rPr>
                <w:rFonts w:hint="eastAsia" w:ascii="仿宋_GB2312" w:hAnsi="仿宋_GB2312" w:eastAsia="仿宋_GB2312" w:cs="仿宋_GB2312"/>
                <w:color w:val="0C0C0C" w:themeColor="text1" w:themeTint="F2"/>
                <w:sz w:val="21"/>
                <w:szCs w:val="21"/>
              </w:rPr>
            </w:pPr>
          </w:p>
        </w:tc>
        <w:tc>
          <w:tcPr>
            <w:tcW w:w="7118"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室内空气中CO2、甲醛、苯、甲苯、二甲苯</w:t>
            </w:r>
            <w:r>
              <w:rPr>
                <w:rFonts w:hint="eastAsia" w:ascii="仿宋_GB2312" w:hAnsi="仿宋_GB2312" w:eastAsia="仿宋_GB2312" w:cs="仿宋_GB2312"/>
                <w:color w:val="0C0C0C" w:themeColor="text1" w:themeTint="F2"/>
                <w:sz w:val="21"/>
                <w:szCs w:val="21"/>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567" w:type="dxa"/>
            <w:vAlign w:val="center"/>
          </w:tcPr>
          <w:p>
            <w:pPr>
              <w:widowControl/>
              <w:spacing w:line="24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集中空调</w:t>
            </w:r>
          </w:p>
        </w:tc>
        <w:tc>
          <w:tcPr>
            <w:tcW w:w="2551" w:type="dxa"/>
            <w:vAlign w:val="center"/>
          </w:tcPr>
          <w:p>
            <w:pPr>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辖区已抽取公共场所中使用集中空调通风系统的30户，数量不足的全部检查</w:t>
            </w:r>
          </w:p>
        </w:tc>
        <w:tc>
          <w:tcPr>
            <w:tcW w:w="3899"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1.建立集中空调通风系统卫生档案情况</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2.开展集中空调通风系统卫生检测或卫生学评价情况</w:t>
            </w:r>
            <w:r>
              <w:rPr>
                <w:rFonts w:hint="eastAsia" w:ascii="仿宋_GB2312" w:hAnsi="仿宋_GB2312" w:eastAsia="仿宋_GB2312" w:cs="仿宋_GB2312"/>
                <w:color w:val="0C0C0C" w:themeColor="text1" w:themeTint="F2"/>
                <w:sz w:val="21"/>
                <w:szCs w:val="21"/>
                <w:vertAlign w:val="superscript"/>
              </w:rPr>
              <w:t xml:space="preserve"> （b）</w:t>
            </w:r>
            <w:r>
              <w:rPr>
                <w:rFonts w:hint="eastAsia" w:ascii="仿宋_GB2312" w:hAnsi="仿宋_GB2312" w:eastAsia="仿宋_GB2312" w:cs="仿宋_GB2312"/>
                <w:color w:val="0C0C0C" w:themeColor="text1" w:themeTint="F2"/>
                <w:sz w:val="21"/>
                <w:szCs w:val="21"/>
              </w:rPr>
              <w:t xml:space="preserve"> </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3.开展集中空调通风系统清洗消毒情况</w:t>
            </w:r>
          </w:p>
        </w:tc>
        <w:tc>
          <w:tcPr>
            <w:tcW w:w="7118" w:type="dxa"/>
            <w:vAlign w:val="center"/>
          </w:tcPr>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1.风管内表面积尘量、细菌总数、真菌总数</w:t>
            </w:r>
            <w:r>
              <w:rPr>
                <w:rFonts w:hint="eastAsia" w:ascii="仿宋_GB2312" w:hAnsi="仿宋_GB2312" w:eastAsia="仿宋_GB2312" w:cs="仿宋_GB2312"/>
                <w:color w:val="0C0C0C" w:themeColor="text1" w:themeTint="F2"/>
                <w:sz w:val="21"/>
                <w:szCs w:val="21"/>
                <w:vertAlign w:val="superscript"/>
              </w:rPr>
              <w:t>（d）</w:t>
            </w:r>
          </w:p>
          <w:p>
            <w:pPr>
              <w:keepNext/>
              <w:keepLines/>
              <w:widowControl/>
              <w:spacing w:line="24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2.冷却水中嗜肺军团菌</w:t>
            </w:r>
            <w:r>
              <w:rPr>
                <w:rFonts w:hint="eastAsia" w:ascii="仿宋_GB2312" w:hAnsi="仿宋_GB2312" w:eastAsia="仿宋_GB2312" w:cs="仿宋_GB2312"/>
                <w:color w:val="0C0C0C" w:themeColor="text1" w:themeTint="F2"/>
                <w:sz w:val="21"/>
                <w:szCs w:val="21"/>
                <w:vertAlign w:val="superscript"/>
              </w:rPr>
              <w:t>（e）</w:t>
            </w:r>
          </w:p>
        </w:tc>
      </w:tr>
    </w:tbl>
    <w:p>
      <w:pPr>
        <w:spacing w:beforeLines="50" w:line="240" w:lineRule="exact"/>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sz w:val="21"/>
          <w:szCs w:val="21"/>
        </w:rPr>
        <w:t xml:space="preserve">    </w:t>
      </w:r>
      <w:r>
        <w:rPr>
          <w:rFonts w:hint="eastAsia" w:ascii="仿宋_GB2312" w:hAnsi="仿宋_GB2312" w:eastAsia="仿宋_GB2312" w:cs="仿宋_GB2312"/>
          <w:color w:val="0C0C0C" w:themeColor="text1" w:themeTint="F2"/>
          <w:kern w:val="0"/>
          <w:sz w:val="21"/>
          <w:szCs w:val="21"/>
        </w:rPr>
        <w:t>a.美容美发场所按抽查任务的20%进行检测。</w:t>
      </w:r>
    </w:p>
    <w:p>
      <w:pPr>
        <w:spacing w:line="240" w:lineRule="exact"/>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 xml:space="preserve">    b.使用单位需提供集中空调通风系统卫生检测报告复印件。</w:t>
      </w:r>
    </w:p>
    <w:p>
      <w:pPr>
        <w:spacing w:line="240" w:lineRule="exact"/>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 xml:space="preserve">    c.只对6个月内进行过室内大面积装修的场所检测甲醛、苯、甲苯、二甲苯项目。</w:t>
      </w:r>
    </w:p>
    <w:p>
      <w:pPr>
        <w:spacing w:line="240" w:lineRule="exac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 xml:space="preserve">    d.使用无风管集中空调通风系统的，该指标合理缺项。</w:t>
      </w:r>
    </w:p>
    <w:p>
      <w:pPr>
        <w:spacing w:line="240" w:lineRule="exact"/>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 xml:space="preserve">    e.</w:t>
      </w:r>
      <w:r>
        <w:rPr>
          <w:rFonts w:hint="eastAsia" w:ascii="仿宋_GB2312" w:hAnsi="仿宋_GB2312" w:eastAsia="仿宋_GB2312" w:cs="仿宋_GB2312"/>
          <w:color w:val="0C0C0C" w:themeColor="text1" w:themeTint="F2"/>
          <w:sz w:val="21"/>
          <w:szCs w:val="21"/>
        </w:rPr>
        <w:t>使用非开放式冷却塔集中空调通风系统的，该指标合理缺项。</w:t>
      </w:r>
    </w:p>
    <w:p>
      <w:pPr>
        <w:snapToGrid w:val="0"/>
        <w:spacing w:afterLines="50"/>
        <w:jc w:val="left"/>
        <w:rPr>
          <w:rFonts w:hint="eastAsia" w:ascii="黑体" w:hAnsi="黑体" w:eastAsia="黑体" w:cs="黑体"/>
          <w:color w:val="0C0C0C" w:themeColor="text1" w:themeTint="F2"/>
          <w:sz w:val="32"/>
          <w:szCs w:val="32"/>
        </w:rPr>
      </w:pPr>
      <w:r>
        <w:rPr>
          <w:rFonts w:hint="eastAsia" w:ascii="仿宋_GB2312" w:eastAsia="仿宋_GB2312"/>
          <w:color w:val="0C0C0C" w:themeColor="text1" w:themeTint="F2"/>
          <w:sz w:val="30"/>
          <w:szCs w:val="30"/>
        </w:rPr>
        <w:br w:type="page"/>
      </w:r>
      <w:r>
        <w:rPr>
          <w:rFonts w:hint="eastAsia" w:ascii="黑体" w:hAnsi="黑体" w:eastAsia="黑体" w:cs="黑体"/>
          <w:color w:val="0C0C0C" w:themeColor="text1" w:themeTint="F2"/>
          <w:sz w:val="32"/>
          <w:szCs w:val="32"/>
        </w:rPr>
        <w:t>附表2</w:t>
      </w:r>
    </w:p>
    <w:p>
      <w:pPr>
        <w:spacing w:beforeLines="50"/>
        <w:jc w:val="center"/>
        <w:rPr>
          <w:rFonts w:ascii="仿宋_GB2312" w:eastAsia="仿宋_GB2312"/>
          <w:b/>
          <w:bCs/>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2020年餐具饮具集中消毒服务单位国家随机监督抽查工作计划表</w:t>
      </w:r>
    </w:p>
    <w:tbl>
      <w:tblPr>
        <w:tblStyle w:val="7"/>
        <w:tblW w:w="139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7" w:type="dxa"/>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监督检查对象</w:t>
            </w:r>
          </w:p>
        </w:tc>
        <w:tc>
          <w:tcPr>
            <w:tcW w:w="3577" w:type="dxa"/>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范围和数量</w:t>
            </w:r>
          </w:p>
        </w:tc>
        <w:tc>
          <w:tcPr>
            <w:tcW w:w="5215" w:type="dxa"/>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检查内容</w:t>
            </w:r>
          </w:p>
        </w:tc>
        <w:tc>
          <w:tcPr>
            <w:tcW w:w="3392" w:type="dxa"/>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77" w:type="dxa"/>
            <w:vAlign w:val="center"/>
          </w:tcPr>
          <w:p>
            <w:pPr>
              <w:spacing w:line="240" w:lineRule="exact"/>
              <w:jc w:val="center"/>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餐具饮具集中消毒服务单位</w:t>
            </w:r>
          </w:p>
        </w:tc>
        <w:tc>
          <w:tcPr>
            <w:tcW w:w="3577" w:type="dxa"/>
            <w:vAlign w:val="center"/>
          </w:tcPr>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辖区全部生产企业</w:t>
            </w:r>
          </w:p>
        </w:tc>
        <w:tc>
          <w:tcPr>
            <w:tcW w:w="5215" w:type="dxa"/>
            <w:vAlign w:val="center"/>
          </w:tcPr>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1.用水符合国家饮用水卫生标准情况</w:t>
            </w:r>
          </w:p>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2.使用的洗涤剂、消毒剂符合国家食品安全标准情况</w:t>
            </w:r>
          </w:p>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3.消毒后的餐饮具进行逐批检验情况</w:t>
            </w:r>
          </w:p>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4.建立并遵守餐饮具出厂检验记录制度情况</w:t>
            </w:r>
          </w:p>
        </w:tc>
        <w:tc>
          <w:tcPr>
            <w:tcW w:w="3392" w:type="dxa"/>
            <w:vAlign w:val="center"/>
          </w:tcPr>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77" w:type="dxa"/>
            <w:vAlign w:val="center"/>
          </w:tcPr>
          <w:p>
            <w:pPr>
              <w:spacing w:line="240" w:lineRule="exact"/>
              <w:jc w:val="center"/>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出厂餐饮具</w:t>
            </w:r>
          </w:p>
        </w:tc>
        <w:tc>
          <w:tcPr>
            <w:tcW w:w="3577" w:type="dxa"/>
            <w:vAlign w:val="center"/>
          </w:tcPr>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每个企业抽查1-2个批次出厂餐饮具</w:t>
            </w:r>
          </w:p>
        </w:tc>
        <w:tc>
          <w:tcPr>
            <w:tcW w:w="5215" w:type="dxa"/>
            <w:vAlign w:val="center"/>
          </w:tcPr>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1.出厂餐饮具随附消毒合格证明情况</w:t>
            </w:r>
          </w:p>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2.出厂餐饮具按规定在独立包装上标注相关内容情况</w:t>
            </w:r>
          </w:p>
        </w:tc>
        <w:tc>
          <w:tcPr>
            <w:tcW w:w="3392" w:type="dxa"/>
            <w:vAlign w:val="center"/>
          </w:tcPr>
          <w:p>
            <w:pPr>
              <w:spacing w:line="240" w:lineRule="exact"/>
              <w:rPr>
                <w:rFonts w:hint="eastAsia" w:ascii="仿宋_GB2312" w:hAnsi="仿宋_GB2312" w:eastAsia="仿宋_GB2312" w:cs="仿宋_GB2312"/>
                <w:color w:val="0C0C0C" w:themeColor="text1" w:themeTint="F2"/>
                <w:kern w:val="0"/>
                <w:sz w:val="24"/>
                <w:szCs w:val="24"/>
              </w:rPr>
            </w:pPr>
            <w:r>
              <w:rPr>
                <w:rFonts w:hint="eastAsia" w:ascii="仿宋_GB2312" w:hAnsi="仿宋_GB2312" w:eastAsia="仿宋_GB2312" w:cs="仿宋_GB2312"/>
                <w:color w:val="0C0C0C" w:themeColor="text1" w:themeTint="F2"/>
                <w:kern w:val="0"/>
                <w:sz w:val="24"/>
                <w:szCs w:val="24"/>
              </w:rPr>
              <w:t>感官要求，游离性余氯、阴离子合成洗涤剂</w:t>
            </w:r>
            <w:r>
              <w:rPr>
                <w:rFonts w:hint="eastAsia" w:ascii="仿宋_GB2312" w:hAnsi="仿宋_GB2312" w:eastAsia="仿宋_GB2312" w:cs="仿宋_GB2312"/>
                <w:color w:val="0C0C0C" w:themeColor="text1" w:themeTint="F2"/>
                <w:kern w:val="0"/>
                <w:sz w:val="24"/>
                <w:szCs w:val="24"/>
                <w:vertAlign w:val="superscript"/>
              </w:rPr>
              <w:t>（a）</w:t>
            </w:r>
            <w:r>
              <w:rPr>
                <w:rFonts w:hint="eastAsia" w:ascii="仿宋_GB2312" w:hAnsi="仿宋_GB2312" w:eastAsia="仿宋_GB2312" w:cs="仿宋_GB2312"/>
                <w:color w:val="0C0C0C" w:themeColor="text1" w:themeTint="F2"/>
                <w:kern w:val="0"/>
                <w:sz w:val="24"/>
                <w:szCs w:val="24"/>
              </w:rPr>
              <w:t>，大肠菌群、沙门氏菌</w:t>
            </w:r>
          </w:p>
        </w:tc>
      </w:tr>
    </w:tbl>
    <w:p>
      <w:pPr>
        <w:snapToGrid w:val="0"/>
        <w:spacing w:beforeLines="50" w:line="240" w:lineRule="exact"/>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4"/>
          <w:szCs w:val="24"/>
        </w:rPr>
        <w:t xml:space="preserve">    a.仅适用于化学消毒法。使用其他消毒方式的，游离性余氯、阴离子合成洗涤剂两项指标合理缺项。</w:t>
      </w:r>
    </w:p>
    <w:p>
      <w:pPr>
        <w:snapToGrid w:val="0"/>
        <w:spacing w:afterLines="50"/>
        <w:rPr>
          <w:rFonts w:hint="eastAsia" w:ascii="仿宋_GB2312" w:hAnsi="仿宋_GB2312" w:eastAsia="仿宋_GB2312" w:cs="仿宋_GB2312"/>
          <w:color w:val="0C0C0C" w:themeColor="text1" w:themeTint="F2"/>
          <w:sz w:val="21"/>
          <w:szCs w:val="21"/>
        </w:rPr>
      </w:pPr>
    </w:p>
    <w:p>
      <w:pPr>
        <w:snapToGrid w:val="0"/>
        <w:spacing w:beforeLines="50" w:afterLines="50"/>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br w:type="page"/>
      </w:r>
      <w:r>
        <w:rPr>
          <w:rFonts w:hint="eastAsia" w:ascii="黑体" w:hAnsi="黑体" w:eastAsia="黑体" w:cs="黑体"/>
          <w:color w:val="0C0C0C" w:themeColor="text1" w:themeTint="F2"/>
          <w:sz w:val="32"/>
          <w:szCs w:val="32"/>
        </w:rPr>
        <w:t>附表3</w:t>
      </w:r>
    </w:p>
    <w:p>
      <w:pPr>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2020年餐具饮具集中消毒服务单位国家随机监督抽查信息汇总表</w:t>
      </w:r>
    </w:p>
    <w:tbl>
      <w:tblPr>
        <w:tblStyle w:val="7"/>
        <w:tblW w:w="1393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8"/>
        <w:gridCol w:w="1016"/>
        <w:gridCol w:w="1027"/>
        <w:gridCol w:w="1027"/>
        <w:gridCol w:w="969"/>
        <w:gridCol w:w="1027"/>
        <w:gridCol w:w="1004"/>
        <w:gridCol w:w="1119"/>
        <w:gridCol w:w="1131"/>
        <w:gridCol w:w="1027"/>
        <w:gridCol w:w="1292"/>
        <w:gridCol w:w="877"/>
        <w:gridCol w:w="1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exact"/>
        </w:trPr>
        <w:tc>
          <w:tcPr>
            <w:tcW w:w="1338" w:type="dxa"/>
            <w:vMerge w:val="restart"/>
            <w:tcBorders>
              <w:top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检查</w:t>
            </w:r>
          </w:p>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单位数</w:t>
            </w:r>
          </w:p>
        </w:tc>
        <w:tc>
          <w:tcPr>
            <w:tcW w:w="7189"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生产管理合规单位数</w:t>
            </w:r>
          </w:p>
        </w:tc>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出厂餐饮具</w:t>
            </w:r>
          </w:p>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检测情况</w:t>
            </w:r>
          </w:p>
        </w:tc>
        <w:tc>
          <w:tcPr>
            <w:tcW w:w="1292"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依法调查处理单位数</w:t>
            </w:r>
          </w:p>
        </w:tc>
        <w:tc>
          <w:tcPr>
            <w:tcW w:w="877"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案件数</w:t>
            </w:r>
          </w:p>
        </w:tc>
        <w:tc>
          <w:tcPr>
            <w:tcW w:w="1084" w:type="dxa"/>
            <w:vMerge w:val="restart"/>
            <w:tcBorders>
              <w:top w:val="single" w:color="auto" w:sz="4" w:space="0"/>
              <w:lef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exact"/>
        </w:trPr>
        <w:tc>
          <w:tcPr>
            <w:tcW w:w="1338" w:type="dxa"/>
            <w:vMerge w:val="continue"/>
            <w:tcBorders>
              <w:bottom w:val="single" w:color="auto" w:sz="4" w:space="0"/>
              <w:right w:val="single" w:color="auto" w:sz="4" w:space="0"/>
            </w:tcBorders>
            <w:vAlign w:val="center"/>
          </w:tcPr>
          <w:p>
            <w:pPr>
              <w:rPr>
                <w:color w:val="0C0C0C" w:themeColor="text1" w:themeTint="F2"/>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用水</w:t>
            </w:r>
            <w:r>
              <w:rPr>
                <w:rFonts w:hint="eastAsia" w:ascii="黑体" w:hAnsi="黑体" w:eastAsia="黑体" w:cs="黑体"/>
                <w:color w:val="0C0C0C" w:themeColor="text1" w:themeTint="F2"/>
                <w:kern w:val="0"/>
                <w:sz w:val="24"/>
                <w:szCs w:val="24"/>
                <w:vertAlign w:val="superscript"/>
              </w:rPr>
              <w:t>（a）</w:t>
            </w: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使用洗涤剂、消毒剂</w:t>
            </w:r>
            <w:r>
              <w:rPr>
                <w:rFonts w:hint="eastAsia" w:ascii="黑体" w:hAnsi="黑体" w:eastAsia="黑体" w:cs="黑体"/>
                <w:color w:val="0C0C0C" w:themeColor="text1" w:themeTint="F2"/>
                <w:kern w:val="0"/>
                <w:sz w:val="24"/>
                <w:szCs w:val="24"/>
                <w:vertAlign w:val="superscript"/>
              </w:rPr>
              <w:t>（b）</w:t>
            </w: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消毒餐饮具逐批检验</w:t>
            </w:r>
          </w:p>
        </w:tc>
        <w:tc>
          <w:tcPr>
            <w:tcW w:w="9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餐饮具随附消毒合格证明</w:t>
            </w: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出厂检验记录</w:t>
            </w:r>
            <w:r>
              <w:rPr>
                <w:rFonts w:hint="eastAsia" w:ascii="黑体" w:hAnsi="黑体" w:eastAsia="黑体" w:cs="黑体"/>
                <w:color w:val="0C0C0C" w:themeColor="text1" w:themeTint="F2"/>
                <w:kern w:val="0"/>
                <w:sz w:val="24"/>
                <w:szCs w:val="24"/>
                <w:vertAlign w:val="superscript"/>
              </w:rPr>
              <w:t>（c）</w:t>
            </w: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出厂检验记录保存</w:t>
            </w: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餐饮具包装标注相关内容</w:t>
            </w:r>
            <w:r>
              <w:rPr>
                <w:rFonts w:hint="eastAsia" w:ascii="黑体" w:hAnsi="黑体" w:eastAsia="黑体" w:cs="黑体"/>
                <w:color w:val="0C0C0C" w:themeColor="text1" w:themeTint="F2"/>
                <w:kern w:val="0"/>
                <w:sz w:val="24"/>
                <w:szCs w:val="24"/>
                <w:vertAlign w:val="superscript"/>
              </w:rPr>
              <w:t>（d）</w:t>
            </w:r>
          </w:p>
        </w:tc>
        <w:tc>
          <w:tcPr>
            <w:tcW w:w="11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检测餐饮具套数</w:t>
            </w: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黑体" w:hAnsi="黑体" w:eastAsia="黑体" w:cs="黑体"/>
                <w:color w:val="0C0C0C" w:themeColor="text1" w:themeTint="F2"/>
                <w:kern w:val="0"/>
                <w:sz w:val="24"/>
                <w:szCs w:val="24"/>
              </w:rPr>
            </w:pPr>
            <w:r>
              <w:rPr>
                <w:rFonts w:hint="eastAsia" w:ascii="黑体" w:hAnsi="黑体" w:eastAsia="黑体" w:cs="黑体"/>
                <w:color w:val="0C0C0C" w:themeColor="text1" w:themeTint="F2"/>
                <w:kern w:val="0"/>
                <w:sz w:val="24"/>
                <w:szCs w:val="24"/>
              </w:rPr>
              <w:t>检测合格套数</w:t>
            </w:r>
          </w:p>
        </w:tc>
        <w:tc>
          <w:tcPr>
            <w:tcW w:w="1292" w:type="dxa"/>
            <w:vMerge w:val="continue"/>
            <w:tcBorders>
              <w:left w:val="single" w:color="auto" w:sz="4" w:space="0"/>
              <w:bottom w:val="single" w:color="auto" w:sz="4" w:space="0"/>
              <w:right w:val="single" w:color="auto" w:sz="4" w:space="0"/>
            </w:tcBorders>
            <w:vAlign w:val="center"/>
          </w:tcPr>
          <w:p>
            <w:pPr>
              <w:rPr>
                <w:color w:val="0C0C0C" w:themeColor="text1" w:themeTint="F2"/>
                <w:sz w:val="24"/>
                <w:szCs w:val="24"/>
              </w:rPr>
            </w:pPr>
          </w:p>
        </w:tc>
        <w:tc>
          <w:tcPr>
            <w:tcW w:w="877" w:type="dxa"/>
            <w:vMerge w:val="continue"/>
            <w:tcBorders>
              <w:left w:val="single" w:color="auto" w:sz="4" w:space="0"/>
              <w:bottom w:val="single" w:color="auto" w:sz="4" w:space="0"/>
              <w:right w:val="single" w:color="auto" w:sz="4" w:space="0"/>
            </w:tcBorders>
            <w:vAlign w:val="center"/>
          </w:tcPr>
          <w:p>
            <w:pPr>
              <w:rPr>
                <w:color w:val="0C0C0C" w:themeColor="text1" w:themeTint="F2"/>
                <w:sz w:val="24"/>
                <w:szCs w:val="24"/>
              </w:rPr>
            </w:pPr>
          </w:p>
        </w:tc>
        <w:tc>
          <w:tcPr>
            <w:tcW w:w="1084" w:type="dxa"/>
            <w:vMerge w:val="continue"/>
            <w:tcBorders>
              <w:left w:val="single" w:color="auto" w:sz="4" w:space="0"/>
              <w:bottom w:val="single" w:color="auto" w:sz="4" w:space="0"/>
            </w:tcBorders>
            <w:vAlign w:val="center"/>
          </w:tcPr>
          <w:p>
            <w:pPr>
              <w:rPr>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8" w:type="dxa"/>
            <w:tcBorders>
              <w:top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c>
          <w:tcPr>
            <w:tcW w:w="1084"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C0C0C" w:themeColor="text1" w:themeTint="F2"/>
                <w:kern w:val="0"/>
                <w:sz w:val="24"/>
                <w:szCs w:val="24"/>
              </w:rPr>
            </w:pPr>
          </w:p>
        </w:tc>
      </w:tr>
    </w:tbl>
    <w:p>
      <w:pPr>
        <w:keepNext w:val="0"/>
        <w:keepLines w:val="0"/>
        <w:pageBreakBefore w:val="0"/>
        <w:widowControl w:val="0"/>
        <w:tabs>
          <w:tab w:val="left" w:pos="709"/>
        </w:tabs>
        <w:kinsoku/>
        <w:wordWrap/>
        <w:overflowPunct/>
        <w:topLinePunct w:val="0"/>
        <w:autoSpaceDE/>
        <w:autoSpaceDN/>
        <w:bidi w:val="0"/>
        <w:adjustRightInd/>
        <w:snapToGrid/>
        <w:spacing w:beforeLines="50" w:line="400" w:lineRule="exact"/>
        <w:ind w:right="-216" w:rightChars="-103"/>
        <w:jc w:val="left"/>
        <w:textAlignment w:val="auto"/>
        <w:outlineLvl w:val="9"/>
        <w:rPr>
          <w:rFonts w:ascii="仿宋_GB2312" w:eastAsia="仿宋_GB2312"/>
          <w:color w:val="0C0C0C" w:themeColor="text1" w:themeTint="F2"/>
          <w:sz w:val="24"/>
          <w:szCs w:val="24"/>
        </w:rPr>
      </w:pPr>
      <w:r>
        <w:rPr>
          <w:rFonts w:hint="eastAsia" w:ascii="仿宋_GB2312" w:eastAsia="仿宋_GB2312" w:cs="华文仿宋"/>
          <w:color w:val="0C0C0C" w:themeColor="text1" w:themeTint="F2"/>
          <w:sz w:val="24"/>
          <w:szCs w:val="24"/>
        </w:rPr>
        <w:t xml:space="preserve">    a.用水由持有效卫生许可证供水单位供应的，原则上视为合规；用水为自建设施供水或其他方式供应的，检查水质检验报告，判定合规情况。</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_GB2312" w:eastAsia="仿宋_GB2312"/>
          <w:color w:val="0C0C0C" w:themeColor="text1" w:themeTint="F2"/>
          <w:sz w:val="24"/>
          <w:szCs w:val="24"/>
        </w:rPr>
      </w:pPr>
      <w:r>
        <w:rPr>
          <w:rFonts w:hint="eastAsia" w:ascii="仿宋_GB2312" w:eastAsia="仿宋_GB2312" w:cs="华文仿宋"/>
          <w:color w:val="0C0C0C" w:themeColor="text1" w:themeTint="F2"/>
          <w:sz w:val="24"/>
          <w:szCs w:val="24"/>
        </w:rPr>
        <w:t xml:space="preserve">    b.使用的洗涤剂和消毒剂均符合规定的判定为合规单位，有一项不符合规定的判定为不合规单位。</w:t>
      </w:r>
    </w:p>
    <w:p>
      <w:pPr>
        <w:keepNext w:val="0"/>
        <w:keepLines w:val="0"/>
        <w:pageBreakBefore w:val="0"/>
        <w:widowControl w:val="0"/>
        <w:kinsoku/>
        <w:wordWrap/>
        <w:overflowPunct/>
        <w:topLinePunct w:val="0"/>
        <w:autoSpaceDE/>
        <w:autoSpaceDN/>
        <w:bidi w:val="0"/>
        <w:adjustRightInd/>
        <w:snapToGrid/>
        <w:spacing w:line="400" w:lineRule="exact"/>
        <w:ind w:right="-122" w:rightChars="-58"/>
        <w:textAlignment w:val="auto"/>
        <w:outlineLvl w:val="9"/>
        <w:rPr>
          <w:rFonts w:ascii="仿宋_GB2312" w:eastAsia="仿宋_GB2312"/>
          <w:color w:val="0C0C0C" w:themeColor="text1" w:themeTint="F2"/>
          <w:sz w:val="24"/>
          <w:szCs w:val="24"/>
        </w:rPr>
      </w:pPr>
      <w:r>
        <w:rPr>
          <w:rFonts w:hint="eastAsia" w:ascii="仿宋_GB2312" w:eastAsia="仿宋_GB2312" w:cs="华文仿宋"/>
          <w:color w:val="0C0C0C" w:themeColor="text1" w:themeTint="F2"/>
          <w:sz w:val="24"/>
          <w:szCs w:val="24"/>
        </w:rPr>
        <w:t xml:space="preserve">    c.指建立出厂检验记录并记录出厂餐具饮具数量、消毒日期和批号、使用期限、出厂日期以及委托方名称、地址、联系方式等内容，缺项视为不合规。</w:t>
      </w:r>
    </w:p>
    <w:p>
      <w:pPr>
        <w:keepNext w:val="0"/>
        <w:keepLines w:val="0"/>
        <w:pageBreakBefore w:val="0"/>
        <w:widowControl w:val="0"/>
        <w:kinsoku/>
        <w:wordWrap/>
        <w:overflowPunct/>
        <w:topLinePunct w:val="0"/>
        <w:autoSpaceDE/>
        <w:autoSpaceDN/>
        <w:bidi w:val="0"/>
        <w:adjustRightInd/>
        <w:snapToGrid/>
        <w:spacing w:line="400" w:lineRule="exact"/>
        <w:ind w:right="-643" w:rightChars="-306"/>
        <w:textAlignment w:val="auto"/>
        <w:outlineLvl w:val="9"/>
        <w:rPr>
          <w:rFonts w:ascii="仿宋_GB2312" w:eastAsia="仿宋_GB2312"/>
          <w:color w:val="0C0C0C" w:themeColor="text1" w:themeTint="F2"/>
          <w:sz w:val="24"/>
          <w:szCs w:val="24"/>
        </w:rPr>
      </w:pPr>
      <w:r>
        <w:rPr>
          <w:rFonts w:hint="eastAsia" w:ascii="仿宋_GB2312" w:eastAsia="仿宋_GB2312" w:cs="华文仿宋"/>
          <w:color w:val="0C0C0C" w:themeColor="text1" w:themeTint="F2"/>
          <w:sz w:val="24"/>
          <w:szCs w:val="24"/>
        </w:rPr>
        <w:t xml:space="preserve">    d.指消毒后的餐具饮具在独立包装上标注单位名称、地址、联系方式、消毒日期和批号以及使用期限等内容，缺项视为不合规。</w:t>
      </w:r>
    </w:p>
    <w:p>
      <w:pPr>
        <w:adjustRightInd w:val="0"/>
        <w:snapToGrid w:val="0"/>
        <w:spacing w:line="560" w:lineRule="exact"/>
        <w:ind w:firstLine="640" w:firstLineChars="200"/>
        <w:rPr>
          <w:rFonts w:ascii="仿宋_GB2312" w:eastAsia="仿宋_GB2312"/>
          <w:color w:val="0C0C0C" w:themeColor="text1" w:themeTint="F2"/>
          <w:sz w:val="32"/>
          <w:szCs w:val="32"/>
        </w:rPr>
        <w:sectPr>
          <w:pgSz w:w="16838" w:h="11906" w:orient="landscape"/>
          <w:pgMar w:top="1701" w:right="1418" w:bottom="1417" w:left="1418"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eastAsia="黑体"/>
          <w:color w:val="0C0C0C" w:themeColor="text1" w:themeTint="F2"/>
          <w:sz w:val="32"/>
          <w:szCs w:val="32"/>
        </w:rPr>
      </w:pPr>
      <w:r>
        <w:rPr>
          <w:rFonts w:hint="eastAsia" w:ascii="黑体" w:eastAsia="黑体" w:cs="黑体"/>
          <w:color w:val="0C0C0C" w:themeColor="text1" w:themeTint="F2"/>
          <w:sz w:val="32"/>
          <w:szCs w:val="32"/>
        </w:rPr>
        <w:t>二、生活饮用水卫生</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（一）监督检查内容。</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1.生活饮用水卫生。抽查集中式供水、小型集中式供水、二次供水的卫生管理情况，抽查供水水质。推进农村集中式供水卫生安全巡查服务，建立健全农村集中式供水基本情况和卫生安全巡查档案。</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涉及饮用水卫生安全产品。抽查涉水产品生产经营单位、在华责任单位生产经营合规性情况，抽查输配水设备、水处理材料、化学处理剂和水质处理器产品卫生质量。抽查现制现售饮用水自动售水机的应用现场。</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（二）结果报送要求。</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各地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农村集中式供水卫生安全巡查上报数据信息，将作为评估各地落实“十三五”规划目标任务的重要依据。</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2.各地要在2020年8月31日前，各地全面完成数据信息填报以及农村设计日供水100吨及以上集中式供水、二次供水的建档立卡工作。</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3.各地要强化处理措施，对监督检查中发现的突出问题，及时向当地政府主管部门通报情况，促进协同监管；对违法案件线索，要及时通报、组织协查。重大案件信息要及时向我委报告。</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 xml:space="preserve">联 系 人：自治区卫生监督所监督二科 吴太维 黄川鸿 </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联系电话：0771-5320553</w:t>
      </w: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outlineLvl w:val="9"/>
        <w:rPr>
          <w:rFonts w:hint="eastAsia" w:ascii="仿宋_GB2312" w:eastAsia="仿宋_GB2312" w:cs="仿宋"/>
          <w:color w:val="0C0C0C" w:themeColor="text1" w:themeTint="F2"/>
          <w:sz w:val="32"/>
          <w:szCs w:val="32"/>
          <w:lang w:eastAsia="zh-CN"/>
        </w:rPr>
      </w:pPr>
      <w:r>
        <w:rPr>
          <w:rFonts w:hint="eastAsia" w:ascii="仿宋_GB2312" w:eastAsia="仿宋_GB2312" w:cs="仿宋"/>
          <w:color w:val="0C0C0C" w:themeColor="text1" w:themeTint="F2"/>
          <w:sz w:val="32"/>
          <w:szCs w:val="32"/>
          <w:lang w:eastAsia="zh-CN"/>
        </w:rPr>
        <w:t>　　</w:t>
      </w: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outlineLvl w:val="9"/>
        <w:rPr>
          <w:rFonts w:ascii="仿宋_GB2312" w:eastAsia="仿宋_GB2312"/>
          <w:color w:val="0C0C0C" w:themeColor="text1" w:themeTint="F2"/>
          <w:spacing w:val="-11"/>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附表：1.</w:t>
      </w:r>
      <w:r>
        <w:rPr>
          <w:rFonts w:hint="eastAsia" w:ascii="仿宋_GB2312" w:eastAsia="仿宋_GB2312" w:cs="仿宋"/>
          <w:color w:val="0C0C0C" w:themeColor="text1" w:themeTint="F2"/>
          <w:spacing w:val="-11"/>
          <w:sz w:val="32"/>
          <w:szCs w:val="32"/>
        </w:rPr>
        <w:t>2020年生活饮用水卫生国家随机监督抽查工作计划表</w:t>
      </w:r>
    </w:p>
    <w:p>
      <w:pPr>
        <w:keepNext w:val="0"/>
        <w:keepLines w:val="0"/>
        <w:pageBreakBefore w:val="0"/>
        <w:widowControl w:val="0"/>
        <w:kinsoku/>
        <w:wordWrap/>
        <w:overflowPunct/>
        <w:topLinePunct w:val="0"/>
        <w:autoSpaceDE/>
        <w:autoSpaceDN/>
        <w:bidi w:val="0"/>
        <w:spacing w:line="560" w:lineRule="exact"/>
        <w:ind w:left="1593" w:leftChars="704" w:hanging="115" w:hangingChars="36"/>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2.2020年涉水产品国家随机监督抽查工作计划表</w:t>
      </w:r>
    </w:p>
    <w:p>
      <w:pPr>
        <w:keepNext w:val="0"/>
        <w:keepLines w:val="0"/>
        <w:pageBreakBefore w:val="0"/>
        <w:widowControl w:val="0"/>
        <w:kinsoku/>
        <w:wordWrap/>
        <w:overflowPunct/>
        <w:topLinePunct w:val="0"/>
        <w:autoSpaceDE/>
        <w:autoSpaceDN/>
        <w:bidi w:val="0"/>
        <w:spacing w:line="560" w:lineRule="exact"/>
        <w:ind w:left="1492" w:leftChars="703" w:hanging="16" w:hangingChars="5"/>
        <w:textAlignment w:val="auto"/>
        <w:outlineLvl w:val="9"/>
        <w:rPr>
          <w:rFonts w:hint="eastAsia" w:ascii="仿宋_GB2312" w:eastAsia="仿宋_GB2312" w:cs="仿宋"/>
          <w:color w:val="0C0C0C" w:themeColor="text1" w:themeTint="F2"/>
          <w:spacing w:val="-6"/>
          <w:sz w:val="32"/>
          <w:szCs w:val="32"/>
        </w:rPr>
      </w:pPr>
      <w:r>
        <w:rPr>
          <w:rFonts w:hint="eastAsia" w:ascii="仿宋_GB2312" w:eastAsia="仿宋_GB2312" w:cs="仿宋"/>
          <w:color w:val="0C0C0C" w:themeColor="text1" w:themeTint="F2"/>
          <w:sz w:val="32"/>
          <w:szCs w:val="32"/>
        </w:rPr>
        <w:t>3.</w:t>
      </w:r>
      <w:r>
        <w:rPr>
          <w:rFonts w:hint="eastAsia" w:ascii="仿宋_GB2312" w:eastAsia="仿宋_GB2312" w:cs="仿宋"/>
          <w:color w:val="0C0C0C" w:themeColor="text1" w:themeTint="F2"/>
          <w:spacing w:val="-6"/>
          <w:sz w:val="32"/>
          <w:szCs w:val="32"/>
        </w:rPr>
        <w:t>2020年小型集中式供水卫生安全巡查覆盖乡镇情况</w:t>
      </w:r>
    </w:p>
    <w:p>
      <w:pPr>
        <w:keepNext w:val="0"/>
        <w:keepLines w:val="0"/>
        <w:pageBreakBefore w:val="0"/>
        <w:widowControl w:val="0"/>
        <w:kinsoku/>
        <w:wordWrap/>
        <w:overflowPunct/>
        <w:topLinePunct w:val="0"/>
        <w:autoSpaceDE/>
        <w:autoSpaceDN/>
        <w:bidi w:val="0"/>
        <w:spacing w:line="560" w:lineRule="exact"/>
        <w:ind w:left="1491" w:leftChars="703" w:hanging="15" w:hangingChars="5"/>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pacing w:val="-6"/>
          <w:sz w:val="32"/>
          <w:szCs w:val="32"/>
          <w:lang w:eastAsia="zh-CN"/>
        </w:rPr>
        <w:t>　</w:t>
      </w:r>
      <w:r>
        <w:rPr>
          <w:rFonts w:hint="eastAsia" w:ascii="仿宋_GB2312" w:eastAsia="仿宋_GB2312" w:cs="仿宋"/>
          <w:color w:val="0C0C0C" w:themeColor="text1" w:themeTint="F2"/>
          <w:sz w:val="32"/>
          <w:szCs w:val="32"/>
        </w:rPr>
        <w:t>汇总表</w:t>
      </w:r>
    </w:p>
    <w:p>
      <w:pPr>
        <w:keepNext w:val="0"/>
        <w:keepLines w:val="0"/>
        <w:pageBreakBefore w:val="0"/>
        <w:widowControl w:val="0"/>
        <w:kinsoku/>
        <w:wordWrap/>
        <w:overflowPunct/>
        <w:topLinePunct w:val="0"/>
        <w:autoSpaceDE/>
        <w:autoSpaceDN/>
        <w:bidi w:val="0"/>
        <w:spacing w:line="560" w:lineRule="exact"/>
        <w:ind w:left="1492" w:leftChars="703" w:hanging="16" w:hangingChars="5"/>
        <w:textAlignment w:val="auto"/>
        <w:outlineLvl w:val="9"/>
        <w:rPr>
          <w:rFonts w:hint="eastAsia"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4.2020年小型集中式供水和二次供水水质国家随机</w:t>
      </w:r>
    </w:p>
    <w:p>
      <w:pPr>
        <w:keepNext w:val="0"/>
        <w:keepLines w:val="0"/>
        <w:pageBreakBefore w:val="0"/>
        <w:widowControl w:val="0"/>
        <w:kinsoku/>
        <w:wordWrap/>
        <w:overflowPunct/>
        <w:topLinePunct w:val="0"/>
        <w:autoSpaceDE/>
        <w:autoSpaceDN/>
        <w:bidi w:val="0"/>
        <w:spacing w:line="560" w:lineRule="exact"/>
        <w:ind w:left="1492" w:leftChars="703" w:hanging="16" w:hangingChars="5"/>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监督抽查信息汇总表</w:t>
      </w:r>
    </w:p>
    <w:p>
      <w:pPr>
        <w:keepNext w:val="0"/>
        <w:keepLines w:val="0"/>
        <w:pageBreakBefore w:val="0"/>
        <w:widowControl w:val="0"/>
        <w:kinsoku/>
        <w:wordWrap/>
        <w:overflowPunct/>
        <w:topLinePunct w:val="0"/>
        <w:autoSpaceDE/>
        <w:autoSpaceDN/>
        <w:bidi w:val="0"/>
        <w:spacing w:line="560" w:lineRule="exact"/>
        <w:ind w:left="1492" w:leftChars="703" w:hanging="16" w:hangingChars="5"/>
        <w:textAlignment w:val="auto"/>
        <w:outlineLvl w:val="9"/>
        <w:rPr>
          <w:rFonts w:hint="eastAsia"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5.2020年二次供水卫生管理国家随机监督抽查信息</w:t>
      </w:r>
    </w:p>
    <w:p>
      <w:pPr>
        <w:keepNext w:val="0"/>
        <w:keepLines w:val="0"/>
        <w:pageBreakBefore w:val="0"/>
        <w:widowControl w:val="0"/>
        <w:kinsoku/>
        <w:wordWrap/>
        <w:overflowPunct/>
        <w:topLinePunct w:val="0"/>
        <w:autoSpaceDE/>
        <w:autoSpaceDN/>
        <w:bidi w:val="0"/>
        <w:spacing w:line="560" w:lineRule="exact"/>
        <w:ind w:left="1492" w:leftChars="703" w:hanging="16" w:hangingChars="5"/>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汇总表</w:t>
      </w:r>
    </w:p>
    <w:p>
      <w:pPr>
        <w:keepNext w:val="0"/>
        <w:keepLines w:val="0"/>
        <w:pageBreakBefore w:val="0"/>
        <w:widowControl w:val="0"/>
        <w:kinsoku/>
        <w:wordWrap/>
        <w:overflowPunct/>
        <w:topLinePunct w:val="0"/>
        <w:autoSpaceDE/>
        <w:autoSpaceDN/>
        <w:bidi w:val="0"/>
        <w:spacing w:line="560" w:lineRule="exact"/>
        <w:ind w:firstLine="1480"/>
        <w:textAlignment w:val="auto"/>
        <w:outlineLvl w:val="9"/>
        <w:rPr>
          <w:rFonts w:hint="eastAsia"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6.2020年涉水产品经营单位国家随机监督抽查信息</w:t>
      </w:r>
    </w:p>
    <w:p>
      <w:pPr>
        <w:keepNext w:val="0"/>
        <w:keepLines w:val="0"/>
        <w:pageBreakBefore w:val="0"/>
        <w:widowControl w:val="0"/>
        <w:kinsoku/>
        <w:wordWrap/>
        <w:overflowPunct/>
        <w:topLinePunct w:val="0"/>
        <w:autoSpaceDE/>
        <w:autoSpaceDN/>
        <w:bidi w:val="0"/>
        <w:spacing w:line="560" w:lineRule="exact"/>
        <w:ind w:firstLine="1480"/>
        <w:textAlignment w:val="auto"/>
        <w:outlineLvl w:val="9"/>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 xml:space="preserve">汇总表         </w:t>
      </w:r>
    </w:p>
    <w:p>
      <w:pPr>
        <w:keepNext w:val="0"/>
        <w:keepLines w:val="0"/>
        <w:pageBreakBefore w:val="0"/>
        <w:widowControl w:val="0"/>
        <w:kinsoku/>
        <w:wordWrap/>
        <w:overflowPunct/>
        <w:topLinePunct w:val="0"/>
        <w:autoSpaceDE/>
        <w:autoSpaceDN/>
        <w:bidi w:val="0"/>
        <w:spacing w:line="560" w:lineRule="exact"/>
        <w:ind w:firstLine="1480"/>
        <w:jc w:val="distribute"/>
        <w:textAlignment w:val="auto"/>
        <w:outlineLvl w:val="9"/>
        <w:rPr>
          <w:rFonts w:ascii="仿宋_GB2312" w:eastAsia="仿宋_GB2312"/>
          <w:color w:val="0C0C0C" w:themeColor="text1" w:themeTint="F2"/>
          <w:sz w:val="32"/>
          <w:szCs w:val="32"/>
        </w:rPr>
        <w:sectPr>
          <w:pgSz w:w="11906" w:h="16838"/>
          <w:pgMar w:top="1701" w:right="1417" w:bottom="1417" w:left="1701" w:header="851" w:footer="992" w:gutter="0"/>
          <w:pgNumType w:fmt="decimal"/>
          <w:cols w:space="0" w:num="1"/>
          <w:rtlGutter w:val="0"/>
          <w:docGrid w:type="lines" w:linePitch="312" w:charSpace="0"/>
        </w:sectPr>
      </w:pPr>
    </w:p>
    <w:p>
      <w:pPr>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附表1</w:t>
      </w:r>
    </w:p>
    <w:p>
      <w:pPr>
        <w:spacing w:beforeLines="50"/>
        <w:rPr>
          <w:rFonts w:hint="eastAsia" w:ascii="方正小标宋简体" w:hAnsi="方正小标宋简体" w:eastAsia="方正小标宋简体" w:cs="方正小标宋简体"/>
          <w:b w:val="0"/>
          <w:bCs w:val="0"/>
          <w:color w:val="0C0C0C" w:themeColor="text1" w:themeTint="F2"/>
          <w:sz w:val="44"/>
          <w:szCs w:val="44"/>
        </w:rPr>
      </w:pPr>
      <w:r>
        <w:rPr>
          <w:rFonts w:hint="eastAsia" w:ascii="仿宋_GB2312" w:eastAsia="仿宋_GB2312" w:cs="黑体"/>
          <w:color w:val="0C0C0C" w:themeColor="text1" w:themeTint="F2"/>
          <w:sz w:val="30"/>
          <w:szCs w:val="30"/>
        </w:rPr>
        <w:t xml:space="preserve">          </w:t>
      </w:r>
      <w:r>
        <w:rPr>
          <w:rFonts w:hint="eastAsia" w:ascii="方正小标宋简体" w:hAnsi="方正小标宋简体" w:eastAsia="方正小标宋简体" w:cs="方正小标宋简体"/>
          <w:b w:val="0"/>
          <w:bCs w:val="0"/>
          <w:color w:val="0C0C0C" w:themeColor="text1" w:themeTint="F2"/>
          <w:sz w:val="44"/>
          <w:szCs w:val="44"/>
        </w:rPr>
        <w:t xml:space="preserve"> 2020年生活饮用水卫生国家随机监督抽查工作计划表</w:t>
      </w:r>
    </w:p>
    <w:tbl>
      <w:tblPr>
        <w:tblStyle w:val="7"/>
        <w:tblW w:w="13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6237"/>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71" w:type="dxa"/>
            <w:vAlign w:val="center"/>
          </w:tcPr>
          <w:p>
            <w:pPr>
              <w:spacing w:line="32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监督检查对象</w:t>
            </w:r>
            <w:r>
              <w:rPr>
                <w:rFonts w:hint="eastAsia" w:ascii="黑体" w:hAnsi="黑体" w:eastAsia="黑体" w:cs="黑体"/>
                <w:color w:val="0C0C0C" w:themeColor="text1" w:themeTint="F2"/>
                <w:sz w:val="21"/>
                <w:szCs w:val="21"/>
                <w:vertAlign w:val="superscript"/>
              </w:rPr>
              <w:t>（a）</w:t>
            </w:r>
          </w:p>
        </w:tc>
        <w:tc>
          <w:tcPr>
            <w:tcW w:w="6237" w:type="dxa"/>
            <w:vAlign w:val="center"/>
          </w:tcPr>
          <w:p>
            <w:pPr>
              <w:spacing w:line="32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范围和数量</w:t>
            </w:r>
          </w:p>
        </w:tc>
        <w:tc>
          <w:tcPr>
            <w:tcW w:w="4111" w:type="dxa"/>
            <w:vAlign w:val="center"/>
          </w:tcPr>
          <w:p>
            <w:pPr>
              <w:spacing w:line="32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检查内容</w:t>
            </w:r>
          </w:p>
        </w:tc>
        <w:tc>
          <w:tcPr>
            <w:tcW w:w="1875" w:type="dxa"/>
            <w:vAlign w:val="center"/>
          </w:tcPr>
          <w:p>
            <w:pPr>
              <w:spacing w:line="32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71" w:type="dxa"/>
            <w:vAlign w:val="center"/>
          </w:tcPr>
          <w:p>
            <w:pPr>
              <w:spacing w:line="24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城市集中式供水</w:t>
            </w:r>
          </w:p>
        </w:tc>
        <w:tc>
          <w:tcPr>
            <w:tcW w:w="6237" w:type="dxa"/>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辖区城市城区和县城的全部水厂</w:t>
            </w:r>
          </w:p>
        </w:tc>
        <w:tc>
          <w:tcPr>
            <w:tcW w:w="4111" w:type="dxa"/>
            <w:vMerge w:val="restart"/>
            <w:vAlign w:val="center"/>
          </w:tcPr>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1.持有卫生许可证情况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2.水源卫生防护情况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3.供管水人员健康体检和培训情况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4.涉水产品卫生许可批件情况</w:t>
            </w:r>
          </w:p>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5.水质消毒情况</w:t>
            </w:r>
          </w:p>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6.水质自检情况</w:t>
            </w:r>
            <w:r>
              <w:rPr>
                <w:rFonts w:hint="eastAsia" w:ascii="仿宋_GB2312" w:eastAsia="仿宋_GB2312" w:cs="华文仿宋"/>
                <w:color w:val="0C0C0C" w:themeColor="text1" w:themeTint="F2"/>
                <w:sz w:val="21"/>
                <w:szCs w:val="21"/>
                <w:vertAlign w:val="superscript"/>
              </w:rPr>
              <w:t>（e）</w:t>
            </w:r>
          </w:p>
        </w:tc>
        <w:tc>
          <w:tcPr>
            <w:tcW w:w="1875" w:type="dxa"/>
            <w:vMerge w:val="restart"/>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71" w:type="dxa"/>
            <w:vAlign w:val="center"/>
          </w:tcPr>
          <w:p>
            <w:pPr>
              <w:spacing w:line="24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农村集中式供水</w:t>
            </w:r>
            <w:r>
              <w:rPr>
                <w:rFonts w:hint="eastAsia" w:ascii="仿宋_GB2312" w:eastAsia="仿宋_GB2312" w:cs="华文仿宋"/>
                <w:color w:val="0C0C0C" w:themeColor="text1" w:themeTint="F2"/>
                <w:sz w:val="21"/>
                <w:szCs w:val="21"/>
                <w:vertAlign w:val="superscript"/>
              </w:rPr>
              <w:t>（b）</w:t>
            </w:r>
          </w:p>
        </w:tc>
        <w:tc>
          <w:tcPr>
            <w:tcW w:w="6237" w:type="dxa"/>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辖区农村全部设计日供水1000m</w:t>
            </w:r>
            <w:r>
              <w:rPr>
                <w:rFonts w:hint="eastAsia" w:ascii="仿宋_GB2312" w:eastAsia="仿宋_GB2312" w:cs="华文仿宋"/>
                <w:color w:val="0C0C0C" w:themeColor="text1" w:themeTint="F2"/>
                <w:sz w:val="21"/>
                <w:szCs w:val="21"/>
                <w:vertAlign w:val="superscript"/>
              </w:rPr>
              <w:t>3</w:t>
            </w:r>
            <w:r>
              <w:rPr>
                <w:rFonts w:hint="eastAsia" w:ascii="仿宋_GB2312" w:eastAsia="仿宋_GB2312" w:cs="华文仿宋"/>
                <w:color w:val="0C0C0C" w:themeColor="text1" w:themeTint="F2"/>
                <w:sz w:val="21"/>
                <w:szCs w:val="21"/>
              </w:rPr>
              <w:t>以上水厂</w:t>
            </w:r>
          </w:p>
        </w:tc>
        <w:tc>
          <w:tcPr>
            <w:tcW w:w="4111" w:type="dxa"/>
            <w:vMerge w:val="continue"/>
            <w:vAlign w:val="center"/>
          </w:tcPr>
          <w:p>
            <w:pPr>
              <w:rPr>
                <w:color w:val="0C0C0C" w:themeColor="text1" w:themeTint="F2"/>
                <w:sz w:val="21"/>
                <w:szCs w:val="21"/>
              </w:rPr>
            </w:pPr>
          </w:p>
        </w:tc>
        <w:tc>
          <w:tcPr>
            <w:tcW w:w="1875"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vMerge w:val="restart"/>
            <w:vAlign w:val="center"/>
          </w:tcPr>
          <w:p>
            <w:pPr>
              <w:spacing w:line="24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小型集中式供水</w:t>
            </w:r>
          </w:p>
        </w:tc>
        <w:tc>
          <w:tcPr>
            <w:tcW w:w="6237" w:type="dxa"/>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每个县、县级市辖区在用小型集中式供水的乡镇数的至少30%</w:t>
            </w:r>
            <w:r>
              <w:rPr>
                <w:rFonts w:hint="eastAsia" w:ascii="仿宋_GB2312" w:eastAsia="仿宋_GB2312" w:cs="华文仿宋"/>
                <w:color w:val="0C0C0C" w:themeColor="text1" w:themeTint="F2"/>
                <w:sz w:val="21"/>
                <w:szCs w:val="21"/>
                <w:vertAlign w:val="superscript"/>
              </w:rPr>
              <w:t>（c）</w:t>
            </w:r>
          </w:p>
        </w:tc>
        <w:tc>
          <w:tcPr>
            <w:tcW w:w="4111" w:type="dxa"/>
            <w:vMerge w:val="restart"/>
            <w:vAlign w:val="center"/>
          </w:tcPr>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1.饮用水卫生安全巡查服务开展情况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2.持有卫生许可证情况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3.处罚情况</w:t>
            </w:r>
          </w:p>
        </w:tc>
        <w:tc>
          <w:tcPr>
            <w:tcW w:w="1875"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vMerge w:val="continue"/>
            <w:vAlign w:val="center"/>
          </w:tcPr>
          <w:p>
            <w:pPr>
              <w:rPr>
                <w:color w:val="0C0C0C" w:themeColor="text1" w:themeTint="F2"/>
                <w:sz w:val="21"/>
                <w:szCs w:val="21"/>
              </w:rPr>
            </w:pPr>
          </w:p>
        </w:tc>
        <w:tc>
          <w:tcPr>
            <w:tcW w:w="6237" w:type="dxa"/>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每个县、县级市辖区农村设计日供水100m</w:t>
            </w:r>
            <w:r>
              <w:rPr>
                <w:rFonts w:hint="eastAsia" w:ascii="仿宋_GB2312" w:eastAsia="仿宋_GB2312" w:cs="华文仿宋"/>
                <w:color w:val="0C0C0C" w:themeColor="text1" w:themeTint="F2"/>
                <w:sz w:val="21"/>
                <w:szCs w:val="21"/>
                <w:vertAlign w:val="superscript"/>
              </w:rPr>
              <w:t>3</w:t>
            </w:r>
            <w:r>
              <w:rPr>
                <w:rFonts w:hint="eastAsia" w:ascii="仿宋_GB2312" w:eastAsia="仿宋_GB2312" w:cs="华文仿宋"/>
                <w:color w:val="0C0C0C" w:themeColor="text1" w:themeTint="F2"/>
                <w:sz w:val="21"/>
                <w:szCs w:val="21"/>
              </w:rPr>
              <w:t>以上水厂数的30%</w:t>
            </w:r>
            <w:r>
              <w:rPr>
                <w:rFonts w:hint="eastAsia" w:ascii="仿宋_GB2312" w:eastAsia="仿宋_GB2312" w:cs="华文仿宋"/>
                <w:color w:val="0C0C0C" w:themeColor="text1" w:themeTint="F2"/>
                <w:sz w:val="21"/>
                <w:szCs w:val="21"/>
                <w:vertAlign w:val="superscript"/>
              </w:rPr>
              <w:t>（d）</w:t>
            </w:r>
          </w:p>
        </w:tc>
        <w:tc>
          <w:tcPr>
            <w:tcW w:w="4111" w:type="dxa"/>
            <w:vMerge w:val="continue"/>
            <w:vAlign w:val="center"/>
          </w:tcPr>
          <w:p>
            <w:pPr>
              <w:rPr>
                <w:color w:val="0C0C0C" w:themeColor="text1" w:themeTint="F2"/>
                <w:sz w:val="21"/>
                <w:szCs w:val="21"/>
              </w:rPr>
            </w:pPr>
          </w:p>
        </w:tc>
        <w:tc>
          <w:tcPr>
            <w:tcW w:w="1875"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771" w:type="dxa"/>
            <w:vAlign w:val="center"/>
          </w:tcPr>
          <w:p>
            <w:pPr>
              <w:spacing w:line="24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二次供水</w:t>
            </w:r>
          </w:p>
        </w:tc>
        <w:tc>
          <w:tcPr>
            <w:tcW w:w="6237" w:type="dxa"/>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每个县（区）10个二次供水设施，不足10个的全部检查</w:t>
            </w:r>
            <w:r>
              <w:rPr>
                <w:rFonts w:hint="eastAsia" w:ascii="仿宋_GB2312" w:eastAsia="仿宋_GB2312" w:cs="华文仿宋"/>
                <w:color w:val="0C0C0C" w:themeColor="text1" w:themeTint="F2"/>
                <w:sz w:val="21"/>
                <w:szCs w:val="21"/>
                <w:vertAlign w:val="superscript"/>
              </w:rPr>
              <w:t>（d）</w:t>
            </w:r>
          </w:p>
        </w:tc>
        <w:tc>
          <w:tcPr>
            <w:tcW w:w="4111" w:type="dxa"/>
            <w:vAlign w:val="center"/>
          </w:tcPr>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1.供管水人员持健康体检和培训情况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2.设施防护及周围环境情况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3.储水设备定期清洗消毒情况</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4.水质自检情况</w:t>
            </w:r>
            <w:r>
              <w:rPr>
                <w:rFonts w:hint="eastAsia" w:ascii="仿宋_GB2312" w:eastAsia="仿宋_GB2312" w:cs="华文仿宋"/>
                <w:color w:val="0C0C0C" w:themeColor="text1" w:themeTint="F2"/>
                <w:sz w:val="21"/>
                <w:szCs w:val="21"/>
                <w:vertAlign w:val="superscript"/>
              </w:rPr>
              <w:t>（e）</w:t>
            </w:r>
          </w:p>
          <w:p>
            <w:pPr>
              <w:spacing w:line="24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5.饮用水卫生安全巡查服务开展情况</w:t>
            </w:r>
          </w:p>
        </w:tc>
        <w:tc>
          <w:tcPr>
            <w:tcW w:w="1875" w:type="dxa"/>
            <w:vAlign w:val="center"/>
          </w:tcPr>
          <w:p>
            <w:pPr>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出厂水色度、浑浊度、臭和味、肉眼可见物、pH和消毒剂余量</w:t>
            </w:r>
          </w:p>
        </w:tc>
      </w:tr>
    </w:tbl>
    <w:p>
      <w:pPr>
        <w:spacing w:beforeLines="50" w:line="240" w:lineRule="exact"/>
        <w:jc w:val="left"/>
        <w:rPr>
          <w:rFonts w:ascii="仿宋_GB2312" w:eastAsia="仿宋_GB2312"/>
          <w:color w:val="0C0C0C" w:themeColor="text1" w:themeTint="F2"/>
          <w:kern w:val="0"/>
          <w:sz w:val="21"/>
          <w:szCs w:val="21"/>
        </w:rPr>
      </w:pPr>
      <w:r>
        <w:rPr>
          <w:rFonts w:hint="eastAsia" w:ascii="仿宋_GB2312" w:eastAsia="仿宋_GB2312" w:cs="华文仿宋"/>
          <w:color w:val="0C0C0C" w:themeColor="text1" w:themeTint="F2"/>
          <w:kern w:val="0"/>
          <w:sz w:val="21"/>
          <w:szCs w:val="21"/>
        </w:rPr>
        <w:t xml:space="preserve">    a.不含学校内的自建设施集中式供水和二次供水。</w:t>
      </w:r>
    </w:p>
    <w:p>
      <w:pPr>
        <w:spacing w:line="240" w:lineRule="exact"/>
        <w:jc w:val="left"/>
        <w:rPr>
          <w:rFonts w:ascii="仿宋_GB2312" w:eastAsia="仿宋_GB2312"/>
          <w:color w:val="0C0C0C" w:themeColor="text1" w:themeTint="F2"/>
          <w:kern w:val="0"/>
          <w:sz w:val="21"/>
          <w:szCs w:val="21"/>
        </w:rPr>
      </w:pPr>
      <w:r>
        <w:rPr>
          <w:rFonts w:hint="eastAsia" w:ascii="仿宋_GB2312" w:eastAsia="仿宋_GB2312" w:cs="华文仿宋"/>
          <w:color w:val="0C0C0C" w:themeColor="text1" w:themeTint="F2"/>
          <w:kern w:val="0"/>
          <w:sz w:val="21"/>
          <w:szCs w:val="21"/>
        </w:rPr>
        <w:t xml:space="preserve">    b.农村集中式供水为监督检查信息卡上标记类别为“乡镇”的集中式供水。</w:t>
      </w:r>
    </w:p>
    <w:p>
      <w:pPr>
        <w:spacing w:line="240" w:lineRule="exact"/>
        <w:jc w:val="left"/>
        <w:rPr>
          <w:rFonts w:ascii="仿宋_GB2312" w:eastAsia="仿宋_GB2312"/>
          <w:color w:val="0C0C0C" w:themeColor="text1" w:themeTint="F2"/>
          <w:kern w:val="0"/>
          <w:sz w:val="21"/>
          <w:szCs w:val="21"/>
        </w:rPr>
      </w:pPr>
      <w:r>
        <w:rPr>
          <w:rFonts w:hint="eastAsia" w:ascii="仿宋_GB2312" w:eastAsia="仿宋_GB2312" w:cs="华文仿宋"/>
          <w:color w:val="0C0C0C" w:themeColor="text1" w:themeTint="F2"/>
          <w:kern w:val="0"/>
          <w:sz w:val="21"/>
          <w:szCs w:val="21"/>
        </w:rPr>
        <w:t xml:space="preserve">    c.不纳入双随机抽查。</w:t>
      </w:r>
    </w:p>
    <w:p>
      <w:pPr>
        <w:spacing w:line="240" w:lineRule="exact"/>
        <w:jc w:val="left"/>
        <w:rPr>
          <w:rFonts w:ascii="仿宋_GB2312" w:eastAsia="仿宋_GB2312"/>
          <w:color w:val="0C0C0C" w:themeColor="text1" w:themeTint="F2"/>
          <w:kern w:val="0"/>
          <w:sz w:val="21"/>
          <w:szCs w:val="21"/>
        </w:rPr>
      </w:pPr>
      <w:r>
        <w:rPr>
          <w:rFonts w:hint="eastAsia" w:ascii="仿宋_GB2312" w:eastAsia="仿宋_GB2312" w:cs="华文仿宋"/>
          <w:color w:val="0C0C0C" w:themeColor="text1" w:themeTint="F2"/>
          <w:kern w:val="0"/>
          <w:sz w:val="21"/>
          <w:szCs w:val="21"/>
        </w:rPr>
        <w:t xml:space="preserve">    d.各地在综合卫生监督档案、饮用水卫生安全巡查档案或记录以及相关调查资料等信息的基础上自行制定清单并实施双随机抽查。</w:t>
      </w:r>
    </w:p>
    <w:p>
      <w:pPr>
        <w:spacing w:line="240" w:lineRule="exact"/>
        <w:jc w:val="left"/>
        <w:rPr>
          <w:rFonts w:ascii="仿宋_GB2312" w:eastAsia="仿宋_GB2312"/>
          <w:color w:val="0C0C0C" w:themeColor="text1" w:themeTint="F2"/>
          <w:kern w:val="0"/>
        </w:rPr>
      </w:pPr>
      <w:r>
        <w:rPr>
          <w:rFonts w:hint="eastAsia" w:ascii="仿宋_GB2312" w:eastAsia="仿宋_GB2312" w:cs="华文仿宋"/>
          <w:color w:val="0C0C0C" w:themeColor="text1" w:themeTint="F2"/>
          <w:kern w:val="0"/>
          <w:sz w:val="21"/>
          <w:szCs w:val="21"/>
        </w:rPr>
        <w:t xml:space="preserve">    e.水质自检包括委托检测。</w:t>
      </w:r>
    </w:p>
    <w:p>
      <w:pPr>
        <w:snapToGrid w:val="0"/>
        <w:spacing w:beforeLines="50" w:afterLines="50"/>
        <w:rPr>
          <w:rFonts w:ascii="仿宋_GB2312" w:eastAsia="仿宋_GB2312"/>
          <w:color w:val="0C0C0C" w:themeColor="text1" w:themeTint="F2"/>
          <w:sz w:val="30"/>
          <w:szCs w:val="30"/>
        </w:rPr>
      </w:pPr>
    </w:p>
    <w:p>
      <w:pPr>
        <w:snapToGrid w:val="0"/>
        <w:spacing w:beforeLines="50" w:afterLines="50"/>
        <w:jc w:val="left"/>
        <w:rPr>
          <w:rFonts w:ascii="仿宋_GB2312" w:eastAsia="仿宋_GB2312"/>
          <w:color w:val="0C0C0C" w:themeColor="text1" w:themeTint="F2"/>
          <w:sz w:val="30"/>
          <w:szCs w:val="30"/>
        </w:rPr>
      </w:pPr>
    </w:p>
    <w:p>
      <w:pPr>
        <w:snapToGrid w:val="0"/>
        <w:spacing w:beforeLines="50" w:afterLines="50"/>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附表2</w:t>
      </w:r>
    </w:p>
    <w:p>
      <w:pPr>
        <w:widowControl/>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2020年涉水产品国家随机监督抽查工作计划表</w:t>
      </w:r>
    </w:p>
    <w:tbl>
      <w:tblPr>
        <w:tblStyle w:val="7"/>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4395"/>
        <w:gridCol w:w="2126"/>
        <w:gridCol w:w="335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39" w:type="dxa"/>
            <w:vAlign w:val="center"/>
          </w:tcPr>
          <w:p>
            <w:pPr>
              <w:spacing w:line="30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产品类别</w:t>
            </w:r>
          </w:p>
        </w:tc>
        <w:tc>
          <w:tcPr>
            <w:tcW w:w="4395" w:type="dxa"/>
            <w:vAlign w:val="center"/>
          </w:tcPr>
          <w:p>
            <w:pPr>
              <w:spacing w:line="30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范围和数量</w:t>
            </w:r>
          </w:p>
        </w:tc>
        <w:tc>
          <w:tcPr>
            <w:tcW w:w="2126" w:type="dxa"/>
            <w:vAlign w:val="center"/>
          </w:tcPr>
          <w:p>
            <w:pPr>
              <w:spacing w:line="30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检查内容</w:t>
            </w:r>
          </w:p>
        </w:tc>
        <w:tc>
          <w:tcPr>
            <w:tcW w:w="3356" w:type="dxa"/>
            <w:vAlign w:val="center"/>
          </w:tcPr>
          <w:p>
            <w:pPr>
              <w:spacing w:line="30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承担单位</w:t>
            </w:r>
          </w:p>
        </w:tc>
        <w:tc>
          <w:tcPr>
            <w:tcW w:w="3096" w:type="dxa"/>
            <w:vAlign w:val="center"/>
          </w:tcPr>
          <w:p>
            <w:pPr>
              <w:spacing w:line="30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检测项目</w:t>
            </w:r>
            <w:r>
              <w:rPr>
                <w:rFonts w:hint="eastAsia" w:ascii="黑体" w:hAnsi="黑体" w:eastAsia="黑体" w:cs="黑体"/>
                <w:color w:val="0C0C0C" w:themeColor="text1" w:themeTint="F2"/>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39" w:type="dxa"/>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kern w:val="0"/>
                <w:sz w:val="21"/>
                <w:szCs w:val="21"/>
              </w:rPr>
              <w:t>输配水设备</w:t>
            </w:r>
          </w:p>
        </w:tc>
        <w:tc>
          <w:tcPr>
            <w:tcW w:w="4395" w:type="dxa"/>
            <w:vMerge w:val="restart"/>
            <w:vAlign w:val="center"/>
          </w:tcPr>
          <w:p>
            <w:pPr>
              <w:spacing w:line="300" w:lineRule="exact"/>
              <w:rPr>
                <w:rFonts w:ascii="仿宋_GB2312" w:eastAsia="仿宋_GB2312"/>
                <w:color w:val="0C0C0C" w:themeColor="text1" w:themeTint="F2"/>
                <w:kern w:val="0"/>
                <w:sz w:val="21"/>
                <w:szCs w:val="21"/>
              </w:rPr>
            </w:pPr>
            <w:r>
              <w:rPr>
                <w:rFonts w:hint="eastAsia" w:ascii="仿宋_GB2312" w:eastAsia="仿宋_GB2312" w:cs="华文仿宋"/>
                <w:color w:val="0C0C0C" w:themeColor="text1" w:themeTint="F2"/>
                <w:kern w:val="0"/>
                <w:sz w:val="21"/>
                <w:szCs w:val="21"/>
              </w:rPr>
              <w:t>辖区内10个生产企业，不足的全部抽查，每个企业抽查1-3个产品</w:t>
            </w:r>
          </w:p>
        </w:tc>
        <w:tc>
          <w:tcPr>
            <w:tcW w:w="2126" w:type="dxa"/>
            <w:vMerge w:val="restart"/>
            <w:vAlign w:val="center"/>
          </w:tcPr>
          <w:p>
            <w:pPr>
              <w:spacing w:line="300" w:lineRule="exact"/>
              <w:jc w:val="lef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1.标签、说明书</w:t>
            </w:r>
          </w:p>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2.产品卫生许可批件</w:t>
            </w:r>
          </w:p>
        </w:tc>
        <w:tc>
          <w:tcPr>
            <w:tcW w:w="3356" w:type="dxa"/>
            <w:vMerge w:val="restart"/>
            <w:vAlign w:val="center"/>
          </w:tcPr>
          <w:p>
            <w:pPr>
              <w:spacing w:line="300" w:lineRule="exact"/>
              <w:jc w:val="both"/>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国家双随机任务清单中指定的执行单位</w:t>
            </w:r>
          </w:p>
        </w:tc>
        <w:tc>
          <w:tcPr>
            <w:tcW w:w="3096" w:type="dxa"/>
            <w:vMerge w:val="restart"/>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39" w:type="dxa"/>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水处理材料</w:t>
            </w:r>
          </w:p>
        </w:tc>
        <w:tc>
          <w:tcPr>
            <w:tcW w:w="4395" w:type="dxa"/>
            <w:vMerge w:val="continue"/>
            <w:vAlign w:val="center"/>
          </w:tcPr>
          <w:p>
            <w:pPr>
              <w:rPr>
                <w:color w:val="0C0C0C" w:themeColor="text1" w:themeTint="F2"/>
                <w:sz w:val="21"/>
                <w:szCs w:val="21"/>
              </w:rPr>
            </w:pPr>
          </w:p>
        </w:tc>
        <w:tc>
          <w:tcPr>
            <w:tcW w:w="2126" w:type="dxa"/>
            <w:vMerge w:val="continue"/>
            <w:vAlign w:val="center"/>
          </w:tcPr>
          <w:p>
            <w:pPr>
              <w:rPr>
                <w:color w:val="0C0C0C" w:themeColor="text1" w:themeTint="F2"/>
                <w:sz w:val="21"/>
                <w:szCs w:val="21"/>
              </w:rPr>
            </w:pPr>
          </w:p>
        </w:tc>
        <w:tc>
          <w:tcPr>
            <w:tcW w:w="3356" w:type="dxa"/>
            <w:vMerge w:val="continue"/>
            <w:vAlign w:val="center"/>
          </w:tcPr>
          <w:p>
            <w:pPr>
              <w:jc w:val="both"/>
              <w:rPr>
                <w:color w:val="0C0C0C" w:themeColor="text1" w:themeTint="F2"/>
                <w:sz w:val="21"/>
                <w:szCs w:val="21"/>
              </w:rPr>
            </w:pPr>
          </w:p>
        </w:tc>
        <w:tc>
          <w:tcPr>
            <w:tcW w:w="3096"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39" w:type="dxa"/>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化学处理剂</w:t>
            </w:r>
          </w:p>
        </w:tc>
        <w:tc>
          <w:tcPr>
            <w:tcW w:w="4395" w:type="dxa"/>
            <w:vMerge w:val="continue"/>
            <w:vAlign w:val="center"/>
          </w:tcPr>
          <w:p>
            <w:pPr>
              <w:rPr>
                <w:color w:val="0C0C0C" w:themeColor="text1" w:themeTint="F2"/>
                <w:sz w:val="21"/>
                <w:szCs w:val="21"/>
              </w:rPr>
            </w:pPr>
          </w:p>
        </w:tc>
        <w:tc>
          <w:tcPr>
            <w:tcW w:w="2126" w:type="dxa"/>
            <w:vMerge w:val="continue"/>
            <w:vAlign w:val="center"/>
          </w:tcPr>
          <w:p>
            <w:pPr>
              <w:rPr>
                <w:color w:val="0C0C0C" w:themeColor="text1" w:themeTint="F2"/>
                <w:sz w:val="21"/>
                <w:szCs w:val="21"/>
              </w:rPr>
            </w:pPr>
          </w:p>
        </w:tc>
        <w:tc>
          <w:tcPr>
            <w:tcW w:w="3356" w:type="dxa"/>
            <w:vMerge w:val="continue"/>
            <w:vAlign w:val="center"/>
          </w:tcPr>
          <w:p>
            <w:pPr>
              <w:jc w:val="both"/>
              <w:rPr>
                <w:color w:val="0C0C0C" w:themeColor="text1" w:themeTint="F2"/>
                <w:sz w:val="21"/>
                <w:szCs w:val="21"/>
              </w:rPr>
            </w:pPr>
          </w:p>
        </w:tc>
        <w:tc>
          <w:tcPr>
            <w:tcW w:w="3096"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9" w:type="dxa"/>
            <w:vMerge w:val="restart"/>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kern w:val="0"/>
                <w:sz w:val="21"/>
                <w:szCs w:val="21"/>
              </w:rPr>
              <w:t>水质处理器</w:t>
            </w:r>
          </w:p>
        </w:tc>
        <w:tc>
          <w:tcPr>
            <w:tcW w:w="4395"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kern w:val="0"/>
                <w:sz w:val="21"/>
                <w:szCs w:val="21"/>
              </w:rPr>
              <w:t>辖区内10个生产企业，不足的全部抽查，每个企业抽查1-2个产品</w:t>
            </w:r>
          </w:p>
        </w:tc>
        <w:tc>
          <w:tcPr>
            <w:tcW w:w="2126"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1.标签、说明书</w:t>
            </w:r>
          </w:p>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2.产品卫生许可批件</w:t>
            </w:r>
          </w:p>
        </w:tc>
        <w:tc>
          <w:tcPr>
            <w:tcW w:w="3356" w:type="dxa"/>
            <w:vMerge w:val="continue"/>
            <w:vAlign w:val="center"/>
          </w:tcPr>
          <w:p>
            <w:pPr>
              <w:jc w:val="both"/>
              <w:rPr>
                <w:color w:val="0C0C0C" w:themeColor="text1" w:themeTint="F2"/>
                <w:sz w:val="21"/>
                <w:szCs w:val="21"/>
              </w:rPr>
            </w:pPr>
          </w:p>
        </w:tc>
        <w:tc>
          <w:tcPr>
            <w:tcW w:w="3096"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539" w:type="dxa"/>
            <w:vMerge w:val="continue"/>
            <w:vAlign w:val="center"/>
          </w:tcPr>
          <w:p>
            <w:pPr>
              <w:rPr>
                <w:color w:val="0C0C0C" w:themeColor="text1" w:themeTint="F2"/>
                <w:sz w:val="21"/>
                <w:szCs w:val="21"/>
              </w:rPr>
            </w:pPr>
          </w:p>
        </w:tc>
        <w:tc>
          <w:tcPr>
            <w:tcW w:w="4395"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辖区内10个实体经营单位</w:t>
            </w:r>
            <w:r>
              <w:rPr>
                <w:rFonts w:hint="eastAsia" w:ascii="仿宋_GB2312" w:eastAsia="仿宋_GB2312" w:cs="华文仿宋"/>
                <w:color w:val="0C0C0C" w:themeColor="text1" w:themeTint="F2"/>
                <w:sz w:val="21"/>
                <w:szCs w:val="21"/>
                <w:vertAlign w:val="superscript"/>
              </w:rPr>
              <w:t>（b）</w:t>
            </w:r>
            <w:r>
              <w:rPr>
                <w:rFonts w:hint="eastAsia" w:ascii="仿宋_GB2312" w:eastAsia="仿宋_GB2312" w:cs="华文仿宋"/>
                <w:color w:val="0C0C0C" w:themeColor="text1" w:themeTint="F2"/>
                <w:kern w:val="0"/>
                <w:sz w:val="21"/>
                <w:szCs w:val="21"/>
              </w:rPr>
              <w:t>，含6个城市商场、超市或专营商店、4个乡镇综合或专营市场，不足的全部抽查。</w:t>
            </w:r>
          </w:p>
        </w:tc>
        <w:tc>
          <w:tcPr>
            <w:tcW w:w="2126"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1.标签、说明书</w:t>
            </w:r>
          </w:p>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2.产品卫生许可批件</w:t>
            </w:r>
          </w:p>
        </w:tc>
        <w:tc>
          <w:tcPr>
            <w:tcW w:w="3356" w:type="dxa"/>
            <w:vAlign w:val="center"/>
          </w:tcPr>
          <w:p>
            <w:pPr>
              <w:snapToGrid w:val="0"/>
              <w:spacing w:line="300" w:lineRule="exact"/>
              <w:jc w:val="both"/>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南宁、钦州、来宾、崇左、河池市和百色市辖区内各3个实体经营单位，</w:t>
            </w:r>
            <w:r>
              <w:rPr>
                <w:rFonts w:hint="eastAsia" w:ascii="仿宋_GB2312" w:eastAsia="仿宋_GB2312" w:cs="华文仿宋"/>
                <w:color w:val="0C0C0C" w:themeColor="text1" w:themeTint="F2"/>
                <w:kern w:val="0"/>
                <w:sz w:val="21"/>
                <w:szCs w:val="21"/>
              </w:rPr>
              <w:t>含2个城市商场、超市或专营商店、1个乡镇综合或专营市场，不足的全部抽查。</w:t>
            </w:r>
          </w:p>
        </w:tc>
        <w:tc>
          <w:tcPr>
            <w:tcW w:w="3096" w:type="dxa"/>
            <w:vMerge w:val="restart"/>
            <w:vAlign w:val="center"/>
          </w:tcPr>
          <w:p>
            <w:pPr>
              <w:snapToGrid w:val="0"/>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39" w:type="dxa"/>
            <w:vMerge w:val="continue"/>
            <w:vAlign w:val="center"/>
          </w:tcPr>
          <w:p>
            <w:pPr>
              <w:rPr>
                <w:color w:val="0C0C0C" w:themeColor="text1" w:themeTint="F2"/>
                <w:sz w:val="21"/>
                <w:szCs w:val="21"/>
              </w:rPr>
            </w:pPr>
          </w:p>
        </w:tc>
        <w:tc>
          <w:tcPr>
            <w:tcW w:w="4395"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辖区内50个在主要网络平台从事经销活动的网店，不足的全部抽查，检查网店所有产品。</w:t>
            </w:r>
          </w:p>
        </w:tc>
        <w:tc>
          <w:tcPr>
            <w:tcW w:w="2126"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产品卫生许可批件</w:t>
            </w:r>
          </w:p>
        </w:tc>
        <w:tc>
          <w:tcPr>
            <w:tcW w:w="3356" w:type="dxa"/>
            <w:vAlign w:val="center"/>
          </w:tcPr>
          <w:p>
            <w:pPr>
              <w:snapToGrid w:val="0"/>
              <w:spacing w:line="300" w:lineRule="exact"/>
              <w:jc w:val="both"/>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全区14 个市卫生计生监督所每个单位负责抽查5 家，不足5家的全部抽查。</w:t>
            </w:r>
          </w:p>
        </w:tc>
        <w:tc>
          <w:tcPr>
            <w:tcW w:w="3096" w:type="dxa"/>
            <w:vMerge w:val="continue"/>
            <w:vAlign w:val="center"/>
          </w:tcPr>
          <w:p>
            <w:pPr>
              <w:rPr>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39" w:type="dxa"/>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kern w:val="0"/>
                <w:sz w:val="21"/>
                <w:szCs w:val="21"/>
              </w:rPr>
              <w:t>进口涉水产品</w:t>
            </w:r>
          </w:p>
        </w:tc>
        <w:tc>
          <w:tcPr>
            <w:tcW w:w="4395" w:type="dxa"/>
            <w:vAlign w:val="center"/>
          </w:tcPr>
          <w:p>
            <w:pPr>
              <w:spacing w:line="300" w:lineRule="exact"/>
              <w:rPr>
                <w:rFonts w:ascii="仿宋_GB2312" w:eastAsia="仿宋_GB2312"/>
                <w:b/>
                <w:bCs/>
                <w:color w:val="0C0C0C" w:themeColor="text1" w:themeTint="F2"/>
                <w:sz w:val="21"/>
                <w:szCs w:val="21"/>
              </w:rPr>
            </w:pPr>
            <w:r>
              <w:rPr>
                <w:rFonts w:hint="eastAsia" w:ascii="仿宋_GB2312" w:eastAsia="仿宋_GB2312" w:cs="华文仿宋"/>
                <w:color w:val="0C0C0C" w:themeColor="text1" w:themeTint="F2"/>
                <w:sz w:val="21"/>
                <w:szCs w:val="21"/>
              </w:rPr>
              <w:t>辖区内10个在华责任单位</w:t>
            </w:r>
            <w:r>
              <w:rPr>
                <w:rFonts w:hint="eastAsia" w:ascii="仿宋_GB2312" w:eastAsia="仿宋_GB2312" w:cs="华文仿宋"/>
                <w:color w:val="0C0C0C" w:themeColor="text1" w:themeTint="F2"/>
                <w:kern w:val="0"/>
                <w:sz w:val="21"/>
                <w:szCs w:val="21"/>
              </w:rPr>
              <w:t>，不足的全部抽查，</w:t>
            </w:r>
            <w:r>
              <w:rPr>
                <w:rFonts w:hint="eastAsia" w:ascii="仿宋_GB2312" w:eastAsia="仿宋_GB2312" w:cs="华文仿宋"/>
                <w:color w:val="0C0C0C" w:themeColor="text1" w:themeTint="F2"/>
                <w:sz w:val="21"/>
                <w:szCs w:val="21"/>
              </w:rPr>
              <w:t>每个单位抽查1-3种产品</w:t>
            </w:r>
          </w:p>
        </w:tc>
        <w:tc>
          <w:tcPr>
            <w:tcW w:w="2126"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1.标签、说明书</w:t>
            </w:r>
          </w:p>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2.产品卫生许可批件</w:t>
            </w:r>
          </w:p>
        </w:tc>
        <w:tc>
          <w:tcPr>
            <w:tcW w:w="3356" w:type="dxa"/>
            <w:vAlign w:val="center"/>
          </w:tcPr>
          <w:p>
            <w:pPr>
              <w:spacing w:line="300" w:lineRule="exact"/>
              <w:jc w:val="both"/>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自治区卫生监督所</w:t>
            </w:r>
          </w:p>
        </w:tc>
        <w:tc>
          <w:tcPr>
            <w:tcW w:w="3096" w:type="dxa"/>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9" w:type="dxa"/>
            <w:vAlign w:val="center"/>
          </w:tcPr>
          <w:p>
            <w:pPr>
              <w:spacing w:line="300" w:lineRule="exact"/>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kern w:val="0"/>
                <w:sz w:val="21"/>
                <w:szCs w:val="21"/>
              </w:rPr>
              <w:t>现制现售饮用水自动售水机</w:t>
            </w:r>
          </w:p>
        </w:tc>
        <w:tc>
          <w:tcPr>
            <w:tcW w:w="4395" w:type="dxa"/>
            <w:vAlign w:val="center"/>
          </w:tcPr>
          <w:p>
            <w:pPr>
              <w:spacing w:line="300" w:lineRule="exact"/>
              <w:rPr>
                <w:rFonts w:ascii="仿宋_GB2312" w:eastAsia="仿宋_GB2312"/>
                <w:color w:val="0C0C0C" w:themeColor="text1" w:themeTint="F2"/>
                <w:kern w:val="0"/>
                <w:sz w:val="21"/>
                <w:szCs w:val="21"/>
              </w:rPr>
            </w:pPr>
            <w:r>
              <w:rPr>
                <w:rFonts w:hint="eastAsia" w:ascii="仿宋_GB2312" w:eastAsia="仿宋_GB2312" w:cs="华文仿宋"/>
                <w:color w:val="0C0C0C" w:themeColor="text1" w:themeTint="F2"/>
                <w:sz w:val="21"/>
                <w:szCs w:val="21"/>
              </w:rPr>
              <w:t>辖区内5个经营单位，不足的全部抽查，每个单位抽查1-3个应用现场。</w:t>
            </w:r>
          </w:p>
        </w:tc>
        <w:tc>
          <w:tcPr>
            <w:tcW w:w="2126" w:type="dxa"/>
            <w:vAlign w:val="center"/>
          </w:tcPr>
          <w:p>
            <w:pPr>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产品卫生许可批件</w:t>
            </w:r>
          </w:p>
        </w:tc>
        <w:tc>
          <w:tcPr>
            <w:tcW w:w="3356" w:type="dxa"/>
            <w:vAlign w:val="center"/>
          </w:tcPr>
          <w:p>
            <w:pPr>
              <w:snapToGrid w:val="0"/>
              <w:spacing w:line="300" w:lineRule="exact"/>
              <w:jc w:val="both"/>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柳州、桂林市卫生监督所分别承担2-3个经营单位，每个单位抽查1-3个应用现场。</w:t>
            </w:r>
          </w:p>
        </w:tc>
        <w:tc>
          <w:tcPr>
            <w:tcW w:w="3096" w:type="dxa"/>
            <w:vAlign w:val="center"/>
          </w:tcPr>
          <w:p>
            <w:pPr>
              <w:snapToGrid w:val="0"/>
              <w:spacing w:line="30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出水水质</w:t>
            </w:r>
            <w:r>
              <w:rPr>
                <w:rFonts w:hint="eastAsia" w:ascii="仿宋_GB2312" w:eastAsia="仿宋_GB2312" w:cs="华文仿宋"/>
                <w:color w:val="0C0C0C" w:themeColor="text1" w:themeTint="F2"/>
                <w:kern w:val="0"/>
                <w:sz w:val="21"/>
                <w:szCs w:val="21"/>
              </w:rPr>
              <w:t>菌落总数、总大肠菌群、色度、浑浊度、臭和味、肉眼可见物、pH、耗氧量等</w:t>
            </w:r>
          </w:p>
        </w:tc>
      </w:tr>
    </w:tbl>
    <w:p>
      <w:pPr>
        <w:snapToGrid w:val="0"/>
        <w:spacing w:line="300" w:lineRule="exact"/>
        <w:jc w:val="left"/>
        <w:rPr>
          <w:rFonts w:ascii="仿宋_GB2312" w:eastAsia="仿宋_GB2312"/>
          <w:color w:val="0C0C0C" w:themeColor="text1" w:themeTint="F2"/>
        </w:rPr>
      </w:pPr>
      <w:r>
        <w:rPr>
          <w:rFonts w:hint="eastAsia" w:ascii="仿宋_GB2312" w:eastAsia="仿宋_GB2312" w:cs="华文仿宋"/>
          <w:color w:val="0C0C0C" w:themeColor="text1" w:themeTint="F2"/>
        </w:rPr>
        <w:t xml:space="preserve">    a.无负压供水设备、饮用水消毒设备、大型水质处理器产品卫生安全性检测合理缺项。</w:t>
      </w:r>
    </w:p>
    <w:p>
      <w:pPr>
        <w:snapToGrid w:val="0"/>
        <w:spacing w:line="300" w:lineRule="exact"/>
        <w:jc w:val="left"/>
        <w:rPr>
          <w:rFonts w:ascii="仿宋_GB2312" w:eastAsia="仿宋_GB2312"/>
          <w:color w:val="0C0C0C" w:themeColor="text1" w:themeTint="F2"/>
          <w:sz w:val="30"/>
          <w:szCs w:val="30"/>
        </w:rPr>
      </w:pPr>
      <w:r>
        <w:rPr>
          <w:rFonts w:hint="eastAsia" w:ascii="仿宋_GB2312" w:eastAsia="仿宋_GB2312" w:cs="华文仿宋"/>
          <w:color w:val="0C0C0C" w:themeColor="text1" w:themeTint="F2"/>
        </w:rPr>
        <w:t xml:space="preserve">    b.各地在综合卫生监督档案及相关调查资料等信息基础上确定单位底数并制定双随机抽查清单。</w:t>
      </w:r>
    </w:p>
    <w:p>
      <w:pPr>
        <w:snapToGrid w:val="0"/>
        <w:spacing w:beforeLines="50" w:afterLines="50"/>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 xml:space="preserve">附表3                </w:t>
      </w:r>
    </w:p>
    <w:p>
      <w:pPr>
        <w:snapToGrid w:val="0"/>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2020年小型集中式供水卫生安全巡查覆盖乡镇情况汇总表</w:t>
      </w:r>
    </w:p>
    <w:tbl>
      <w:tblPr>
        <w:tblStyle w:val="7"/>
        <w:tblW w:w="13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在用小型集中式供水的乡镇总数</w:t>
            </w:r>
          </w:p>
        </w:tc>
        <w:tc>
          <w:tcPr>
            <w:tcW w:w="1299"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检查乡镇数</w:t>
            </w:r>
          </w:p>
        </w:tc>
        <w:tc>
          <w:tcPr>
            <w:tcW w:w="1754"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检查的乡镇中已开展卫生安全巡查的乡镇数</w:t>
            </w:r>
            <w:r>
              <w:rPr>
                <w:rFonts w:hint="eastAsia" w:ascii="黑体" w:hAnsi="黑体" w:eastAsia="黑体" w:cs="黑体"/>
                <w:color w:val="0C0C0C" w:themeColor="text1" w:themeTint="F2"/>
                <w:kern w:val="0"/>
                <w:sz w:val="21"/>
                <w:szCs w:val="21"/>
                <w:vertAlign w:val="superscript"/>
              </w:rPr>
              <w:t>（a）</w:t>
            </w:r>
          </w:p>
        </w:tc>
        <w:tc>
          <w:tcPr>
            <w:tcW w:w="1595"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检查的乡镇中在用小型集中式供水水厂数</w:t>
            </w:r>
          </w:p>
        </w:tc>
        <w:tc>
          <w:tcPr>
            <w:tcW w:w="1842"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已建立基本情况档案的小型集中式供水水厂数</w:t>
            </w:r>
            <w:r>
              <w:rPr>
                <w:rFonts w:hint="eastAsia" w:ascii="黑体" w:hAnsi="黑体" w:eastAsia="黑体" w:cs="黑体"/>
                <w:color w:val="0C0C0C" w:themeColor="text1" w:themeTint="F2"/>
                <w:kern w:val="0"/>
                <w:sz w:val="21"/>
                <w:szCs w:val="21"/>
                <w:vertAlign w:val="superscript"/>
              </w:rPr>
              <w:t>（b）</w:t>
            </w:r>
          </w:p>
        </w:tc>
        <w:tc>
          <w:tcPr>
            <w:tcW w:w="1985"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已建立卫生安全巡查档案的小型集中式供水水厂数</w:t>
            </w:r>
            <w:r>
              <w:rPr>
                <w:rFonts w:hint="eastAsia" w:ascii="黑体" w:hAnsi="黑体" w:eastAsia="黑体" w:cs="黑体"/>
                <w:color w:val="0C0C0C" w:themeColor="text1" w:themeTint="F2"/>
                <w:kern w:val="0"/>
                <w:sz w:val="21"/>
                <w:szCs w:val="21"/>
                <w:vertAlign w:val="superscript"/>
              </w:rPr>
              <w:t>（b）</w:t>
            </w:r>
          </w:p>
        </w:tc>
        <w:tc>
          <w:tcPr>
            <w:tcW w:w="1963"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检查的小型集中式供水中持有卫生许可证的水厂数</w:t>
            </w:r>
          </w:p>
        </w:tc>
        <w:tc>
          <w:tcPr>
            <w:tcW w:w="1054"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案件数</w:t>
            </w:r>
          </w:p>
        </w:tc>
        <w:tc>
          <w:tcPr>
            <w:tcW w:w="1109"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299"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754"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595"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842"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985"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963"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054"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c>
          <w:tcPr>
            <w:tcW w:w="1109" w:type="dxa"/>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仿宋_GB2312" w:eastAsia="仿宋_GB2312"/>
                <w:color w:val="0C0C0C" w:themeColor="text1" w:themeTint="F2"/>
                <w:kern w:val="0"/>
                <w:sz w:val="21"/>
                <w:szCs w:val="21"/>
              </w:rPr>
            </w:pPr>
          </w:p>
        </w:tc>
      </w:tr>
    </w:tbl>
    <w:p>
      <w:pPr>
        <w:pStyle w:val="14"/>
        <w:keepNext w:val="0"/>
        <w:keepLines w:val="0"/>
        <w:pageBreakBefore w:val="0"/>
        <w:kinsoku/>
        <w:wordWrap/>
        <w:overflowPunct/>
        <w:topLinePunct w:val="0"/>
        <w:autoSpaceDE/>
        <w:autoSpaceDN/>
        <w:bidi w:val="0"/>
        <w:adjustRightInd/>
        <w:snapToGrid w:val="0"/>
        <w:spacing w:line="300" w:lineRule="exact"/>
        <w:ind w:left="420" w:firstLine="0" w:firstLineChars="0"/>
        <w:jc w:val="left"/>
        <w:textAlignment w:val="auto"/>
        <w:outlineLvl w:val="9"/>
        <w:rPr>
          <w:rFonts w:ascii="仿宋_GB2312" w:eastAsia="仿宋_GB2312" w:cs="Times New Roman"/>
          <w:color w:val="0C0C0C" w:themeColor="text1" w:themeTint="F2"/>
          <w:sz w:val="21"/>
          <w:szCs w:val="21"/>
        </w:rPr>
      </w:pPr>
      <w:r>
        <w:rPr>
          <w:rFonts w:hint="eastAsia" w:ascii="仿宋_GB2312" w:eastAsia="仿宋_GB2312" w:cs="华文仿宋"/>
          <w:color w:val="0C0C0C" w:themeColor="text1" w:themeTint="F2"/>
          <w:sz w:val="21"/>
          <w:szCs w:val="21"/>
        </w:rPr>
        <w:t>a.提供饮用水卫生安全巡查服务的机构建立有农村集中式供水基本情况档案或卫生安全巡查记录，才可判定为已开展饮用水卫生安全巡查。</w:t>
      </w:r>
    </w:p>
    <w:p>
      <w:pPr>
        <w:pStyle w:val="14"/>
        <w:keepNext w:val="0"/>
        <w:keepLines w:val="0"/>
        <w:pageBreakBefore w:val="0"/>
        <w:kinsoku/>
        <w:wordWrap/>
        <w:overflowPunct/>
        <w:topLinePunct w:val="0"/>
        <w:autoSpaceDE/>
        <w:autoSpaceDN/>
        <w:bidi w:val="0"/>
        <w:adjustRightInd/>
        <w:snapToGrid w:val="0"/>
        <w:spacing w:line="300" w:lineRule="exact"/>
        <w:ind w:left="420" w:firstLine="0" w:firstLineChars="0"/>
        <w:jc w:val="left"/>
        <w:textAlignment w:val="auto"/>
        <w:outlineLvl w:val="9"/>
        <w:rPr>
          <w:rFonts w:ascii="仿宋_GB2312" w:eastAsia="仿宋_GB2312" w:cs="Times New Roman"/>
          <w:color w:val="0C0C0C" w:themeColor="text1" w:themeTint="F2"/>
        </w:rPr>
      </w:pPr>
      <w:r>
        <w:rPr>
          <w:rFonts w:hint="eastAsia" w:ascii="仿宋_GB2312" w:eastAsia="仿宋_GB2312" w:cs="华文仿宋"/>
          <w:color w:val="0C0C0C" w:themeColor="text1" w:themeTint="F2"/>
          <w:sz w:val="21"/>
          <w:szCs w:val="21"/>
        </w:rPr>
        <w:t>b.指由饮用水卫生安全巡查服务机构建立的相关档案。</w:t>
      </w:r>
    </w:p>
    <w:p>
      <w:pPr>
        <w:snapToGrid w:val="0"/>
        <w:spacing w:beforeLines="50" w:afterLines="50"/>
        <w:jc w:val="left"/>
        <w:rPr>
          <w:rFonts w:ascii="仿宋_GB2312" w:eastAsia="仿宋_GB2312"/>
          <w:color w:val="0C0C0C" w:themeColor="text1" w:themeTint="F2"/>
          <w:sz w:val="30"/>
          <w:szCs w:val="30"/>
        </w:rPr>
      </w:pPr>
    </w:p>
    <w:p>
      <w:pPr>
        <w:snapToGrid w:val="0"/>
        <w:spacing w:beforeLines="50" w:afterLines="50"/>
        <w:jc w:val="left"/>
        <w:rPr>
          <w:rFonts w:ascii="仿宋_GB2312" w:eastAsia="仿宋_GB2312"/>
          <w:color w:val="0C0C0C" w:themeColor="text1" w:themeTint="F2"/>
          <w:sz w:val="30"/>
          <w:szCs w:val="30"/>
        </w:rPr>
      </w:pPr>
    </w:p>
    <w:p>
      <w:pPr>
        <w:snapToGrid w:val="0"/>
        <w:spacing w:beforeLines="50" w:afterLines="50"/>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附表4</w:t>
      </w:r>
    </w:p>
    <w:p>
      <w:pPr>
        <w:snapToGrid w:val="0"/>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2020年小型集中式供水和二次供水水质国家随机监督抽查信息汇总表</w:t>
      </w:r>
    </w:p>
    <w:tbl>
      <w:tblPr>
        <w:tblStyle w:val="7"/>
        <w:tblW w:w="139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466"/>
        <w:gridCol w:w="1392"/>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7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单位类别</w:t>
            </w:r>
          </w:p>
        </w:tc>
        <w:tc>
          <w:tcPr>
            <w:tcW w:w="146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检测单位数</w:t>
            </w:r>
            <w:r>
              <w:rPr>
                <w:rFonts w:hint="eastAsia" w:ascii="黑体" w:hAnsi="黑体" w:eastAsia="黑体" w:cs="黑体"/>
                <w:color w:val="0C0C0C" w:themeColor="text1" w:themeTint="F2"/>
                <w:kern w:val="0"/>
                <w:sz w:val="21"/>
                <w:szCs w:val="21"/>
                <w:vertAlign w:val="superscript"/>
              </w:rPr>
              <w:t>（a）</w:t>
            </w:r>
          </w:p>
        </w:tc>
        <w:tc>
          <w:tcPr>
            <w:tcW w:w="13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r>
              <w:rPr>
                <w:rFonts w:hint="eastAsia" w:ascii="黑体" w:hAnsi="黑体" w:eastAsia="黑体" w:cs="黑体"/>
                <w:color w:val="0C0C0C" w:themeColor="text1" w:themeTint="F2"/>
                <w:kern w:val="0"/>
                <w:sz w:val="21"/>
                <w:szCs w:val="21"/>
                <w:vertAlign w:val="superscript"/>
              </w:rPr>
              <w:t>（b）</w:t>
            </w:r>
          </w:p>
        </w:tc>
        <w:tc>
          <w:tcPr>
            <w:tcW w:w="15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色度</w:t>
            </w:r>
          </w:p>
        </w:tc>
        <w:tc>
          <w:tcPr>
            <w:tcW w:w="15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浑浊度</w:t>
            </w:r>
          </w:p>
        </w:tc>
        <w:tc>
          <w:tcPr>
            <w:tcW w:w="15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臭和味</w:t>
            </w:r>
          </w:p>
        </w:tc>
        <w:tc>
          <w:tcPr>
            <w:tcW w:w="15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肉眼可见物</w:t>
            </w:r>
          </w:p>
        </w:tc>
        <w:tc>
          <w:tcPr>
            <w:tcW w:w="15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pH</w:t>
            </w:r>
          </w:p>
        </w:tc>
        <w:tc>
          <w:tcPr>
            <w:tcW w:w="15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74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C0C0C" w:themeColor="text1" w:themeTint="F2"/>
                <w:sz w:val="21"/>
                <w:szCs w:val="21"/>
              </w:rPr>
            </w:pPr>
          </w:p>
        </w:tc>
        <w:tc>
          <w:tcPr>
            <w:tcW w:w="1466"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C0C0C" w:themeColor="text1" w:themeTint="F2"/>
                <w:sz w:val="21"/>
                <w:szCs w:val="21"/>
              </w:rPr>
            </w:pPr>
          </w:p>
        </w:tc>
        <w:tc>
          <w:tcPr>
            <w:tcW w:w="13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kern w:val="0"/>
                <w:sz w:val="21"/>
                <w:szCs w:val="21"/>
              </w:rPr>
              <w:t>检测单位数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检测单位数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检测单位数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检测单位数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检测单位数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检测单位数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小型集中式供水</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二次供水</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13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kern w:val="0"/>
                <w:sz w:val="21"/>
                <w:szCs w:val="21"/>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C0C0C" w:themeColor="text1" w:themeTint="F2"/>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 xml:space="preserve">    a.二次供水指检测设施数。</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rPr>
      </w:pPr>
      <w:r>
        <w:rPr>
          <w:rFonts w:hint="eastAsia" w:ascii="仿宋_GB2312" w:hAnsi="仿宋_GB2312" w:eastAsia="仿宋_GB2312" w:cs="仿宋_GB2312"/>
          <w:color w:val="0C0C0C" w:themeColor="text1" w:themeTint="F2"/>
          <w:sz w:val="21"/>
          <w:szCs w:val="21"/>
        </w:rPr>
        <w:t xml:space="preserve">    b.为表中检测项目均合格的供水单位或二次供水设施数，有一项不合格即判定为不合格单位或设施。</w:t>
      </w:r>
    </w:p>
    <w:p>
      <w:pPr>
        <w:snapToGrid w:val="0"/>
        <w:jc w:val="left"/>
        <w:rPr>
          <w:rFonts w:ascii="仿宋_GB2312" w:eastAsia="仿宋_GB2312"/>
          <w:color w:val="0C0C0C" w:themeColor="text1" w:themeTint="F2"/>
          <w:sz w:val="20"/>
          <w:szCs w:val="20"/>
        </w:rPr>
      </w:pPr>
    </w:p>
    <w:p>
      <w:pPr>
        <w:snapToGrid w:val="0"/>
        <w:spacing w:beforeLines="50" w:afterLines="50"/>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 xml:space="preserve">附表5                   </w:t>
      </w:r>
    </w:p>
    <w:p>
      <w:pPr>
        <w:snapToGrid w:val="0"/>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2020年二次供水卫生管理国家随机监督抽查信息汇总表</w:t>
      </w:r>
    </w:p>
    <w:tbl>
      <w:tblPr>
        <w:tblStyle w:val="7"/>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7" w:type="dxa"/>
            <w:vMerge w:val="restart"/>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辖区内二次供水设施总数</w:t>
            </w:r>
          </w:p>
        </w:tc>
        <w:tc>
          <w:tcPr>
            <w:tcW w:w="1316" w:type="dxa"/>
            <w:vMerge w:val="restart"/>
            <w:vAlign w:val="center"/>
          </w:tcPr>
          <w:p>
            <w:pPr>
              <w:widowControl/>
              <w:spacing w:line="32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检查设施数</w:t>
            </w:r>
          </w:p>
        </w:tc>
        <w:tc>
          <w:tcPr>
            <w:tcW w:w="6804" w:type="dxa"/>
            <w:gridSpan w:val="4"/>
            <w:vAlign w:val="center"/>
          </w:tcPr>
          <w:p>
            <w:pPr>
              <w:widowControl/>
              <w:spacing w:line="32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检查内容符合要求设施数</w:t>
            </w:r>
          </w:p>
        </w:tc>
        <w:tc>
          <w:tcPr>
            <w:tcW w:w="1559" w:type="dxa"/>
            <w:vMerge w:val="restart"/>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已开展饮用水卫生安全巡查服务的设施数</w:t>
            </w:r>
          </w:p>
        </w:tc>
        <w:tc>
          <w:tcPr>
            <w:tcW w:w="1418" w:type="dxa"/>
            <w:vMerge w:val="restart"/>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案件数</w:t>
            </w:r>
          </w:p>
        </w:tc>
        <w:tc>
          <w:tcPr>
            <w:tcW w:w="1376" w:type="dxa"/>
            <w:vMerge w:val="restart"/>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罚款金额</w:t>
            </w:r>
          </w:p>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7" w:type="dxa"/>
            <w:vMerge w:val="continue"/>
            <w:vAlign w:val="center"/>
          </w:tcPr>
          <w:p>
            <w:pPr>
              <w:rPr>
                <w:rFonts w:hint="eastAsia" w:ascii="仿宋_GB2312" w:hAnsi="仿宋_GB2312" w:eastAsia="仿宋_GB2312" w:cs="仿宋_GB2312"/>
                <w:color w:val="0C0C0C" w:themeColor="text1" w:themeTint="F2"/>
              </w:rPr>
            </w:pPr>
          </w:p>
        </w:tc>
        <w:tc>
          <w:tcPr>
            <w:tcW w:w="1316" w:type="dxa"/>
            <w:vMerge w:val="continue"/>
          </w:tcPr>
          <w:p>
            <w:pPr>
              <w:rPr>
                <w:rFonts w:hint="eastAsia" w:ascii="仿宋_GB2312" w:hAnsi="仿宋_GB2312" w:eastAsia="仿宋_GB2312" w:cs="仿宋_GB2312"/>
                <w:color w:val="0C0C0C" w:themeColor="text1" w:themeTint="F2"/>
              </w:rPr>
            </w:pPr>
          </w:p>
        </w:tc>
        <w:tc>
          <w:tcPr>
            <w:tcW w:w="1701" w:type="dxa"/>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供管水人员健康</w:t>
            </w:r>
          </w:p>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体检和培训</w:t>
            </w:r>
          </w:p>
        </w:tc>
        <w:tc>
          <w:tcPr>
            <w:tcW w:w="1701" w:type="dxa"/>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设施卫生防护及</w:t>
            </w:r>
          </w:p>
          <w:p>
            <w:pPr>
              <w:widowControl/>
              <w:spacing w:line="240" w:lineRule="exact"/>
              <w:jc w:val="center"/>
              <w:rPr>
                <w:rFonts w:hint="eastAsia" w:ascii="黑体" w:hAnsi="黑体" w:eastAsia="黑体" w:cs="黑体"/>
                <w:color w:val="0C0C0C" w:themeColor="text1" w:themeTint="F2"/>
              </w:rPr>
            </w:pPr>
            <w:r>
              <w:rPr>
                <w:rFonts w:hint="eastAsia" w:ascii="黑体" w:hAnsi="黑体" w:eastAsia="黑体" w:cs="黑体"/>
                <w:color w:val="0C0C0C" w:themeColor="text1" w:themeTint="F2"/>
                <w:kern w:val="0"/>
              </w:rPr>
              <w:t>周围环境</w:t>
            </w:r>
          </w:p>
        </w:tc>
        <w:tc>
          <w:tcPr>
            <w:tcW w:w="1701" w:type="dxa"/>
            <w:vAlign w:val="center"/>
          </w:tcPr>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储水设备定期</w:t>
            </w:r>
          </w:p>
          <w:p>
            <w:pPr>
              <w:widowControl/>
              <w:spacing w:line="240" w:lineRule="exact"/>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清洗消毒</w:t>
            </w:r>
          </w:p>
        </w:tc>
        <w:tc>
          <w:tcPr>
            <w:tcW w:w="1701" w:type="dxa"/>
            <w:vAlign w:val="center"/>
          </w:tcPr>
          <w:p>
            <w:pPr>
              <w:widowControl/>
              <w:spacing w:line="240" w:lineRule="exact"/>
              <w:jc w:val="center"/>
              <w:rPr>
                <w:rFonts w:hint="eastAsia" w:ascii="黑体" w:hAnsi="黑体" w:eastAsia="黑体" w:cs="黑体"/>
                <w:color w:val="0C0C0C" w:themeColor="text1" w:themeTint="F2"/>
              </w:rPr>
            </w:pPr>
            <w:r>
              <w:rPr>
                <w:rFonts w:hint="eastAsia" w:ascii="黑体" w:hAnsi="黑体" w:eastAsia="黑体" w:cs="黑体"/>
                <w:color w:val="0C0C0C" w:themeColor="text1" w:themeTint="F2"/>
                <w:kern w:val="0"/>
              </w:rPr>
              <w:t>开展水质自检</w:t>
            </w:r>
          </w:p>
        </w:tc>
        <w:tc>
          <w:tcPr>
            <w:tcW w:w="1559" w:type="dxa"/>
            <w:vMerge w:val="continue"/>
            <w:vAlign w:val="center"/>
          </w:tcPr>
          <w:p>
            <w:pPr>
              <w:rPr>
                <w:rFonts w:hint="eastAsia" w:ascii="仿宋_GB2312" w:hAnsi="仿宋_GB2312" w:eastAsia="仿宋_GB2312" w:cs="仿宋_GB2312"/>
                <w:color w:val="0C0C0C" w:themeColor="text1" w:themeTint="F2"/>
              </w:rPr>
            </w:pPr>
          </w:p>
        </w:tc>
        <w:tc>
          <w:tcPr>
            <w:tcW w:w="1418" w:type="dxa"/>
            <w:vMerge w:val="continue"/>
            <w:vAlign w:val="center"/>
          </w:tcPr>
          <w:p>
            <w:pPr>
              <w:rPr>
                <w:rFonts w:hint="eastAsia" w:ascii="仿宋_GB2312" w:hAnsi="仿宋_GB2312" w:eastAsia="仿宋_GB2312" w:cs="仿宋_GB2312"/>
                <w:color w:val="0C0C0C" w:themeColor="text1" w:themeTint="F2"/>
              </w:rPr>
            </w:pPr>
          </w:p>
        </w:tc>
        <w:tc>
          <w:tcPr>
            <w:tcW w:w="1376" w:type="dxa"/>
            <w:vMerge w:val="continue"/>
            <w:vAlign w:val="center"/>
          </w:tcPr>
          <w:p>
            <w:pPr>
              <w:rPr>
                <w:rFonts w:hint="eastAsia" w:ascii="仿宋_GB2312" w:hAnsi="仿宋_GB2312" w:eastAsia="仿宋_GB2312" w:cs="仿宋_GB2312"/>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77" w:type="dxa"/>
            <w:vAlign w:val="center"/>
          </w:tcPr>
          <w:p>
            <w:pPr>
              <w:widowControl/>
              <w:jc w:val="center"/>
              <w:rPr>
                <w:rFonts w:hint="eastAsia" w:ascii="仿宋_GB2312" w:hAnsi="仿宋_GB2312" w:eastAsia="仿宋_GB2312" w:cs="仿宋_GB2312"/>
                <w:color w:val="0C0C0C" w:themeColor="text1" w:themeTint="F2"/>
                <w:kern w:val="0"/>
              </w:rPr>
            </w:pPr>
          </w:p>
        </w:tc>
        <w:tc>
          <w:tcPr>
            <w:tcW w:w="1316" w:type="dxa"/>
            <w:vAlign w:val="center"/>
          </w:tcPr>
          <w:p>
            <w:pPr>
              <w:widowControl/>
              <w:jc w:val="center"/>
              <w:rPr>
                <w:rFonts w:hint="eastAsia" w:ascii="仿宋_GB2312" w:hAnsi="仿宋_GB2312" w:eastAsia="仿宋_GB2312" w:cs="仿宋_GB2312"/>
                <w:color w:val="0C0C0C" w:themeColor="text1" w:themeTint="F2"/>
                <w:kern w:val="0"/>
              </w:rPr>
            </w:pPr>
          </w:p>
        </w:tc>
        <w:tc>
          <w:tcPr>
            <w:tcW w:w="1701" w:type="dxa"/>
            <w:vAlign w:val="center"/>
          </w:tcPr>
          <w:p>
            <w:pPr>
              <w:widowControl/>
              <w:jc w:val="center"/>
              <w:rPr>
                <w:rFonts w:hint="eastAsia" w:ascii="仿宋_GB2312" w:hAnsi="仿宋_GB2312" w:eastAsia="仿宋_GB2312" w:cs="仿宋_GB2312"/>
                <w:color w:val="0C0C0C" w:themeColor="text1" w:themeTint="F2"/>
                <w:kern w:val="0"/>
              </w:rPr>
            </w:pPr>
          </w:p>
        </w:tc>
        <w:tc>
          <w:tcPr>
            <w:tcW w:w="1701" w:type="dxa"/>
            <w:vAlign w:val="center"/>
          </w:tcPr>
          <w:p>
            <w:pPr>
              <w:widowControl/>
              <w:jc w:val="center"/>
              <w:rPr>
                <w:rFonts w:hint="eastAsia" w:ascii="仿宋_GB2312" w:hAnsi="仿宋_GB2312" w:eastAsia="仿宋_GB2312" w:cs="仿宋_GB2312"/>
                <w:color w:val="0C0C0C" w:themeColor="text1" w:themeTint="F2"/>
                <w:kern w:val="0"/>
              </w:rPr>
            </w:pPr>
          </w:p>
        </w:tc>
        <w:tc>
          <w:tcPr>
            <w:tcW w:w="1701" w:type="dxa"/>
            <w:vAlign w:val="center"/>
          </w:tcPr>
          <w:p>
            <w:pPr>
              <w:widowControl/>
              <w:jc w:val="center"/>
              <w:rPr>
                <w:rFonts w:hint="eastAsia" w:ascii="仿宋_GB2312" w:hAnsi="仿宋_GB2312" w:eastAsia="仿宋_GB2312" w:cs="仿宋_GB2312"/>
                <w:color w:val="0C0C0C" w:themeColor="text1" w:themeTint="F2"/>
                <w:kern w:val="0"/>
              </w:rPr>
            </w:pPr>
          </w:p>
        </w:tc>
        <w:tc>
          <w:tcPr>
            <w:tcW w:w="1701" w:type="dxa"/>
            <w:vAlign w:val="center"/>
          </w:tcPr>
          <w:p>
            <w:pPr>
              <w:widowControl/>
              <w:jc w:val="center"/>
              <w:rPr>
                <w:rFonts w:hint="eastAsia" w:ascii="仿宋_GB2312" w:hAnsi="仿宋_GB2312" w:eastAsia="仿宋_GB2312" w:cs="仿宋_GB2312"/>
                <w:color w:val="0C0C0C" w:themeColor="text1" w:themeTint="F2"/>
                <w:kern w:val="0"/>
              </w:rPr>
            </w:pPr>
          </w:p>
        </w:tc>
        <w:tc>
          <w:tcPr>
            <w:tcW w:w="1559" w:type="dxa"/>
            <w:vAlign w:val="center"/>
          </w:tcPr>
          <w:p>
            <w:pPr>
              <w:widowControl/>
              <w:jc w:val="center"/>
              <w:rPr>
                <w:rFonts w:hint="eastAsia" w:ascii="仿宋_GB2312" w:hAnsi="仿宋_GB2312" w:eastAsia="仿宋_GB2312" w:cs="仿宋_GB2312"/>
                <w:color w:val="0C0C0C" w:themeColor="text1" w:themeTint="F2"/>
                <w:kern w:val="0"/>
              </w:rPr>
            </w:pPr>
          </w:p>
        </w:tc>
        <w:tc>
          <w:tcPr>
            <w:tcW w:w="1418" w:type="dxa"/>
            <w:vAlign w:val="center"/>
          </w:tcPr>
          <w:p>
            <w:pPr>
              <w:widowControl/>
              <w:jc w:val="center"/>
              <w:rPr>
                <w:rFonts w:hint="eastAsia" w:ascii="仿宋_GB2312" w:hAnsi="仿宋_GB2312" w:eastAsia="仿宋_GB2312" w:cs="仿宋_GB2312"/>
                <w:color w:val="0C0C0C" w:themeColor="text1" w:themeTint="F2"/>
                <w:kern w:val="0"/>
              </w:rPr>
            </w:pPr>
          </w:p>
        </w:tc>
        <w:tc>
          <w:tcPr>
            <w:tcW w:w="1376" w:type="dxa"/>
            <w:vAlign w:val="center"/>
          </w:tcPr>
          <w:p>
            <w:pPr>
              <w:widowControl/>
              <w:jc w:val="center"/>
              <w:rPr>
                <w:rFonts w:hint="eastAsia" w:ascii="仿宋_GB2312" w:hAnsi="仿宋_GB2312" w:eastAsia="仿宋_GB2312" w:cs="仿宋_GB2312"/>
                <w:color w:val="0C0C0C" w:themeColor="text1" w:themeTint="F2"/>
                <w:kern w:val="0"/>
              </w:rPr>
            </w:pPr>
          </w:p>
        </w:tc>
      </w:tr>
    </w:tbl>
    <w:p>
      <w:pPr>
        <w:snapToGrid w:val="0"/>
        <w:jc w:val="left"/>
        <w:rPr>
          <w:rFonts w:ascii="仿宋_GB2312" w:eastAsia="仿宋_GB2312"/>
          <w:color w:val="0C0C0C" w:themeColor="text1" w:themeTint="F2"/>
          <w:sz w:val="30"/>
          <w:szCs w:val="30"/>
        </w:rPr>
      </w:pPr>
    </w:p>
    <w:p>
      <w:pPr>
        <w:snapToGrid w:val="0"/>
        <w:jc w:val="left"/>
        <w:rPr>
          <w:rFonts w:ascii="仿宋_GB2312" w:eastAsia="仿宋_GB2312"/>
          <w:color w:val="0C0C0C" w:themeColor="text1" w:themeTint="F2"/>
          <w:sz w:val="30"/>
          <w:szCs w:val="30"/>
        </w:rPr>
      </w:pPr>
    </w:p>
    <w:p>
      <w:pPr>
        <w:snapToGrid w:val="0"/>
        <w:jc w:val="left"/>
        <w:rPr>
          <w:rFonts w:ascii="仿宋_GB2312" w:eastAsia="仿宋_GB2312"/>
          <w:color w:val="0C0C0C" w:themeColor="text1" w:themeTint="F2"/>
          <w:sz w:val="30"/>
          <w:szCs w:val="30"/>
        </w:rPr>
      </w:pPr>
    </w:p>
    <w:p>
      <w:pPr>
        <w:snapToGrid w:val="0"/>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附表6</w:t>
      </w:r>
    </w:p>
    <w:p>
      <w:pPr>
        <w:snapToGrid w:val="0"/>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2020年涉水产品经营单位国家随机监督抽查信息汇总表</w:t>
      </w:r>
    </w:p>
    <w:tbl>
      <w:tblPr>
        <w:tblStyle w:val="7"/>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vAlign w:val="center"/>
          </w:tcPr>
          <w:p>
            <w:pPr>
              <w:spacing w:line="32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单位类别</w:t>
            </w:r>
          </w:p>
        </w:tc>
        <w:tc>
          <w:tcPr>
            <w:tcW w:w="1134"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检查</w:t>
            </w:r>
          </w:p>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单位数</w:t>
            </w:r>
          </w:p>
        </w:tc>
        <w:tc>
          <w:tcPr>
            <w:tcW w:w="1134"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单位</w:t>
            </w:r>
          </w:p>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合格数</w:t>
            </w:r>
            <w:r>
              <w:rPr>
                <w:rFonts w:hint="eastAsia" w:ascii="黑体" w:hAnsi="黑体" w:eastAsia="黑体" w:cs="黑体"/>
                <w:color w:val="0C0C0C" w:themeColor="text1" w:themeTint="F2"/>
                <w:sz w:val="21"/>
                <w:szCs w:val="21"/>
                <w:vertAlign w:val="superscript"/>
              </w:rPr>
              <w:t>（a）</w:t>
            </w:r>
          </w:p>
        </w:tc>
        <w:tc>
          <w:tcPr>
            <w:tcW w:w="1134"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检查</w:t>
            </w:r>
          </w:p>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产品数</w:t>
            </w:r>
          </w:p>
        </w:tc>
        <w:tc>
          <w:tcPr>
            <w:tcW w:w="1134"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产品检查合格数</w:t>
            </w:r>
            <w:r>
              <w:rPr>
                <w:rFonts w:hint="eastAsia" w:ascii="黑体" w:hAnsi="黑体" w:eastAsia="黑体" w:cs="黑体"/>
                <w:color w:val="0C0C0C" w:themeColor="text1" w:themeTint="F2"/>
                <w:sz w:val="21"/>
                <w:szCs w:val="21"/>
                <w:vertAlign w:val="superscript"/>
              </w:rPr>
              <w:t>（b）</w:t>
            </w:r>
          </w:p>
        </w:tc>
        <w:tc>
          <w:tcPr>
            <w:tcW w:w="1134"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发现无证产品数</w:t>
            </w:r>
          </w:p>
        </w:tc>
        <w:tc>
          <w:tcPr>
            <w:tcW w:w="993"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检测</w:t>
            </w:r>
          </w:p>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产品数</w:t>
            </w:r>
          </w:p>
        </w:tc>
        <w:tc>
          <w:tcPr>
            <w:tcW w:w="1134"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产品检测合格数</w:t>
            </w:r>
          </w:p>
        </w:tc>
        <w:tc>
          <w:tcPr>
            <w:tcW w:w="1275"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责令限期改正单位数</w:t>
            </w:r>
          </w:p>
        </w:tc>
        <w:tc>
          <w:tcPr>
            <w:tcW w:w="993"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案件数</w:t>
            </w:r>
          </w:p>
        </w:tc>
        <w:tc>
          <w:tcPr>
            <w:tcW w:w="1096"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在华责任单位</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275"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096"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城市实体经销单位</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w:t>
            </w:r>
          </w:p>
        </w:tc>
        <w:tc>
          <w:tcPr>
            <w:tcW w:w="1275"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096"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乡镇实体经销单位</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w:t>
            </w:r>
          </w:p>
        </w:tc>
        <w:tc>
          <w:tcPr>
            <w:tcW w:w="1275"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096"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网店</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w:t>
            </w:r>
          </w:p>
        </w:tc>
        <w:tc>
          <w:tcPr>
            <w:tcW w:w="1275"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096"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现制现售饮用水经营单位</w:t>
            </w:r>
            <w:r>
              <w:rPr>
                <w:rFonts w:hint="eastAsia" w:ascii="仿宋_GB2312" w:hAnsi="仿宋_GB2312" w:eastAsia="仿宋_GB2312" w:cs="仿宋_GB2312"/>
                <w:color w:val="0C0C0C" w:themeColor="text1" w:themeTint="F2"/>
                <w:sz w:val="21"/>
                <w:szCs w:val="21"/>
                <w:vertAlign w:val="superscript"/>
              </w:rPr>
              <w:t>（c）</w:t>
            </w: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134"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275"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993"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c>
          <w:tcPr>
            <w:tcW w:w="1096" w:type="dxa"/>
            <w:vAlign w:val="center"/>
          </w:tcPr>
          <w:p>
            <w:pPr>
              <w:spacing w:line="320" w:lineRule="exact"/>
              <w:jc w:val="center"/>
              <w:rPr>
                <w:rFonts w:hint="eastAsia" w:ascii="仿宋_GB2312" w:hAnsi="仿宋_GB2312" w:eastAsia="仿宋_GB2312" w:cs="仿宋_GB2312"/>
                <w:color w:val="0C0C0C" w:themeColor="text1" w:themeTint="F2"/>
                <w:sz w:val="21"/>
                <w:szCs w:val="21"/>
              </w:rPr>
            </w:pPr>
          </w:p>
        </w:tc>
      </w:tr>
    </w:tbl>
    <w:p>
      <w:pPr>
        <w:snapToGrid w:val="0"/>
        <w:spacing w:beforeLines="50" w:line="240" w:lineRule="exact"/>
        <w:ind w:left="420"/>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a.产品取得卫生许可批件，产品检查和检测均合格的单位数。</w:t>
      </w:r>
    </w:p>
    <w:p>
      <w:pPr>
        <w:snapToGrid w:val="0"/>
        <w:spacing w:line="240" w:lineRule="exact"/>
        <w:ind w:left="420"/>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b.产品取得卫生许可批件及标签、说明书均合格的产品数。</w:t>
      </w:r>
    </w:p>
    <w:p>
      <w:pPr>
        <w:snapToGrid w:val="0"/>
        <w:spacing w:line="240" w:lineRule="exact"/>
        <w:ind w:firstLine="435"/>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c.产品数指应用现场数。</w:t>
      </w:r>
    </w:p>
    <w:p>
      <w:pPr>
        <w:adjustRightInd w:val="0"/>
        <w:snapToGrid w:val="0"/>
        <w:spacing w:line="560" w:lineRule="exact"/>
        <w:ind w:firstLine="640" w:firstLineChars="200"/>
        <w:rPr>
          <w:rFonts w:ascii="仿宋_GB2312" w:eastAsia="仿宋_GB2312"/>
          <w:color w:val="0C0C0C" w:themeColor="text1" w:themeTint="F2"/>
          <w:sz w:val="32"/>
          <w:szCs w:val="32"/>
        </w:rPr>
        <w:sectPr>
          <w:pgSz w:w="16838" w:h="11906" w:orient="landscape"/>
          <w:pgMar w:top="1701" w:right="1418" w:bottom="1417" w:left="1418"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eastAsia="黑体"/>
          <w:color w:val="0C0C0C" w:themeColor="text1" w:themeTint="F2"/>
          <w:sz w:val="32"/>
          <w:szCs w:val="32"/>
        </w:rPr>
      </w:pPr>
      <w:r>
        <w:rPr>
          <w:rFonts w:hint="eastAsia" w:ascii="黑体" w:eastAsia="黑体" w:cs="黑体"/>
          <w:color w:val="0C0C0C" w:themeColor="text1" w:themeTint="F2"/>
          <w:sz w:val="32"/>
          <w:szCs w:val="32"/>
        </w:rPr>
        <w:t>三、消毒产品</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抽查辖区30%的第一类消毒产品生产企业和在华责任单位；30%的除抗抑菌制剂以外的第二类消毒产品生产企业和在华责任单位；30%的抗抑菌制剂生产企业和在华责任单位；25%的第三类消毒产品生产企业和在华责任单位。</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（二）监督检查内容。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原材料卫生质量、禁用物质、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3.第三类消毒产品生产企业监督检查内容：包括生产条件、生产过程以及消毒产品标签和说明书等。其中尿布等排泄物卫生用品生产企业重点检查原材料卫生质量、空气消毒设施、出厂检验报告。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4.抽查产品及检测项目详见附表1。第一类消毒产品生产企业和在华责任单位抽取不少于15个产品进行检验，重点抽检含碘消毒液。（如产品总数不足15个，则被抽取到的生产企业及在华责任单位的产品全部进行检验）；第二类消毒产品生产企业和在华责任单位抽取不少于25个产品（其中抗抑菌产品≥15个）进行检验。（如产品总数不足25个，则被抽取到的生产企业及在华责任单位的产品全部进行检验）；第三类消毒产品生产企业和在华责任单位抽取不少于10个产品进行检验，重点抽检成人排泄物卫生用品。（如产品总数不足10个，则被抽取到的生产企业及在华责任单位的产品全部进行检验）。若“双随机”对象被抽检到所属类别的消毒产品数量不足，则以该企业其他类别消毒产品数量补足。</w:t>
      </w:r>
    </w:p>
    <w:p>
      <w:pPr>
        <w:keepNext w:val="0"/>
        <w:keepLines w:val="0"/>
        <w:pageBreakBefore w:val="0"/>
        <w:widowControl w:val="0"/>
        <w:tabs>
          <w:tab w:val="left" w:pos="6705"/>
        </w:tabs>
        <w:kinsoku/>
        <w:wordWrap/>
        <w:overflowPunct/>
        <w:topLinePunct w:val="0"/>
        <w:autoSpaceDE/>
        <w:autoSpaceDN/>
        <w:bidi w:val="0"/>
        <w:spacing w:line="560" w:lineRule="exact"/>
        <w:ind w:firstLine="64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（三）工作要求。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1.各地要高度重视消毒产品国家监督抽查工作，结合实际制订本辖区的工作方案并按计划、分步骤组织实施。抽查过程中发现消毒产品生产企业存在违法行为，要依法严肃查处，重大案件及时上报查处情况。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2.各地要于11月10日前完成全部抽查任务和数据填报工作，将纸质及电子版监督检查工作总结报送监督所。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3.消毒产品国家监督抽查表头标记有“★”的汇总表，尚不能通过“信息报告系统”个案填报直接生成，仍需以填报汇总表方式上报信息。将表头标记有“★”的汇总表电子版发送至</w:t>
      </w:r>
      <w:r>
        <w:rPr>
          <w:rFonts w:hint="default" w:ascii="Times New Roman" w:hAnsi="Times New Roman" w:eastAsia="仿宋_GB2312" w:cs="Times New Roman"/>
          <w:color w:val="0C0C0C" w:themeColor="text1" w:themeTint="F2"/>
          <w:sz w:val="32"/>
          <w:szCs w:val="32"/>
        </w:rPr>
        <w:t>gxwsjd2@163.com</w:t>
      </w:r>
      <w:r>
        <w:rPr>
          <w:rFonts w:hint="eastAsia" w:ascii="仿宋_GB2312" w:eastAsia="仿宋_GB2312" w:cs="仿宋"/>
          <w:color w:val="0C0C0C" w:themeColor="text1" w:themeTint="F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联 系 人：自治区卫生监督所监督二科  刘军威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 xml:space="preserve">联系电话：0771-5320553、0771-5317810（传真）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rPr>
          <w:rFonts w:hint="eastAsia" w:ascii="仿宋_GB2312" w:eastAsia="仿宋_GB2312" w:cs="仿宋"/>
          <w:color w:val="0C0C0C" w:themeColor="text1" w:themeTint="F2"/>
          <w:sz w:val="32"/>
          <w:szCs w:val="32"/>
          <w:lang w:eastAsia="zh-CN"/>
        </w:rPr>
      </w:pPr>
      <w:r>
        <w:rPr>
          <w:rFonts w:hint="eastAsia" w:ascii="仿宋_GB2312" w:eastAsia="仿宋_GB2312" w:cs="仿宋"/>
          <w:color w:val="0C0C0C" w:themeColor="text1" w:themeTint="F2"/>
          <w:sz w:val="32"/>
          <w:szCs w:val="32"/>
          <w:lang w:eastAsia="zh-CN"/>
        </w:rPr>
        <w:t>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附表：1.2020年消毒产品国家随机监督抽查计划表</w:t>
      </w:r>
    </w:p>
    <w:p>
      <w:pPr>
        <w:keepNext w:val="0"/>
        <w:keepLines w:val="0"/>
        <w:pageBreakBefore w:val="0"/>
        <w:widowControl w:val="0"/>
        <w:kinsoku/>
        <w:wordWrap/>
        <w:overflowPunct/>
        <w:topLinePunct w:val="0"/>
        <w:autoSpaceDE/>
        <w:autoSpaceDN/>
        <w:bidi w:val="0"/>
        <w:spacing w:line="560" w:lineRule="exact"/>
        <w:textAlignment w:val="auto"/>
        <w:outlineLvl w:val="0"/>
        <w:rPr>
          <w:rFonts w:ascii="仿宋_GB2312" w:eastAsia="仿宋_GB2312" w:cs="仿宋"/>
          <w:color w:val="0C0C0C" w:themeColor="text1" w:themeTint="F2"/>
          <w:spacing w:val="-6"/>
          <w:sz w:val="32"/>
          <w:szCs w:val="32"/>
        </w:rPr>
      </w:pPr>
      <w:r>
        <w:rPr>
          <w:rFonts w:hint="eastAsia" w:ascii="仿宋_GB2312" w:eastAsia="仿宋_GB2312" w:cs="仿宋"/>
          <w:color w:val="0C0C0C" w:themeColor="text1" w:themeTint="F2"/>
          <w:sz w:val="32"/>
          <w:szCs w:val="32"/>
        </w:rPr>
        <w:t xml:space="preserve">          2</w:t>
      </w:r>
      <w:r>
        <w:rPr>
          <w:rFonts w:hint="eastAsia" w:ascii="仿宋_GB2312" w:eastAsia="仿宋_GB2312" w:cs="仿宋"/>
          <w:color w:val="0C0C0C" w:themeColor="text1" w:themeTint="F2"/>
          <w:spacing w:val="-6"/>
          <w:sz w:val="32"/>
          <w:szCs w:val="32"/>
        </w:rPr>
        <w:t xml:space="preserve">.2020年消毒产品生产企业国家随机监督抽查检查表 </w:t>
      </w:r>
    </w:p>
    <w:p>
      <w:pPr>
        <w:keepNext w:val="0"/>
        <w:keepLines w:val="0"/>
        <w:pageBreakBefore w:val="0"/>
        <w:widowControl w:val="0"/>
        <w:kinsoku/>
        <w:wordWrap/>
        <w:overflowPunct/>
        <w:topLinePunct w:val="0"/>
        <w:autoSpaceDE/>
        <w:autoSpaceDN/>
        <w:bidi w:val="0"/>
        <w:spacing w:line="560" w:lineRule="exact"/>
        <w:textAlignment w:val="auto"/>
        <w:outlineLvl w:val="0"/>
        <w:rPr>
          <w:rFonts w:ascii="仿宋_GB2312" w:eastAsia="仿宋_GB2312" w:cs="仿宋"/>
          <w:color w:val="0C0C0C" w:themeColor="text1" w:themeTint="F2"/>
          <w:spacing w:val="-6"/>
          <w:sz w:val="32"/>
          <w:szCs w:val="32"/>
        </w:rPr>
        <w:sectPr>
          <w:footerReference r:id="rId5" w:type="default"/>
          <w:pgSz w:w="11906" w:h="16838"/>
          <w:pgMar w:top="1701" w:right="1417" w:bottom="1417" w:left="1701" w:header="851" w:footer="992" w:gutter="0"/>
          <w:pgNumType w:fmt="decimal"/>
          <w:cols w:space="0" w:num="1"/>
          <w:rtlGutter w:val="0"/>
          <w:docGrid w:linePitch="312" w:charSpace="0"/>
        </w:sect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3.</w:t>
      </w:r>
      <w:r>
        <w:rPr>
          <w:rFonts w:hint="eastAsia" w:ascii="仿宋_GB2312" w:eastAsia="仿宋_GB2312" w:cs="仿宋"/>
          <w:color w:val="0C0C0C" w:themeColor="text1" w:themeTint="F2"/>
          <w:spacing w:val="-6"/>
          <w:sz w:val="32"/>
          <w:szCs w:val="32"/>
        </w:rPr>
        <w:t xml:space="preserve">2020年消毒产品国家随机监督抽查案件查处汇总表   </w:t>
      </w:r>
    </w:p>
    <w:p>
      <w:pPr>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附表1</w:t>
      </w:r>
    </w:p>
    <w:p>
      <w:pPr>
        <w:spacing w:line="560" w:lineRule="exact"/>
        <w:ind w:left="1"/>
        <w:jc w:val="center"/>
        <w:rPr>
          <w:rFonts w:ascii="仿宋_GB2312" w:eastAsia="仿宋_GB2312" w:cs="宋体"/>
          <w:b/>
          <w:bCs/>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2020年消毒产品国家随机监督抽查计划表</w:t>
      </w:r>
    </w:p>
    <w:tbl>
      <w:tblPr>
        <w:tblStyle w:val="7"/>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42"/>
        <w:gridCol w:w="2694"/>
        <w:gridCol w:w="4252"/>
        <w:gridCol w:w="494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959" w:type="dxa"/>
            <w:vAlign w:val="center"/>
          </w:tcPr>
          <w:p>
            <w:pPr>
              <w:widowControl/>
              <w:spacing w:line="30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抽查</w:t>
            </w:r>
          </w:p>
          <w:p>
            <w:pPr>
              <w:widowControl/>
              <w:spacing w:line="30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企业</w:t>
            </w:r>
          </w:p>
        </w:tc>
        <w:tc>
          <w:tcPr>
            <w:tcW w:w="3436" w:type="dxa"/>
            <w:gridSpan w:val="2"/>
            <w:vAlign w:val="center"/>
          </w:tcPr>
          <w:p>
            <w:pPr>
              <w:widowControl/>
              <w:spacing w:line="30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抽检产品</w:t>
            </w:r>
          </w:p>
        </w:tc>
        <w:tc>
          <w:tcPr>
            <w:tcW w:w="4252" w:type="dxa"/>
            <w:vAlign w:val="center"/>
          </w:tcPr>
          <w:p>
            <w:pPr>
              <w:widowControl/>
              <w:spacing w:line="30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检查/检验项目</w:t>
            </w:r>
          </w:p>
        </w:tc>
        <w:tc>
          <w:tcPr>
            <w:tcW w:w="4949" w:type="dxa"/>
            <w:vAlign w:val="center"/>
          </w:tcPr>
          <w:p>
            <w:pPr>
              <w:widowControl/>
              <w:spacing w:line="30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检验/判定依据</w:t>
            </w:r>
          </w:p>
        </w:tc>
        <w:tc>
          <w:tcPr>
            <w:tcW w:w="863" w:type="dxa"/>
            <w:vAlign w:val="center"/>
          </w:tcPr>
          <w:p>
            <w:pPr>
              <w:widowControl/>
              <w:spacing w:line="30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59" w:type="dxa"/>
            <w:vMerge w:val="restart"/>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30%第一类消毒产品生产企业</w:t>
            </w:r>
          </w:p>
        </w:tc>
        <w:tc>
          <w:tcPr>
            <w:tcW w:w="742" w:type="dxa"/>
            <w:vMerge w:val="restart"/>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全省总数≥15个</w:t>
            </w: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消毒剂</w:t>
            </w:r>
          </w:p>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灭菌剂</w:t>
            </w:r>
          </w:p>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（重点检查含碘消毒液）</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有效成分含量检测（不能进行此项检测的做一项抗力最强微生物实验室杀灭试验）、一项抗力最强微生物实验室杀灭试验及稳定性试验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消毒器械</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主要杀菌因子强度检测（不能进行此项检测的做一项抗力最强微生物实验室杀灭试验）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灭菌器械</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实验室灭菌试验检测，其中压力蒸汽灭菌器、环氧乙烷灭菌器、过氧化氢气体等离子体低温灭菌器用生物指示物进行灭菌效果检测</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生物指示物</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含菌量检验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《消毒技术规范》《消毒产品卫生安全评价规定》《消毒产品卫生安全评价技术要求》（WS628-2018）、《卫生部消毒产品检验规定》、GB18282《医疗保健产品灭菌化学指示物》及产品企业标准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灭菌效果化学指示物</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按照说明书的灭菌周期进行变色性能检测</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《消毒技术规范》《消毒产品卫生安全评价规定》《消毒产品卫生安全评价技术要求》（WS628-2018）、《卫生部消毒产品检验规定》、GB18282《医疗保健产品灭菌化学指示物》及产品企业标准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59" w:type="dxa"/>
            <w:vMerge w:val="restart"/>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30%抗（抑）菌剂以外的第二类消毒产品</w:t>
            </w:r>
          </w:p>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生产企业</w:t>
            </w:r>
          </w:p>
          <w:p>
            <w:pPr>
              <w:spacing w:line="300" w:lineRule="exact"/>
              <w:jc w:val="center"/>
              <w:rPr>
                <w:rFonts w:hint="eastAsia" w:ascii="仿宋_GB2312" w:hAnsi="仿宋_GB2312" w:eastAsia="仿宋_GB2312" w:cs="仿宋_GB2312"/>
                <w:color w:val="0C0C0C" w:themeColor="text1" w:themeTint="F2"/>
                <w:sz w:val="21"/>
                <w:szCs w:val="21"/>
              </w:rPr>
            </w:pPr>
          </w:p>
        </w:tc>
        <w:tc>
          <w:tcPr>
            <w:tcW w:w="742" w:type="dxa"/>
            <w:vMerge w:val="restart"/>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全省总数≥25个</w:t>
            </w:r>
          </w:p>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其中，抗（抑）菌产品≥15个</w:t>
            </w:r>
          </w:p>
        </w:tc>
        <w:tc>
          <w:tcPr>
            <w:tcW w:w="2694" w:type="dxa"/>
            <w:vAlign w:val="center"/>
          </w:tcPr>
          <w:p>
            <w:pPr>
              <w:spacing w:line="300" w:lineRule="exact"/>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医疗器械中低水平消毒剂、空气消毒剂、手消毒剂、物体表面消毒剂、游泳池水消毒剂</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空气消毒器、紫外线杀菌灯、食具消毒柜、产生化学因子的其他消毒器械和中、低水平消毒器械</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化学指示物（用于测定化学消毒剂浓度的化学指示物、用于测定紫外线强度的化学指示物、用于灭菌过程监测的化学指示物、B-D纸或包）、带有灭菌标示的灭菌物品包装物</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变色性能检验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59" w:type="dxa"/>
            <w:vMerge w:val="continue"/>
            <w:vAlign w:val="center"/>
          </w:tcPr>
          <w:p>
            <w:pPr>
              <w:rPr>
                <w:rFonts w:hint="eastAsia" w:ascii="仿宋_GB2312" w:hAnsi="仿宋_GB2312" w:eastAsia="仿宋_GB2312" w:cs="仿宋_GB2312"/>
                <w:color w:val="0C0C0C" w:themeColor="text1" w:themeTint="F2"/>
                <w:sz w:val="21"/>
                <w:szCs w:val="21"/>
              </w:rPr>
            </w:pPr>
          </w:p>
        </w:tc>
        <w:tc>
          <w:tcPr>
            <w:tcW w:w="742" w:type="dxa"/>
            <w:vMerge w:val="continue"/>
            <w:vAlign w:val="center"/>
          </w:tcPr>
          <w:p>
            <w:pPr>
              <w:rPr>
                <w:rFonts w:hint="eastAsia" w:ascii="仿宋_GB2312" w:hAnsi="仿宋_GB2312" w:eastAsia="仿宋_GB2312" w:cs="仿宋_GB2312"/>
                <w:color w:val="0C0C0C" w:themeColor="text1" w:themeTint="F2"/>
                <w:sz w:val="21"/>
                <w:szCs w:val="21"/>
              </w:rPr>
            </w:pP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抗（抑）菌剂</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有效成分含量检测（有效成分为非单纯化学成分的做一项抗力最强微生物实验室杀灭或抑菌试验）、稳定性及一项抗力最强微生物实验室杀灭（抑制）试验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《消毒技术规范》《消毒产品标签说明书管理规范》《消毒产品卫生安全评价规定》、《消毒产品卫生安全评价技术要求》（WS628-2018）、GB15979《一次性使用卫生用品卫生标准》及产品企业标准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59"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25%第三类消毒产品生产企业</w:t>
            </w:r>
          </w:p>
        </w:tc>
        <w:tc>
          <w:tcPr>
            <w:tcW w:w="742"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全省总数≥10个</w:t>
            </w:r>
          </w:p>
        </w:tc>
        <w:tc>
          <w:tcPr>
            <w:tcW w:w="2694"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排泄物卫生用品（重点检查成人排泄物卫生用品）</w:t>
            </w:r>
          </w:p>
        </w:tc>
        <w:tc>
          <w:tcPr>
            <w:tcW w:w="4252"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产品微生物指标检验</w:t>
            </w:r>
          </w:p>
        </w:tc>
        <w:tc>
          <w:tcPr>
            <w:tcW w:w="4949" w:type="dxa"/>
            <w:vAlign w:val="center"/>
          </w:tcPr>
          <w:p>
            <w:pPr>
              <w:spacing w:line="300" w:lineRule="exac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《消毒技术规范》、GB15979《一次性使用卫生用品卫生标准》</w:t>
            </w:r>
          </w:p>
        </w:tc>
        <w:tc>
          <w:tcPr>
            <w:tcW w:w="863" w:type="dxa"/>
            <w:vAlign w:val="center"/>
          </w:tcPr>
          <w:p>
            <w:pPr>
              <w:spacing w:line="300" w:lineRule="exact"/>
              <w:jc w:val="center"/>
              <w:rPr>
                <w:rFonts w:hint="eastAsia" w:ascii="仿宋_GB2312" w:hAnsi="仿宋_GB2312" w:eastAsia="仿宋_GB2312" w:cs="仿宋_GB2312"/>
                <w:color w:val="0C0C0C" w:themeColor="text1" w:themeTint="F2"/>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0C0C0C" w:themeColor="text1" w:themeTint="F2"/>
          <w:sz w:val="32"/>
          <w:szCs w:val="32"/>
        </w:rPr>
      </w:pPr>
      <w:r>
        <w:rPr>
          <w:rFonts w:hint="eastAsia" w:ascii="仿宋_GB2312" w:eastAsia="仿宋_GB2312" w:cs="黑体"/>
          <w:color w:val="0C0C0C" w:themeColor="text1" w:themeTint="F2"/>
          <w:sz w:val="32"/>
          <w:szCs w:val="32"/>
        </w:rPr>
        <w:br w:type="page"/>
      </w:r>
      <w:r>
        <w:rPr>
          <w:rFonts w:hint="eastAsia" w:ascii="黑体" w:hAnsi="黑体" w:eastAsia="黑体" w:cs="黑体"/>
          <w:color w:val="0C0C0C" w:themeColor="text1" w:themeTint="F2"/>
          <w:sz w:val="32"/>
          <w:szCs w:val="32"/>
        </w:rPr>
        <w:t>附表2</w:t>
      </w:r>
    </w:p>
    <w:p>
      <w:pPr>
        <w:keepNext w:val="0"/>
        <w:keepLines w:val="0"/>
        <w:pageBreakBefore w:val="0"/>
        <w:widowControl w:val="0"/>
        <w:kinsoku/>
        <w:wordWrap/>
        <w:overflowPunct/>
        <w:topLinePunct w:val="0"/>
        <w:autoSpaceDE/>
        <w:autoSpaceDN/>
        <w:bidi w:val="0"/>
        <w:adjustRightInd/>
        <w:snapToGrid/>
        <w:spacing w:line="560" w:lineRule="exact"/>
        <w:ind w:left="1"/>
        <w:jc w:val="center"/>
        <w:textAlignment w:val="auto"/>
        <w:outlineLvl w:val="9"/>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2020年消毒产品生产企业国家随机监督抽查检查表</w:t>
      </w:r>
    </w:p>
    <w:p>
      <w:pPr>
        <w:spacing w:line="560" w:lineRule="exact"/>
        <w:ind w:left="1"/>
        <w:jc w:val="center"/>
        <w:rPr>
          <w:rFonts w:ascii="仿宋_GB2312" w:eastAsia="仿宋_GB2312"/>
          <w:b/>
          <w:bCs/>
          <w:color w:val="0C0C0C" w:themeColor="text1" w:themeTint="F2"/>
          <w:sz w:val="44"/>
          <w:szCs w:val="44"/>
        </w:rPr>
      </w:pPr>
    </w:p>
    <w:p>
      <w:pPr>
        <w:widowControl/>
        <w:spacing w:line="360" w:lineRule="auto"/>
        <w:ind w:firstLine="420" w:firstLineChars="200"/>
        <w:rPr>
          <w:rFonts w:ascii="仿宋_GB2312" w:eastAsia="仿宋_GB2312" w:cs="仿宋"/>
          <w:color w:val="0C0C0C" w:themeColor="text1" w:themeTint="F2"/>
          <w:kern w:val="0"/>
          <w:sz w:val="21"/>
          <w:szCs w:val="21"/>
        </w:rPr>
      </w:pPr>
      <w:r>
        <w:rPr>
          <w:rFonts w:hint="eastAsia" w:ascii="仿宋_GB2312" w:eastAsia="仿宋_GB2312" w:cs="仿宋"/>
          <w:color w:val="0C0C0C" w:themeColor="text1" w:themeTint="F2"/>
          <w:kern w:val="0"/>
          <w:sz w:val="21"/>
          <w:szCs w:val="21"/>
        </w:rPr>
        <w:t>企业名称：</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卫生许可证号：</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 xml:space="preserve"> 地址：</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 xml:space="preserve"> </w:t>
      </w:r>
    </w:p>
    <w:p>
      <w:pPr>
        <w:widowControl/>
        <w:spacing w:line="360" w:lineRule="auto"/>
        <w:ind w:firstLine="420" w:firstLineChars="200"/>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法定代表人</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联系人</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 xml:space="preserve"> 联系电话</w:t>
      </w:r>
      <w:r>
        <w:rPr>
          <w:rFonts w:hint="eastAsia" w:ascii="仿宋_GB2312" w:eastAsia="仿宋_GB2312" w:cs="仿宋"/>
          <w:color w:val="0C0C0C" w:themeColor="text1" w:themeTint="F2"/>
          <w:kern w:val="0"/>
          <w:sz w:val="21"/>
          <w:szCs w:val="21"/>
          <w:u w:val="single"/>
        </w:rPr>
        <w:t xml:space="preserve">                 </w:t>
      </w:r>
    </w:p>
    <w:p>
      <w:pPr>
        <w:widowControl/>
        <w:spacing w:line="360" w:lineRule="auto"/>
        <w:ind w:firstLine="420" w:firstLineChars="200"/>
        <w:rPr>
          <w:rFonts w:ascii="仿宋_GB2312" w:eastAsia="仿宋_GB2312" w:cs="仿宋"/>
          <w:color w:val="0C0C0C" w:themeColor="text1" w:themeTint="F2"/>
          <w:kern w:val="0"/>
          <w:sz w:val="21"/>
          <w:szCs w:val="21"/>
        </w:rPr>
      </w:pPr>
      <w:r>
        <w:rPr>
          <w:rFonts w:hint="eastAsia" w:ascii="仿宋_GB2312" w:eastAsia="仿宋_GB2312" w:cs="仿宋"/>
          <w:color w:val="0C0C0C" w:themeColor="text1" w:themeTint="F2"/>
          <w:kern w:val="0"/>
          <w:sz w:val="21"/>
          <w:szCs w:val="21"/>
        </w:rPr>
        <w:t>从业人员总数：</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 xml:space="preserve"> 生产车间面积： </w:t>
      </w:r>
      <w:r>
        <w:rPr>
          <w:rFonts w:hint="eastAsia" w:ascii="仿宋_GB2312" w:eastAsia="仿宋_GB2312" w:cs="仿宋"/>
          <w:color w:val="0C0C0C" w:themeColor="text1" w:themeTint="F2"/>
          <w:kern w:val="0"/>
          <w:sz w:val="21"/>
          <w:szCs w:val="21"/>
          <w:u w:val="single"/>
        </w:rPr>
        <w:t xml:space="preserve">                     </w:t>
      </w:r>
      <w:r>
        <w:rPr>
          <w:rFonts w:hint="eastAsia" w:ascii="仿宋_GB2312" w:eastAsia="仿宋_GB2312" w:cs="仿宋"/>
          <w:color w:val="0C0C0C" w:themeColor="text1" w:themeTint="F2"/>
          <w:kern w:val="0"/>
          <w:sz w:val="21"/>
          <w:szCs w:val="21"/>
        </w:rPr>
        <w:t xml:space="preserve">  </w:t>
      </w:r>
    </w:p>
    <w:tbl>
      <w:tblPr>
        <w:tblStyle w:val="7"/>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664"/>
        <w:gridCol w:w="1637"/>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34" w:type="dxa"/>
            <w:vAlign w:val="center"/>
          </w:tcPr>
          <w:p>
            <w:pPr>
              <w:spacing w:line="32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项目</w:t>
            </w:r>
          </w:p>
        </w:tc>
        <w:tc>
          <w:tcPr>
            <w:tcW w:w="1560" w:type="dxa"/>
            <w:vAlign w:val="center"/>
          </w:tcPr>
          <w:p>
            <w:pPr>
              <w:spacing w:line="32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风险类别</w:t>
            </w:r>
          </w:p>
        </w:tc>
        <w:tc>
          <w:tcPr>
            <w:tcW w:w="7664" w:type="dxa"/>
            <w:vAlign w:val="center"/>
          </w:tcPr>
          <w:p>
            <w:pPr>
              <w:spacing w:line="32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kern w:val="0"/>
                <w:sz w:val="21"/>
                <w:szCs w:val="21"/>
              </w:rPr>
              <w:t>重点检查内容</w:t>
            </w:r>
          </w:p>
        </w:tc>
        <w:tc>
          <w:tcPr>
            <w:tcW w:w="1637" w:type="dxa"/>
            <w:vAlign w:val="center"/>
          </w:tcPr>
          <w:p>
            <w:pPr>
              <w:widowControl/>
              <w:spacing w:line="32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检查结果</w:t>
            </w:r>
          </w:p>
        </w:tc>
        <w:tc>
          <w:tcPr>
            <w:tcW w:w="2140" w:type="dxa"/>
            <w:vAlign w:val="center"/>
          </w:tcPr>
          <w:p>
            <w:pPr>
              <w:widowControl/>
              <w:spacing w:line="320" w:lineRule="exact"/>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34"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卫生许可</w:t>
            </w:r>
          </w:p>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持证情况</w:t>
            </w:r>
          </w:p>
        </w:tc>
        <w:tc>
          <w:tcPr>
            <w:tcW w:w="1560"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全部类别</w:t>
            </w: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法定代表人、企业名称、企业生产地址是否与实际一致</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sz w:val="21"/>
                <w:szCs w:val="21"/>
              </w:rPr>
              <w:t>是□ 否□</w:t>
            </w:r>
          </w:p>
        </w:tc>
        <w:tc>
          <w:tcPr>
            <w:tcW w:w="2140" w:type="dxa"/>
            <w:vAlign w:val="center"/>
          </w:tcPr>
          <w:p>
            <w:pPr>
              <w:widowControl/>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生产类别、项目是否与实际一致</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widowControl/>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卫生许可证是否在有效期</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widowControl/>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生产条件</w:t>
            </w:r>
          </w:p>
        </w:tc>
        <w:tc>
          <w:tcPr>
            <w:tcW w:w="1560" w:type="dxa"/>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全部类别</w:t>
            </w: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生产车间布局、流程、生产设施设备是否与申报时一致</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widowControl/>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rPr>
                <w:color w:val="0C0C0C" w:themeColor="text1" w:themeTint="F2"/>
                <w:sz w:val="21"/>
                <w:szCs w:val="21"/>
              </w:rPr>
            </w:pPr>
          </w:p>
        </w:tc>
        <w:tc>
          <w:tcPr>
            <w:tcW w:w="1560" w:type="dxa"/>
            <w:vMerge w:val="restart"/>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第一类产品</w:t>
            </w:r>
          </w:p>
        </w:tc>
        <w:tc>
          <w:tcPr>
            <w:tcW w:w="7664" w:type="dxa"/>
            <w:vAlign w:val="center"/>
          </w:tcPr>
          <w:p>
            <w:pPr>
              <w:jc w:val="both"/>
              <w:rPr>
                <w:rFonts w:ascii="仿宋_GB2312" w:eastAsia="仿宋_GB2312"/>
                <w:color w:val="0C0C0C" w:themeColor="text1" w:themeTint="F2"/>
                <w:sz w:val="21"/>
                <w:szCs w:val="21"/>
              </w:rPr>
            </w:pPr>
            <w:r>
              <w:rPr>
                <w:rFonts w:hint="eastAsia" w:ascii="仿宋_GB2312" w:eastAsia="仿宋_GB2312" w:cs="仿宋"/>
                <w:color w:val="0C0C0C" w:themeColor="text1" w:themeTint="F2"/>
                <w:kern w:val="0"/>
                <w:sz w:val="21"/>
                <w:szCs w:val="21"/>
              </w:rPr>
              <w:t>医疗器械高水平消毒剂、灭菌剂生产用水是否符合相应要求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sz w:val="21"/>
                <w:szCs w:val="21"/>
              </w:rPr>
            </w:pPr>
            <w:r>
              <w:rPr>
                <w:rFonts w:hint="eastAsia" w:ascii="仿宋_GB2312" w:eastAsia="仿宋_GB2312" w:cs="仿宋"/>
                <w:color w:val="0C0C0C" w:themeColor="text1" w:themeTint="F2"/>
                <w:kern w:val="0"/>
                <w:sz w:val="21"/>
                <w:szCs w:val="21"/>
              </w:rPr>
              <w:t>皮肤黏膜消毒剂的净化车间和生产用水是否符合相应要求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sz w:val="21"/>
                <w:szCs w:val="21"/>
              </w:rPr>
            </w:pPr>
            <w:r>
              <w:rPr>
                <w:rFonts w:hint="eastAsia" w:ascii="仿宋_GB2312" w:eastAsia="仿宋_GB2312" w:cs="仿宋"/>
                <w:color w:val="0C0C0C" w:themeColor="text1" w:themeTint="F2"/>
                <w:kern w:val="0"/>
                <w:sz w:val="21"/>
                <w:szCs w:val="21"/>
              </w:rPr>
              <w:t>生物指示物、灭菌效果化学指示物、医疗器械高水平消毒器械、灭菌器械的生产设施是否符合相应要求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vAlign w:val="center"/>
          </w:tcPr>
          <w:p>
            <w:pPr>
              <w:rPr>
                <w:color w:val="0C0C0C" w:themeColor="text1" w:themeTint="F2"/>
                <w:sz w:val="21"/>
                <w:szCs w:val="21"/>
              </w:rPr>
            </w:pPr>
          </w:p>
        </w:tc>
        <w:tc>
          <w:tcPr>
            <w:tcW w:w="1560" w:type="dxa"/>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第二类产品</w:t>
            </w: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用于皮肤黏膜的抗（抑）菌的净化车间、生产用水、生产设施是否符合相应要求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vAlign w:val="center"/>
          </w:tcPr>
          <w:p>
            <w:pPr>
              <w:rPr>
                <w:color w:val="0C0C0C" w:themeColor="text1" w:themeTint="F2"/>
                <w:sz w:val="21"/>
                <w:szCs w:val="21"/>
              </w:rPr>
            </w:pPr>
          </w:p>
        </w:tc>
        <w:tc>
          <w:tcPr>
            <w:tcW w:w="1560" w:type="dxa"/>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第三类产品</w:t>
            </w: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空气消毒设施是否符合相应要求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生产过程</w:t>
            </w:r>
          </w:p>
        </w:tc>
        <w:tc>
          <w:tcPr>
            <w:tcW w:w="1560"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全部类别</w:t>
            </w: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是否有合格的出厂检验报告</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是否有合格的生产记录</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原材料卫生质量</w:t>
            </w:r>
          </w:p>
        </w:tc>
        <w:tc>
          <w:tcPr>
            <w:tcW w:w="1560" w:type="dxa"/>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全部类别</w:t>
            </w: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是否能满足产品质量要求，符合相关质量标准和卫生行政部门的有关要求，符合企业标准要求，并能提供相应的检验报告或相应的产品质量证明材料</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vAlign w:val="center"/>
          </w:tcPr>
          <w:p>
            <w:pPr>
              <w:rPr>
                <w:color w:val="0C0C0C" w:themeColor="text1" w:themeTint="F2"/>
                <w:sz w:val="21"/>
                <w:szCs w:val="21"/>
              </w:rPr>
            </w:pPr>
          </w:p>
        </w:tc>
        <w:tc>
          <w:tcPr>
            <w:tcW w:w="1560" w:type="dxa"/>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第一、二类</w:t>
            </w: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是否使用禁用物质，第二类产品重点检查抗（抑）菌制剂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消毒产品卫生安全评价报告</w:t>
            </w:r>
          </w:p>
        </w:tc>
        <w:tc>
          <w:tcPr>
            <w:tcW w:w="1560" w:type="dxa"/>
            <w:vMerge w:val="restart"/>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第一、二类</w:t>
            </w:r>
          </w:p>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产品</w:t>
            </w: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企业需要进行卫生安全评价的第一类消毒产品数量</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个</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已完成卫生安全评价的第一类消毒产品数量</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个</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企业需要进行卫生安全评价的第二类消毒产品数量</w:t>
            </w:r>
          </w:p>
        </w:tc>
        <w:tc>
          <w:tcPr>
            <w:tcW w:w="1637" w:type="dxa"/>
            <w:vAlign w:val="center"/>
          </w:tcPr>
          <w:p>
            <w:pPr>
              <w:spacing w:line="320" w:lineRule="exact"/>
              <w:jc w:val="center"/>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个</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已完成卫生安全评价的第二类消毒产品数量</w:t>
            </w:r>
          </w:p>
        </w:tc>
        <w:tc>
          <w:tcPr>
            <w:tcW w:w="1637" w:type="dxa"/>
            <w:vAlign w:val="center"/>
          </w:tcPr>
          <w:p>
            <w:pPr>
              <w:spacing w:line="320" w:lineRule="exact"/>
              <w:jc w:val="center"/>
              <w:rPr>
                <w:rFonts w:ascii="仿宋_GB2312" w:eastAsia="仿宋_GB2312"/>
                <w:color w:val="0C0C0C" w:themeColor="text1" w:themeTint="F2"/>
                <w:sz w:val="21"/>
                <w:szCs w:val="21"/>
              </w:rPr>
            </w:pPr>
            <w:r>
              <w:rPr>
                <w:rFonts w:hint="eastAsia" w:ascii="仿宋_GB2312" w:eastAsia="仿宋_GB2312" w:cs="仿宋"/>
                <w:color w:val="0C0C0C" w:themeColor="text1" w:themeTint="F2"/>
                <w:kern w:val="0"/>
                <w:sz w:val="21"/>
                <w:szCs w:val="21"/>
              </w:rPr>
              <w:t>个</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在卫生健康部门备案的第一、二类消毒产品数量</w:t>
            </w:r>
          </w:p>
        </w:tc>
        <w:tc>
          <w:tcPr>
            <w:tcW w:w="1637" w:type="dxa"/>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个</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是否有未按要求进行卫生安全评价的消毒产品</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sz w:val="21"/>
                <w:szCs w:val="21"/>
              </w:rPr>
              <w:t>卫生安全评价报告是否均合格</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各评价报告内容是否完整</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sz w:val="21"/>
                <w:szCs w:val="21"/>
              </w:rPr>
              <w:t>消毒产品标签（铭牌）、说明书</w:t>
            </w:r>
          </w:p>
        </w:tc>
        <w:tc>
          <w:tcPr>
            <w:tcW w:w="1560" w:type="dxa"/>
            <w:vMerge w:val="restart"/>
            <w:vAlign w:val="center"/>
          </w:tcPr>
          <w:p>
            <w:pPr>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sz w:val="21"/>
                <w:szCs w:val="21"/>
              </w:rPr>
              <w:t>全部类别</w:t>
            </w:r>
          </w:p>
        </w:tc>
        <w:tc>
          <w:tcPr>
            <w:tcW w:w="7664" w:type="dxa"/>
            <w:vAlign w:val="center"/>
          </w:tcPr>
          <w:p>
            <w:pPr>
              <w:spacing w:line="320" w:lineRule="exact"/>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产品名称是否符合健康相关产品命名规定</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应标注内容项目是否齐全、正确（如）</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widowControl/>
              <w:jc w:val="both"/>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有无虚假夸大、明示或暗示对疾病的治疗作用和效果的内容</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vAlign w:val="center"/>
          </w:tcPr>
          <w:p>
            <w:pPr>
              <w:rPr>
                <w:color w:val="0C0C0C" w:themeColor="text1" w:themeTint="F2"/>
                <w:sz w:val="21"/>
                <w:szCs w:val="21"/>
              </w:rPr>
            </w:pPr>
          </w:p>
        </w:tc>
        <w:tc>
          <w:tcPr>
            <w:tcW w:w="1560" w:type="dxa"/>
            <w:vMerge w:val="continue"/>
            <w:vAlign w:val="center"/>
          </w:tcPr>
          <w:p>
            <w:pPr>
              <w:rPr>
                <w:color w:val="0C0C0C" w:themeColor="text1" w:themeTint="F2"/>
                <w:sz w:val="21"/>
                <w:szCs w:val="21"/>
              </w:rPr>
            </w:pPr>
          </w:p>
        </w:tc>
        <w:tc>
          <w:tcPr>
            <w:tcW w:w="7664" w:type="dxa"/>
            <w:vAlign w:val="center"/>
          </w:tcPr>
          <w:p>
            <w:pPr>
              <w:jc w:val="both"/>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有无禁止标注的内容</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658" w:type="dxa"/>
            <w:gridSpan w:val="3"/>
            <w:vAlign w:val="center"/>
          </w:tcPr>
          <w:p>
            <w:pPr>
              <w:jc w:val="center"/>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非消毒产品是否标注生产企业卫生许可证号</w:t>
            </w:r>
          </w:p>
        </w:tc>
        <w:tc>
          <w:tcPr>
            <w:tcW w:w="1637" w:type="dxa"/>
            <w:vAlign w:val="center"/>
          </w:tcPr>
          <w:p>
            <w:pPr>
              <w:widowControl/>
              <w:spacing w:line="32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是□ 否□</w:t>
            </w:r>
          </w:p>
        </w:tc>
        <w:tc>
          <w:tcPr>
            <w:tcW w:w="2140" w:type="dxa"/>
            <w:vAlign w:val="center"/>
          </w:tcPr>
          <w:p>
            <w:pPr>
              <w:spacing w:line="320" w:lineRule="exact"/>
              <w:jc w:val="center"/>
              <w:rPr>
                <w:rFonts w:ascii="仿宋_GB2312" w:eastAsia="仿宋_GB2312"/>
                <w:color w:val="0C0C0C" w:themeColor="text1" w:themeTint="F2"/>
                <w:kern w:val="0"/>
                <w:sz w:val="21"/>
                <w:szCs w:val="21"/>
              </w:rPr>
            </w:pPr>
          </w:p>
        </w:tc>
      </w:tr>
    </w:tbl>
    <w:p>
      <w:pPr>
        <w:widowControl/>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 xml:space="preserve">     检查人：                                               检查时间：     年   月   日</w:t>
      </w:r>
    </w:p>
    <w:p>
      <w:pPr>
        <w:widowControl/>
        <w:ind w:left="733" w:leftChars="50" w:hanging="628" w:hangingChars="298"/>
        <w:rPr>
          <w:rFonts w:ascii="仿宋_GB2312" w:eastAsia="仿宋_GB2312"/>
          <w:b/>
          <w:bCs/>
          <w:color w:val="0C0C0C" w:themeColor="text1" w:themeTint="F2"/>
          <w:kern w:val="0"/>
          <w:sz w:val="21"/>
          <w:szCs w:val="21"/>
        </w:rPr>
      </w:pPr>
    </w:p>
    <w:p>
      <w:pPr>
        <w:spacing w:line="480" w:lineRule="exact"/>
        <w:jc w:val="left"/>
        <w:rPr>
          <w:rFonts w:ascii="仿宋_GB2312" w:eastAsia="仿宋_GB2312"/>
          <w:color w:val="0C0C0C" w:themeColor="text1" w:themeTint="F2"/>
          <w:sz w:val="21"/>
          <w:szCs w:val="21"/>
        </w:rPr>
      </w:pPr>
    </w:p>
    <w:p>
      <w:pPr>
        <w:spacing w:line="480" w:lineRule="exact"/>
        <w:jc w:val="left"/>
        <w:rPr>
          <w:rFonts w:hint="eastAsia" w:ascii="黑体" w:hAnsi="黑体" w:eastAsia="黑体" w:cs="黑体"/>
          <w:color w:val="0C0C0C" w:themeColor="text1" w:themeTint="F2"/>
          <w:sz w:val="32"/>
          <w:szCs w:val="32"/>
        </w:rPr>
      </w:pPr>
      <w:r>
        <w:rPr>
          <w:rFonts w:hint="eastAsia" w:ascii="仿宋_GB2312" w:eastAsia="仿宋_GB2312" w:cs="黑体"/>
          <w:color w:val="0C0C0C" w:themeColor="text1" w:themeTint="F2"/>
          <w:sz w:val="32"/>
          <w:szCs w:val="32"/>
        </w:rPr>
        <w:br w:type="page"/>
      </w:r>
      <w:r>
        <w:rPr>
          <w:rFonts w:hint="eastAsia" w:ascii="黑体" w:hAnsi="黑体" w:eastAsia="黑体" w:cs="黑体"/>
          <w:color w:val="0C0C0C" w:themeColor="text1" w:themeTint="F2"/>
          <w:sz w:val="32"/>
          <w:szCs w:val="32"/>
        </w:rPr>
        <w:t>附表3</w:t>
      </w:r>
    </w:p>
    <w:p>
      <w:pPr>
        <w:tabs>
          <w:tab w:val="left" w:pos="7380"/>
        </w:tabs>
        <w:spacing w:line="360" w:lineRule="auto"/>
        <w:jc w:val="center"/>
        <w:rPr>
          <w:rFonts w:hint="eastAsia" w:ascii="方正小标宋简体" w:hAnsi="方正小标宋简体" w:eastAsia="方正小标宋简体" w:cs="方正小标宋简体"/>
          <w:b w:val="0"/>
          <w:bCs w:val="0"/>
          <w:color w:val="0C0C0C" w:themeColor="text1" w:themeTint="F2"/>
          <w:kern w:val="0"/>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★2020年消毒产品国家随机监督抽查案件查处</w:t>
      </w:r>
      <w:r>
        <w:rPr>
          <w:rFonts w:hint="eastAsia" w:ascii="方正小标宋简体" w:hAnsi="方正小标宋简体" w:eastAsia="方正小标宋简体" w:cs="方正小标宋简体"/>
          <w:b w:val="0"/>
          <w:bCs w:val="0"/>
          <w:color w:val="0C0C0C" w:themeColor="text1" w:themeTint="F2"/>
          <w:kern w:val="0"/>
          <w:sz w:val="44"/>
          <w:szCs w:val="44"/>
        </w:rPr>
        <w:t>汇总表</w:t>
      </w:r>
    </w:p>
    <w:p>
      <w:pPr>
        <w:keepNext w:val="0"/>
        <w:keepLines w:val="0"/>
        <w:pageBreakBefore w:val="0"/>
        <w:widowControl w:val="0"/>
        <w:kinsoku/>
        <w:wordWrap/>
        <w:overflowPunct/>
        <w:topLinePunct w:val="0"/>
        <w:autoSpaceDE/>
        <w:autoSpaceDN/>
        <w:bidi w:val="0"/>
        <w:adjustRightInd/>
        <w:snapToGrid/>
        <w:spacing w:after="157" w:afterLines="50"/>
        <w:textAlignment w:val="auto"/>
        <w:outlineLvl w:val="9"/>
        <w:rPr>
          <w:rFonts w:ascii="仿宋_GB2312" w:eastAsia="仿宋_GB2312" w:cs="仿宋"/>
          <w:color w:val="0C0C0C" w:themeColor="text1" w:themeTint="F2"/>
          <w:sz w:val="21"/>
          <w:szCs w:val="21"/>
        </w:rPr>
      </w:pPr>
      <w:r>
        <w:rPr>
          <w:rFonts w:hint="eastAsia" w:ascii="仿宋_GB2312" w:eastAsia="仿宋_GB2312" w:cs="仿宋"/>
          <w:color w:val="0C0C0C" w:themeColor="text1" w:themeTint="F2"/>
          <w:sz w:val="21"/>
          <w:szCs w:val="21"/>
          <w:u w:val="single"/>
        </w:rPr>
        <w:t xml:space="preserve">         </w:t>
      </w:r>
      <w:r>
        <w:rPr>
          <w:rFonts w:hint="eastAsia" w:ascii="仿宋_GB2312" w:eastAsia="仿宋_GB2312" w:cs="仿宋"/>
          <w:color w:val="0C0C0C" w:themeColor="text1" w:themeTint="F2"/>
          <w:sz w:val="21"/>
          <w:szCs w:val="21"/>
          <w:u w:val="single"/>
          <w:lang w:eastAsia="zh-CN"/>
        </w:rPr>
        <w:t>　　　　</w:t>
      </w:r>
      <w:r>
        <w:rPr>
          <w:rFonts w:hint="eastAsia" w:ascii="仿宋_GB2312" w:eastAsia="仿宋_GB2312" w:cs="仿宋"/>
          <w:color w:val="0C0C0C" w:themeColor="text1" w:themeTint="F2"/>
          <w:sz w:val="21"/>
          <w:szCs w:val="21"/>
          <w:u w:val="single"/>
        </w:rPr>
        <w:t xml:space="preserve">     </w:t>
      </w:r>
      <w:r>
        <w:rPr>
          <w:rFonts w:hint="eastAsia" w:ascii="仿宋_GB2312" w:eastAsia="仿宋_GB2312" w:cs="仿宋"/>
          <w:color w:val="0C0C0C" w:themeColor="text1" w:themeTint="F2"/>
          <w:sz w:val="21"/>
          <w:szCs w:val="21"/>
        </w:rPr>
        <w:t xml:space="preserve">市                                                                  </w:t>
      </w:r>
    </w:p>
    <w:tbl>
      <w:tblPr>
        <w:tblStyle w:val="7"/>
        <w:tblW w:w="15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075"/>
        <w:gridCol w:w="875"/>
        <w:gridCol w:w="1013"/>
        <w:gridCol w:w="1012"/>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bottom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企业检查情况</w:t>
            </w:r>
          </w:p>
        </w:tc>
        <w:tc>
          <w:tcPr>
            <w:tcW w:w="2112" w:type="dxa"/>
            <w:gridSpan w:val="2"/>
            <w:tcBorders>
              <w:bottom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产品抽检情况</w:t>
            </w:r>
          </w:p>
        </w:tc>
        <w:tc>
          <w:tcPr>
            <w:tcW w:w="8402" w:type="dxa"/>
            <w:gridSpan w:val="8"/>
            <w:tcBorders>
              <w:bottom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产品类别</w:t>
            </w:r>
          </w:p>
        </w:tc>
        <w:tc>
          <w:tcPr>
            <w:tcW w:w="1100" w:type="dxa"/>
            <w:tcBorders>
              <w:top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辖区生产企业数</w:t>
            </w:r>
          </w:p>
        </w:tc>
        <w:tc>
          <w:tcPr>
            <w:tcW w:w="1250" w:type="dxa"/>
            <w:tcBorders>
              <w:top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检查生产企业数</w:t>
            </w:r>
          </w:p>
        </w:tc>
        <w:tc>
          <w:tcPr>
            <w:tcW w:w="750" w:type="dxa"/>
            <w:tcBorders>
              <w:top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不合格数</w:t>
            </w:r>
          </w:p>
        </w:tc>
        <w:tc>
          <w:tcPr>
            <w:tcW w:w="1387" w:type="dxa"/>
            <w:tcBorders>
              <w:top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抽检产品数</w:t>
            </w:r>
          </w:p>
        </w:tc>
        <w:tc>
          <w:tcPr>
            <w:tcW w:w="725" w:type="dxa"/>
            <w:tcBorders>
              <w:top w:val="single" w:color="000000" w:sz="4" w:space="0"/>
            </w:tcBorders>
            <w:vAlign w:val="center"/>
          </w:tcPr>
          <w:p>
            <w:pPr>
              <w:widowControl/>
              <w:spacing w:before="100" w:beforeAutospacing="1" w:after="100" w:afterAutospacing="1" w:line="240" w:lineRule="atLeas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不合格数</w:t>
            </w:r>
          </w:p>
        </w:tc>
        <w:tc>
          <w:tcPr>
            <w:tcW w:w="1075" w:type="dxa"/>
            <w:tcBorders>
              <w:top w:val="single" w:color="000000" w:sz="4" w:space="0"/>
              <w:bottom w:val="single" w:color="000000" w:sz="4" w:space="0"/>
            </w:tcBorders>
            <w:vAlign w:val="center"/>
          </w:tcPr>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责令</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改正（家）</w:t>
            </w:r>
          </w:p>
        </w:tc>
        <w:tc>
          <w:tcPr>
            <w:tcW w:w="875" w:type="dxa"/>
            <w:tcBorders>
              <w:top w:val="single" w:color="000000" w:sz="4" w:space="0"/>
              <w:bottom w:val="single" w:color="000000" w:sz="4" w:space="0"/>
            </w:tcBorders>
            <w:vAlign w:val="center"/>
          </w:tcPr>
          <w:p>
            <w:pPr>
              <w:widowControl/>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案件数</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（件）</w:t>
            </w:r>
          </w:p>
        </w:tc>
        <w:tc>
          <w:tcPr>
            <w:tcW w:w="1013" w:type="dxa"/>
            <w:tcBorders>
              <w:top w:val="single" w:color="000000" w:sz="4" w:space="0"/>
              <w:bottom w:val="single" w:color="000000" w:sz="4" w:space="0"/>
            </w:tcBorders>
            <w:vAlign w:val="center"/>
          </w:tcPr>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警告（家）</w:t>
            </w:r>
          </w:p>
        </w:tc>
        <w:tc>
          <w:tcPr>
            <w:tcW w:w="1012" w:type="dxa"/>
            <w:tcBorders>
              <w:top w:val="single" w:color="000000" w:sz="4" w:space="0"/>
              <w:bottom w:val="single" w:color="000000" w:sz="4" w:space="0"/>
            </w:tcBorders>
            <w:vAlign w:val="center"/>
          </w:tcPr>
          <w:p>
            <w:pPr>
              <w:spacing w:line="240" w:lineRule="exact"/>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 xml:space="preserve"> 罚款</w:t>
            </w:r>
          </w:p>
          <w:p>
            <w:pPr>
              <w:widowControl/>
              <w:spacing w:line="240" w:lineRule="exact"/>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单位数</w:t>
            </w:r>
          </w:p>
          <w:p>
            <w:pPr>
              <w:spacing w:line="240" w:lineRule="exact"/>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（家）</w:t>
            </w:r>
          </w:p>
        </w:tc>
        <w:tc>
          <w:tcPr>
            <w:tcW w:w="1063" w:type="dxa"/>
            <w:tcBorders>
              <w:top w:val="single" w:color="000000" w:sz="4" w:space="0"/>
              <w:bottom w:val="single" w:color="000000" w:sz="4" w:space="0"/>
            </w:tcBorders>
            <w:vAlign w:val="center"/>
          </w:tcPr>
          <w:p>
            <w:pPr>
              <w:widowControl/>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罚款</w:t>
            </w:r>
          </w:p>
          <w:p>
            <w:pPr>
              <w:widowControl/>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金额</w:t>
            </w:r>
          </w:p>
          <w:p>
            <w:pPr>
              <w:spacing w:line="240" w:lineRule="exact"/>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（万元）</w:t>
            </w:r>
          </w:p>
        </w:tc>
        <w:tc>
          <w:tcPr>
            <w:tcW w:w="1050" w:type="dxa"/>
            <w:tcBorders>
              <w:top w:val="single" w:color="000000" w:sz="4" w:space="0"/>
              <w:bottom w:val="single" w:color="000000" w:sz="4" w:space="0"/>
            </w:tcBorders>
            <w:vAlign w:val="center"/>
          </w:tcPr>
          <w:p>
            <w:pPr>
              <w:widowControl/>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涉案</w:t>
            </w:r>
          </w:p>
          <w:p>
            <w:pPr>
              <w:widowControl/>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金额</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（万元）</w:t>
            </w:r>
          </w:p>
        </w:tc>
        <w:tc>
          <w:tcPr>
            <w:tcW w:w="1062" w:type="dxa"/>
            <w:tcBorders>
              <w:top w:val="single" w:color="000000" w:sz="4" w:space="0"/>
              <w:bottom w:val="single" w:color="000000" w:sz="4" w:space="0"/>
            </w:tcBorders>
            <w:vAlign w:val="center"/>
          </w:tcPr>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公示</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不合格</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企业数</w:t>
            </w:r>
          </w:p>
        </w:tc>
        <w:tc>
          <w:tcPr>
            <w:tcW w:w="1252" w:type="dxa"/>
            <w:tcBorders>
              <w:top w:val="single" w:color="000000" w:sz="4" w:space="0"/>
              <w:bottom w:val="single" w:color="000000" w:sz="4" w:space="0"/>
            </w:tcBorders>
            <w:vAlign w:val="center"/>
          </w:tcPr>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公示</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不合格</w:t>
            </w:r>
          </w:p>
          <w:p>
            <w:pPr>
              <w:spacing w:line="240" w:lineRule="exact"/>
              <w:jc w:val="center"/>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28"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第一类产品</w:t>
            </w:r>
          </w:p>
        </w:tc>
        <w:tc>
          <w:tcPr>
            <w:tcW w:w="110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2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387"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2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875"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3"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2" w:type="dxa"/>
            <w:vAlign w:val="center"/>
          </w:tcPr>
          <w:p>
            <w:pPr>
              <w:keepNext w:val="0"/>
              <w:keepLines w:val="0"/>
              <w:pageBreakBefore w:val="0"/>
              <w:widowControl/>
              <w:kinsoku/>
              <w:wordWrap/>
              <w:overflowPunct/>
              <w:topLinePunct w:val="0"/>
              <w:autoSpaceDE/>
              <w:autoSpaceDN/>
              <w:bidi w:val="0"/>
              <w:adjustRightInd/>
              <w:snapToGrid w:val="0"/>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3" w:type="dxa"/>
            <w:vAlign w:val="center"/>
          </w:tcPr>
          <w:p>
            <w:pPr>
              <w:keepNext w:val="0"/>
              <w:keepLines w:val="0"/>
              <w:pageBreakBefore w:val="0"/>
              <w:widowControl/>
              <w:kinsoku/>
              <w:wordWrap/>
              <w:overflowPunct/>
              <w:topLinePunct w:val="0"/>
              <w:autoSpaceDE/>
              <w:autoSpaceDN/>
              <w:bidi w:val="0"/>
              <w:adjustRightInd/>
              <w:snapToGrid w:val="0"/>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snapToGrid w:val="0"/>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2" w:type="dxa"/>
          </w:tcPr>
          <w:p>
            <w:pPr>
              <w:keepNext w:val="0"/>
              <w:keepLines w:val="0"/>
              <w:pageBreakBefore w:val="0"/>
              <w:widowControl/>
              <w:kinsoku/>
              <w:wordWrap/>
              <w:overflowPunct/>
              <w:topLinePunct w:val="0"/>
              <w:autoSpaceDE/>
              <w:autoSpaceDN/>
              <w:bidi w:val="0"/>
              <w:adjustRightInd/>
              <w:snapToGrid w:val="0"/>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252" w:type="dxa"/>
          </w:tcPr>
          <w:p>
            <w:pPr>
              <w:keepNext w:val="0"/>
              <w:keepLines w:val="0"/>
              <w:pageBreakBefore w:val="0"/>
              <w:widowControl/>
              <w:kinsoku/>
              <w:wordWrap/>
              <w:overflowPunct/>
              <w:topLinePunct w:val="0"/>
              <w:autoSpaceDE/>
              <w:autoSpaceDN/>
              <w:bidi w:val="0"/>
              <w:adjustRightInd/>
              <w:snapToGrid w:val="0"/>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8"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第二类产品</w:t>
            </w:r>
          </w:p>
        </w:tc>
        <w:tc>
          <w:tcPr>
            <w:tcW w:w="110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2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387"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2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8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3"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2"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3"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25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28"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hint="eastAsia" w:ascii="仿宋_GB2312" w:eastAsia="仿宋_GB2312" w:cs="仿宋"/>
                <w:color w:val="0C0C0C" w:themeColor="text1" w:themeTint="F2"/>
                <w:kern w:val="0"/>
                <w:sz w:val="21"/>
                <w:szCs w:val="21"/>
              </w:rPr>
            </w:pPr>
            <w:r>
              <w:rPr>
                <w:rFonts w:hint="eastAsia" w:ascii="仿宋_GB2312" w:eastAsia="仿宋_GB2312" w:cs="仿宋"/>
                <w:color w:val="0C0C0C" w:themeColor="text1" w:themeTint="F2"/>
                <w:kern w:val="0"/>
                <w:sz w:val="21"/>
                <w:szCs w:val="21"/>
              </w:rPr>
              <w:t>其中抗（抑）</w:t>
            </w:r>
          </w:p>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菌剂产品</w:t>
            </w:r>
          </w:p>
        </w:tc>
        <w:tc>
          <w:tcPr>
            <w:tcW w:w="110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2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387"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2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8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3"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2"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3"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25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28"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第三类产品</w:t>
            </w:r>
          </w:p>
        </w:tc>
        <w:tc>
          <w:tcPr>
            <w:tcW w:w="110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2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387"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2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8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3"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2"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3"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25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28"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kern w:val="0"/>
                <w:sz w:val="21"/>
                <w:szCs w:val="21"/>
              </w:rPr>
              <w:t>合计</w:t>
            </w:r>
          </w:p>
        </w:tc>
        <w:tc>
          <w:tcPr>
            <w:tcW w:w="110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2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50"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387"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72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875"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3" w:type="dxa"/>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auto"/>
              <w:outlineLvl w:val="9"/>
              <w:rPr>
                <w:rFonts w:ascii="仿宋_GB2312" w:eastAsia="仿宋_GB2312"/>
                <w:color w:val="0C0C0C" w:themeColor="text1" w:themeTint="F2"/>
                <w:kern w:val="0"/>
                <w:sz w:val="21"/>
                <w:szCs w:val="21"/>
              </w:rPr>
            </w:pPr>
          </w:p>
        </w:tc>
        <w:tc>
          <w:tcPr>
            <w:tcW w:w="1012"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3"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50" w:type="dxa"/>
            <w:vAlign w:val="center"/>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06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c>
          <w:tcPr>
            <w:tcW w:w="1252" w:type="dxa"/>
          </w:tcPr>
          <w:p>
            <w:pPr>
              <w:keepNext w:val="0"/>
              <w:keepLines w:val="0"/>
              <w:pageBreakBefore w:val="0"/>
              <w:widowControl/>
              <w:kinsoku/>
              <w:wordWrap/>
              <w:overflowPunct/>
              <w:topLinePunct w:val="0"/>
              <w:autoSpaceDE/>
              <w:autoSpaceDN/>
              <w:bidi w:val="0"/>
              <w:adjustRightInd/>
              <w:spacing w:beforeAutospacing="0" w:after="100" w:afterAutospacing="1" w:line="300" w:lineRule="exact"/>
              <w:jc w:val="center"/>
              <w:textAlignment w:val="auto"/>
              <w:outlineLvl w:val="9"/>
              <w:rPr>
                <w:rFonts w:ascii="仿宋_GB2312" w:eastAsia="仿宋_GB2312"/>
                <w:color w:val="0C0C0C" w:themeColor="text1" w:themeTint="F2"/>
                <w:kern w:val="0"/>
                <w:sz w:val="21"/>
                <w:szCs w:val="21"/>
              </w:rPr>
            </w:pPr>
          </w:p>
        </w:tc>
      </w:tr>
    </w:tbl>
    <w:p>
      <w:pPr>
        <w:rPr>
          <w:rFonts w:ascii="仿宋_GB2312" w:eastAsia="仿宋_GB2312"/>
          <w:vanish/>
          <w:color w:val="0C0C0C" w:themeColor="text1" w:themeTint="F2"/>
          <w:sz w:val="21"/>
          <w:szCs w:val="21"/>
        </w:rPr>
      </w:pPr>
    </w:p>
    <w:p>
      <w:pPr>
        <w:rPr>
          <w:rFonts w:ascii="仿宋_GB2312" w:eastAsia="仿宋_GB2312" w:cs="仿宋"/>
          <w:color w:val="0C0C0C" w:themeColor="text1" w:themeTint="F2"/>
          <w:sz w:val="21"/>
          <w:szCs w:val="21"/>
        </w:rPr>
      </w:pPr>
    </w:p>
    <w:p>
      <w:pPr>
        <w:rPr>
          <w:rFonts w:ascii="仿宋_GB2312" w:eastAsia="仿宋_GB2312" w:cs="仿宋"/>
          <w:color w:val="0C0C0C" w:themeColor="text1" w:themeTint="F2"/>
          <w:sz w:val="21"/>
          <w:szCs w:val="21"/>
        </w:rPr>
      </w:pPr>
    </w:p>
    <w:p>
      <w:pPr>
        <w:ind w:firstLine="1050" w:firstLineChars="500"/>
        <w:rPr>
          <w:rFonts w:ascii="仿宋_GB2312" w:eastAsia="仿宋_GB2312" w:cs="仿宋"/>
          <w:color w:val="0C0C0C" w:themeColor="text1" w:themeTint="F2"/>
          <w:sz w:val="21"/>
          <w:szCs w:val="21"/>
        </w:rPr>
      </w:pPr>
      <w:r>
        <w:rPr>
          <w:rFonts w:hint="eastAsia" w:ascii="仿宋_GB2312" w:eastAsia="仿宋_GB2312" w:cs="仿宋"/>
          <w:color w:val="0C0C0C" w:themeColor="text1" w:themeTint="F2"/>
          <w:sz w:val="21"/>
          <w:szCs w:val="21"/>
        </w:rPr>
        <w:t xml:space="preserve"> 填表单位（盖章）：                     填表人：　      　　　　 联系电话：                   填表日期：  </w:t>
      </w:r>
    </w:p>
    <w:p>
      <w:pPr>
        <w:adjustRightInd w:val="0"/>
        <w:snapToGrid w:val="0"/>
        <w:spacing w:line="560" w:lineRule="exact"/>
        <w:ind w:firstLine="420" w:firstLineChars="200"/>
        <w:rPr>
          <w:rFonts w:ascii="仿宋_GB2312" w:eastAsia="仿宋_GB2312"/>
          <w:color w:val="0C0C0C" w:themeColor="text1" w:themeTint="F2"/>
          <w:sz w:val="21"/>
          <w:szCs w:val="21"/>
        </w:rPr>
        <w:sectPr>
          <w:pgSz w:w="16838" w:h="11906" w:orient="landscape"/>
          <w:pgMar w:top="1701" w:right="1418" w:bottom="1417" w:left="1418" w:header="851" w:footer="992"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ascii="黑体" w:eastAsia="黑体"/>
          <w:color w:val="0C0C0C" w:themeColor="text1" w:themeTint="F2"/>
          <w:sz w:val="32"/>
          <w:szCs w:val="32"/>
        </w:rPr>
      </w:pPr>
      <w:r>
        <w:rPr>
          <w:rFonts w:hint="eastAsia" w:ascii="黑体" w:eastAsia="黑体" w:cs="黑体"/>
          <w:color w:val="0C0C0C" w:themeColor="text1" w:themeTint="F2"/>
          <w:sz w:val="32"/>
          <w:szCs w:val="32"/>
          <w:lang w:eastAsia="zh-CN"/>
        </w:rPr>
        <w:t>　　</w:t>
      </w:r>
      <w:r>
        <w:rPr>
          <w:rFonts w:hint="eastAsia" w:ascii="黑体" w:eastAsia="黑体" w:cs="黑体"/>
          <w:color w:val="0C0C0C" w:themeColor="text1" w:themeTint="F2"/>
          <w:sz w:val="32"/>
          <w:szCs w:val="32"/>
        </w:rPr>
        <w:t>四、放射卫生和职业卫生</w:t>
      </w:r>
    </w:p>
    <w:p>
      <w:pPr>
        <w:keepNext w:val="0"/>
        <w:keepLines w:val="0"/>
        <w:pageBreakBefore w:val="0"/>
        <w:kinsoku/>
        <w:wordWrap/>
        <w:overflowPunct/>
        <w:topLinePunct w:val="0"/>
        <w:autoSpaceDE/>
        <w:autoSpaceDN/>
        <w:bidi w:val="0"/>
        <w:spacing w:line="560" w:lineRule="exact"/>
        <w:textAlignment w:val="auto"/>
        <w:outlineLvl w:val="0"/>
        <w:rPr>
          <w:rFonts w:ascii="楷体_GB2312" w:eastAsia="楷体_GB2312"/>
          <w:bCs/>
          <w:color w:val="0C0C0C" w:themeColor="text1" w:themeTint="F2"/>
          <w:sz w:val="32"/>
          <w:szCs w:val="32"/>
        </w:rPr>
      </w:pPr>
      <w:r>
        <w:rPr>
          <w:rFonts w:hint="eastAsia" w:ascii="楷体_GB2312" w:eastAsia="楷体_GB2312"/>
          <w:bCs/>
          <w:color w:val="0C0C0C" w:themeColor="text1" w:themeTint="F2"/>
          <w:sz w:val="32"/>
          <w:szCs w:val="32"/>
          <w:lang w:eastAsia="zh-CN"/>
        </w:rPr>
        <w:t>　　</w:t>
      </w:r>
      <w:r>
        <w:rPr>
          <w:rFonts w:hint="eastAsia" w:ascii="楷体_GB2312" w:eastAsia="楷体_GB2312"/>
          <w:bCs/>
          <w:color w:val="0C0C0C" w:themeColor="text1" w:themeTint="F2"/>
          <w:sz w:val="32"/>
          <w:szCs w:val="32"/>
        </w:rPr>
        <w:t>（一）工作目标。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按照有关文件要求，国家卫生健康委将通过国家级卫生健康监督信息系统随机抽取我区</w:t>
      </w:r>
      <w:r>
        <w:rPr>
          <w:rFonts w:hint="eastAsia" w:ascii="仿宋_GB2312" w:eastAsia="仿宋_GB2312" w:cs="??_GB2312"/>
          <w:color w:val="0C0C0C" w:themeColor="text1" w:themeTint="F2"/>
          <w:sz w:val="32"/>
          <w:szCs w:val="32"/>
        </w:rPr>
        <w:t>20%</w:t>
      </w:r>
      <w:r>
        <w:rPr>
          <w:rFonts w:hint="eastAsia" w:ascii="仿宋_GB2312" w:eastAsia="仿宋_GB2312"/>
          <w:color w:val="0C0C0C" w:themeColor="text1" w:themeTint="F2"/>
          <w:sz w:val="32"/>
          <w:szCs w:val="32"/>
        </w:rPr>
        <w:t>放射诊疗机构（含中医医疗机构）、</w:t>
      </w:r>
      <w:r>
        <w:rPr>
          <w:rFonts w:hint="eastAsia" w:ascii="仿宋_GB2312" w:eastAsia="仿宋_GB2312" w:cs="??_GB2312"/>
          <w:color w:val="0C0C0C" w:themeColor="text1" w:themeTint="F2"/>
          <w:sz w:val="32"/>
          <w:szCs w:val="32"/>
        </w:rPr>
        <w:t>20%</w:t>
      </w:r>
      <w:r>
        <w:rPr>
          <w:rFonts w:hint="eastAsia" w:ascii="仿宋_GB2312" w:eastAsia="仿宋_GB2312"/>
          <w:color w:val="0C0C0C" w:themeColor="text1" w:themeTint="F2"/>
          <w:sz w:val="32"/>
          <w:szCs w:val="32"/>
        </w:rPr>
        <w:t>职业健康检查和职业病诊断机构、</w:t>
      </w:r>
      <w:r>
        <w:rPr>
          <w:rFonts w:hint="eastAsia" w:ascii="仿宋_GB2312" w:eastAsia="仿宋_GB2312" w:cs="??_GB2312"/>
          <w:color w:val="0C0C0C" w:themeColor="text1" w:themeTint="F2"/>
          <w:sz w:val="32"/>
          <w:szCs w:val="32"/>
        </w:rPr>
        <w:t>100%</w:t>
      </w:r>
      <w:r>
        <w:rPr>
          <w:rFonts w:hint="eastAsia" w:ascii="仿宋_GB2312" w:eastAsia="仿宋_GB2312"/>
          <w:color w:val="0C0C0C" w:themeColor="text1" w:themeTint="F2"/>
          <w:sz w:val="32"/>
          <w:szCs w:val="32"/>
        </w:rPr>
        <w:t>放射技术服务机构、</w:t>
      </w:r>
      <w:r>
        <w:rPr>
          <w:rFonts w:hint="eastAsia" w:ascii="仿宋_GB2312" w:eastAsia="仿宋_GB2312" w:cs="??_GB2312"/>
          <w:color w:val="0C0C0C" w:themeColor="text1" w:themeTint="F2"/>
          <w:sz w:val="32"/>
          <w:szCs w:val="32"/>
        </w:rPr>
        <w:t>100%</w:t>
      </w:r>
      <w:r>
        <w:rPr>
          <w:rFonts w:hint="eastAsia" w:ascii="仿宋_GB2312" w:eastAsia="仿宋_GB2312"/>
          <w:color w:val="0C0C0C" w:themeColor="text1" w:themeTint="F2"/>
          <w:sz w:val="32"/>
          <w:szCs w:val="32"/>
        </w:rPr>
        <w:t>职业卫生技术服务机构（甲、乙、丙级），届时各市被抽取监督员应积极开展监督检查工作，确保完成国家双随机检查工作任务。</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楷体_GB2312" w:eastAsia="楷体_GB2312"/>
          <w:bCs/>
          <w:color w:val="0C0C0C" w:themeColor="text1" w:themeTint="F2"/>
          <w:sz w:val="32"/>
          <w:szCs w:val="32"/>
        </w:rPr>
      </w:pPr>
      <w:r>
        <w:rPr>
          <w:rFonts w:hint="eastAsia" w:ascii="楷体_GB2312" w:eastAsia="楷体_GB2312"/>
          <w:bCs/>
          <w:color w:val="0C0C0C" w:themeColor="text1" w:themeTint="F2"/>
          <w:sz w:val="32"/>
          <w:szCs w:val="32"/>
        </w:rPr>
        <w:t>（二）工作内容。</w:t>
      </w:r>
    </w:p>
    <w:p>
      <w:pPr>
        <w:keepNext w:val="0"/>
        <w:keepLines w:val="0"/>
        <w:pageBreakBefore w:val="0"/>
        <w:widowControl/>
        <w:kinsoku/>
        <w:wordWrap/>
        <w:overflowPunct/>
        <w:topLinePunct w:val="0"/>
        <w:autoSpaceDE/>
        <w:autoSpaceDN/>
        <w:bidi w:val="0"/>
        <w:spacing w:line="560" w:lineRule="exact"/>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1.放射诊疗机构监督。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2.职业健康检查、职业病诊断机构及放射技术服务机构监督。职业健康检查机构、职业病诊断机构及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3.职业卫生技术服务机构。检查职业卫生技术服务机构资质条件保持和符合情况，依照法律、法规和标准规范开展职业卫生技术服务活动情况，职业卫生专业技术人员管理情况，以及职业卫生技术服务质量管理情况</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0"/>
        <w:rPr>
          <w:rFonts w:ascii="楷体_GB2312" w:eastAsia="楷体_GB2312"/>
          <w:bCs/>
          <w:color w:val="0C0C0C" w:themeColor="text1" w:themeTint="F2"/>
          <w:kern w:val="0"/>
          <w:sz w:val="32"/>
          <w:szCs w:val="32"/>
        </w:rPr>
      </w:pPr>
      <w:r>
        <w:rPr>
          <w:rFonts w:hint="eastAsia" w:ascii="楷体_GB2312" w:eastAsia="楷体_GB2312"/>
          <w:bCs/>
          <w:color w:val="0C0C0C" w:themeColor="text1" w:themeTint="F2"/>
          <w:kern w:val="0"/>
          <w:sz w:val="32"/>
          <w:szCs w:val="32"/>
        </w:rPr>
        <w:t>（三）实施步骤。</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根据国家“双随机”任务，</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年全年我区放射卫生和职业卫生将按照国家抽查计划，按以下三个阶段进行：</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第一阶段：截至</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6</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30</w:t>
      </w:r>
      <w:r>
        <w:rPr>
          <w:rFonts w:hint="eastAsia" w:ascii="仿宋_GB2312" w:eastAsia="仿宋_GB2312"/>
          <w:color w:val="0C0C0C" w:themeColor="text1" w:themeTint="F2"/>
          <w:sz w:val="32"/>
          <w:szCs w:val="32"/>
        </w:rPr>
        <w:t>日，全区各市应完成本市“双随机”任务数的</w:t>
      </w:r>
      <w:r>
        <w:rPr>
          <w:rFonts w:hint="eastAsia" w:ascii="仿宋_GB2312" w:eastAsia="仿宋_GB2312" w:cs="??_GB2312"/>
          <w:color w:val="0C0C0C" w:themeColor="text1" w:themeTint="F2"/>
          <w:sz w:val="32"/>
          <w:szCs w:val="32"/>
        </w:rPr>
        <w:t>60%</w:t>
      </w:r>
      <w:r>
        <w:rPr>
          <w:rFonts w:hint="eastAsia" w:ascii="仿宋_GB2312" w:eastAsia="仿宋_GB2312"/>
          <w:color w:val="0C0C0C" w:themeColor="text1" w:themeTint="F2"/>
          <w:sz w:val="32"/>
          <w:szCs w:val="32"/>
        </w:rPr>
        <w:t>，并在规定时间内填报信息报告，各市于</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7</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6</w:t>
      </w:r>
      <w:r>
        <w:rPr>
          <w:rFonts w:hint="eastAsia" w:ascii="仿宋_GB2312" w:eastAsia="仿宋_GB2312"/>
          <w:color w:val="0C0C0C" w:themeColor="text1" w:themeTint="F2"/>
          <w:sz w:val="32"/>
          <w:szCs w:val="32"/>
        </w:rPr>
        <w:t>日前将本市上半年“双随机”监督抽查完成情况上报自治区卫生监督所，自治区卫生监督所于</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7</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13</w:t>
      </w:r>
      <w:r>
        <w:rPr>
          <w:rFonts w:hint="eastAsia" w:ascii="仿宋_GB2312" w:eastAsia="仿宋_GB2312"/>
          <w:color w:val="0C0C0C" w:themeColor="text1" w:themeTint="F2"/>
          <w:sz w:val="32"/>
          <w:szCs w:val="32"/>
        </w:rPr>
        <w:t>日前向自治区卫生健康委提交半年情况报告。</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第二阶段：截至</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11</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19</w:t>
      </w:r>
      <w:r>
        <w:rPr>
          <w:rFonts w:hint="eastAsia" w:ascii="仿宋_GB2312" w:eastAsia="仿宋_GB2312"/>
          <w:color w:val="0C0C0C" w:themeColor="text1" w:themeTint="F2"/>
          <w:sz w:val="32"/>
          <w:szCs w:val="32"/>
        </w:rPr>
        <w:t>日，全区各市则应完成本市“双随机”任务数的</w:t>
      </w:r>
      <w:r>
        <w:rPr>
          <w:rFonts w:hint="eastAsia" w:ascii="仿宋_GB2312" w:eastAsia="仿宋_GB2312" w:cs="??_GB2312"/>
          <w:color w:val="0C0C0C" w:themeColor="text1" w:themeTint="F2"/>
          <w:sz w:val="32"/>
          <w:szCs w:val="32"/>
        </w:rPr>
        <w:t>100%</w:t>
      </w:r>
      <w:r>
        <w:rPr>
          <w:rFonts w:hint="eastAsia" w:ascii="仿宋_GB2312" w:eastAsia="仿宋_GB2312"/>
          <w:color w:val="0C0C0C" w:themeColor="text1" w:themeTint="F2"/>
          <w:sz w:val="32"/>
          <w:szCs w:val="32"/>
        </w:rPr>
        <w:t>，并在并在规定时间内填报信息报告，各市于</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11</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23</w:t>
      </w:r>
      <w:r>
        <w:rPr>
          <w:rFonts w:hint="eastAsia" w:ascii="仿宋_GB2312" w:eastAsia="仿宋_GB2312"/>
          <w:color w:val="0C0C0C" w:themeColor="text1" w:themeTint="F2"/>
          <w:sz w:val="32"/>
          <w:szCs w:val="32"/>
        </w:rPr>
        <w:t>日前将本市全年“双随机”监督抽查完成情况上报自治区卫生监督所。</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第三阶段：自治区卫生监督所确认全区已</w:t>
      </w:r>
      <w:r>
        <w:rPr>
          <w:rFonts w:hint="eastAsia" w:ascii="仿宋_GB2312" w:eastAsia="仿宋_GB2312" w:cs="??_GB2312"/>
          <w:color w:val="0C0C0C" w:themeColor="text1" w:themeTint="F2"/>
          <w:sz w:val="32"/>
          <w:szCs w:val="32"/>
        </w:rPr>
        <w:t>100%</w:t>
      </w:r>
      <w:r>
        <w:rPr>
          <w:rFonts w:hint="eastAsia" w:ascii="仿宋_GB2312" w:eastAsia="仿宋_GB2312"/>
          <w:color w:val="0C0C0C" w:themeColor="text1" w:themeTint="F2"/>
          <w:sz w:val="32"/>
          <w:szCs w:val="32"/>
        </w:rPr>
        <w:t>完成“双随机”任务，并于</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11</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30</w:t>
      </w:r>
      <w:r>
        <w:rPr>
          <w:rFonts w:hint="eastAsia" w:ascii="仿宋_GB2312" w:eastAsia="仿宋_GB2312"/>
          <w:color w:val="0C0C0C" w:themeColor="text1" w:themeTint="F2"/>
          <w:sz w:val="32"/>
          <w:szCs w:val="32"/>
        </w:rPr>
        <w:t>日前向自治区卫生健康委提交全年情况报告。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联 系 人：</w:t>
      </w:r>
      <w:r>
        <w:rPr>
          <w:rFonts w:hint="eastAsia" w:ascii="仿宋_GB2312" w:eastAsia="仿宋_GB2312" w:cs="仿宋"/>
          <w:color w:val="0C0C0C" w:themeColor="text1" w:themeTint="F2"/>
          <w:sz w:val="32"/>
          <w:szCs w:val="32"/>
        </w:rPr>
        <w:t xml:space="preserve">自治区卫生监督所监督三科  </w:t>
      </w:r>
      <w:r>
        <w:rPr>
          <w:rFonts w:hint="eastAsia" w:ascii="仿宋_GB2312" w:eastAsia="仿宋_GB2312"/>
          <w:color w:val="0C0C0C" w:themeColor="text1" w:themeTint="F2"/>
          <w:sz w:val="32"/>
          <w:szCs w:val="32"/>
        </w:rPr>
        <w:t>唐燕燕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联系电话：</w:t>
      </w:r>
      <w:r>
        <w:rPr>
          <w:rFonts w:hint="eastAsia" w:ascii="仿宋_GB2312" w:eastAsia="仿宋_GB2312" w:cs="??_GB2312"/>
          <w:color w:val="0C0C0C" w:themeColor="text1" w:themeTint="F2"/>
          <w:sz w:val="32"/>
          <w:szCs w:val="32"/>
        </w:rPr>
        <w:t>0771-5319467</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rPr>
      </w:pPr>
      <w:r>
        <w:rPr>
          <w:rFonts w:hint="eastAsia" w:ascii="仿宋_GB2312" w:eastAsia="仿宋_GB2312"/>
          <w:color w:val="0C0C0C" w:themeColor="text1" w:themeTint="F2"/>
          <w:sz w:val="32"/>
          <w:szCs w:val="32"/>
        </w:rPr>
        <w:t>邮    箱：</w:t>
      </w:r>
      <w:r>
        <w:rPr>
          <w:rFonts w:hint="default" w:ascii="Times New Roman" w:hAnsi="Times New Roman" w:eastAsia="仿宋_GB2312" w:cs="Times New Roman"/>
          <w:color w:val="0C0C0C" w:themeColor="text1" w:themeTint="F2"/>
          <w:sz w:val="32"/>
          <w:szCs w:val="32"/>
        </w:rPr>
        <w:t>gxwsjds3k@163.com</w:t>
      </w:r>
    </w:p>
    <w:p>
      <w:pPr>
        <w:keepNext w:val="0"/>
        <w:keepLines w:val="0"/>
        <w:pageBreakBefore w:val="0"/>
        <w:kinsoku/>
        <w:wordWrap/>
        <w:overflowPunct/>
        <w:topLinePunct w:val="0"/>
        <w:autoSpaceDE/>
        <w:autoSpaceDN/>
        <w:bidi w:val="0"/>
        <w:spacing w:line="560" w:lineRule="exact"/>
        <w:ind w:left="1274" w:hanging="1273" w:hangingChars="398"/>
        <w:textAlignment w:val="auto"/>
        <w:rPr>
          <w:rFonts w:hint="eastAsia" w:ascii="仿宋_GB2312" w:eastAsia="仿宋_GB2312"/>
          <w:color w:val="0C0C0C" w:themeColor="text1" w:themeTint="F2"/>
          <w:sz w:val="32"/>
          <w:szCs w:val="32"/>
          <w:lang w:eastAsia="zh-CN"/>
        </w:rPr>
      </w:pPr>
      <w:r>
        <w:rPr>
          <w:rFonts w:hint="eastAsia" w:ascii="仿宋_GB2312" w:eastAsia="仿宋_GB2312"/>
          <w:color w:val="0C0C0C" w:themeColor="text1" w:themeTint="F2"/>
          <w:sz w:val="32"/>
          <w:szCs w:val="32"/>
          <w:lang w:eastAsia="zh-CN"/>
        </w:rPr>
        <w:t>　　</w:t>
      </w:r>
    </w:p>
    <w:p>
      <w:pPr>
        <w:keepNext w:val="0"/>
        <w:keepLines w:val="0"/>
        <w:pageBreakBefore w:val="0"/>
        <w:kinsoku/>
        <w:wordWrap/>
        <w:overflowPunct/>
        <w:topLinePunct w:val="0"/>
        <w:autoSpaceDE/>
        <w:autoSpaceDN/>
        <w:bidi w:val="0"/>
        <w:spacing w:line="560" w:lineRule="exact"/>
        <w:ind w:left="1274" w:hanging="1273" w:hangingChars="398"/>
        <w:textAlignment w:val="auto"/>
        <w:rPr>
          <w:rFonts w:hint="eastAsia" w:ascii="仿宋_GB2312" w:eastAsia="仿宋_GB2312"/>
          <w:color w:val="0C0C0C" w:themeColor="text1" w:themeTint="F2"/>
          <w:spacing w:val="-6"/>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附表：</w:t>
      </w:r>
      <w:r>
        <w:rPr>
          <w:rFonts w:hint="eastAsia" w:ascii="仿宋_GB2312" w:eastAsia="仿宋_GB2312" w:cs="??_GB2312"/>
          <w:color w:val="0C0C0C" w:themeColor="text1" w:themeTint="F2"/>
          <w:sz w:val="32"/>
          <w:szCs w:val="32"/>
        </w:rPr>
        <w:t>1.</w:t>
      </w:r>
      <w:r>
        <w:rPr>
          <w:rFonts w:hint="eastAsia" w:ascii="仿宋_GB2312" w:eastAsia="仿宋_GB2312" w:cs="??_GB2312"/>
          <w:color w:val="0C0C0C" w:themeColor="text1" w:themeTint="F2"/>
          <w:spacing w:val="-6"/>
          <w:sz w:val="32"/>
          <w:szCs w:val="32"/>
        </w:rPr>
        <w:t>2020</w:t>
      </w:r>
      <w:r>
        <w:rPr>
          <w:rFonts w:hint="eastAsia" w:ascii="仿宋_GB2312" w:eastAsia="仿宋_GB2312"/>
          <w:color w:val="0C0C0C" w:themeColor="text1" w:themeTint="F2"/>
          <w:spacing w:val="-6"/>
          <w:sz w:val="32"/>
          <w:szCs w:val="32"/>
        </w:rPr>
        <w:t>年放射诊疗、职业健康检查、职业病诊断机构</w:t>
      </w:r>
    </w:p>
    <w:p>
      <w:pPr>
        <w:keepNext w:val="0"/>
        <w:keepLines w:val="0"/>
        <w:pageBreakBefore w:val="0"/>
        <w:kinsoku/>
        <w:wordWrap/>
        <w:overflowPunct/>
        <w:topLinePunct w:val="0"/>
        <w:autoSpaceDE/>
        <w:autoSpaceDN/>
        <w:bidi w:val="0"/>
        <w:spacing w:line="560" w:lineRule="exact"/>
        <w:ind w:left="1274" w:hanging="1225" w:hangingChars="398"/>
        <w:textAlignment w:val="auto"/>
        <w:rPr>
          <w:rFonts w:ascii="仿宋_GB2312" w:eastAsia="仿宋_GB2312"/>
          <w:color w:val="0C0C0C" w:themeColor="text1" w:themeTint="F2"/>
          <w:spacing w:val="-6"/>
          <w:sz w:val="32"/>
          <w:szCs w:val="32"/>
        </w:rPr>
      </w:pPr>
      <w:r>
        <w:rPr>
          <w:rFonts w:hint="eastAsia" w:ascii="仿宋_GB2312" w:eastAsia="仿宋_GB2312"/>
          <w:color w:val="0C0C0C" w:themeColor="text1" w:themeTint="F2"/>
          <w:spacing w:val="-6"/>
          <w:sz w:val="32"/>
          <w:szCs w:val="32"/>
          <w:lang w:eastAsia="zh-CN"/>
        </w:rPr>
        <w:t>　　　　　　</w:t>
      </w:r>
      <w:r>
        <w:rPr>
          <w:rFonts w:hint="eastAsia" w:ascii="仿宋_GB2312" w:eastAsia="仿宋_GB2312"/>
          <w:color w:val="0C0C0C" w:themeColor="text1" w:themeTint="F2"/>
          <w:spacing w:val="-6"/>
          <w:sz w:val="32"/>
          <w:szCs w:val="32"/>
        </w:rPr>
        <w:t>和放射技术服务机构国家随机监督抽查工作计划表</w:t>
      </w:r>
    </w:p>
    <w:p>
      <w:pPr>
        <w:keepNext w:val="0"/>
        <w:keepLines w:val="0"/>
        <w:pageBreakBefore w:val="0"/>
        <w:kinsoku/>
        <w:wordWrap/>
        <w:overflowPunct/>
        <w:topLinePunct w:val="0"/>
        <w:autoSpaceDE/>
        <w:autoSpaceDN/>
        <w:bidi w:val="0"/>
        <w:spacing w:line="560" w:lineRule="exact"/>
        <w:ind w:firstLine="992" w:firstLineChars="310"/>
        <w:textAlignment w:val="auto"/>
        <w:rPr>
          <w:rFonts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lang w:eastAsia="zh-CN"/>
        </w:rPr>
        <w:t>　　</w:t>
      </w:r>
      <w:r>
        <w:rPr>
          <w:rFonts w:hint="eastAsia" w:ascii="仿宋_GB2312" w:eastAsia="仿宋_GB2312" w:cs="??_GB2312"/>
          <w:color w:val="0C0C0C" w:themeColor="text1" w:themeTint="F2"/>
          <w:sz w:val="32"/>
          <w:szCs w:val="32"/>
        </w:rPr>
        <w:t>2.2020</w:t>
      </w:r>
      <w:r>
        <w:rPr>
          <w:rFonts w:hint="eastAsia" w:ascii="仿宋_GB2312" w:eastAsia="仿宋_GB2312"/>
          <w:color w:val="0C0C0C" w:themeColor="text1" w:themeTint="F2"/>
          <w:sz w:val="32"/>
          <w:szCs w:val="32"/>
        </w:rPr>
        <w:t>年放射诊疗机构国家随机监督抽查汇总表</w:t>
      </w:r>
    </w:p>
    <w:p>
      <w:pPr>
        <w:keepNext w:val="0"/>
        <w:keepLines w:val="0"/>
        <w:pageBreakBefore w:val="0"/>
        <w:kinsoku/>
        <w:wordWrap/>
        <w:overflowPunct/>
        <w:topLinePunct w:val="0"/>
        <w:autoSpaceDE/>
        <w:autoSpaceDN/>
        <w:bidi w:val="0"/>
        <w:spacing w:line="560" w:lineRule="exact"/>
        <w:ind w:left="1578" w:leftChars="473" w:hanging="585" w:hangingChars="183"/>
        <w:textAlignment w:val="auto"/>
        <w:rPr>
          <w:rFonts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lang w:eastAsia="zh-CN"/>
        </w:rPr>
        <w:t>　　</w:t>
      </w:r>
      <w:r>
        <w:rPr>
          <w:rFonts w:hint="eastAsia" w:ascii="仿宋_GB2312" w:eastAsia="仿宋_GB2312" w:cs="??_GB2312"/>
          <w:color w:val="0C0C0C" w:themeColor="text1" w:themeTint="F2"/>
          <w:sz w:val="32"/>
          <w:szCs w:val="32"/>
        </w:rPr>
        <w:t>3.2020</w:t>
      </w:r>
      <w:r>
        <w:rPr>
          <w:rFonts w:hint="eastAsia" w:ascii="仿宋_GB2312" w:eastAsia="仿宋_GB2312"/>
          <w:color w:val="0C0C0C" w:themeColor="text1" w:themeTint="F2"/>
          <w:sz w:val="32"/>
          <w:szCs w:val="32"/>
        </w:rPr>
        <w:t>年放射诊疗机构国家随机监督抽查汇总表</w:t>
      </w:r>
    </w:p>
    <w:p>
      <w:pPr>
        <w:keepNext w:val="0"/>
        <w:keepLines w:val="0"/>
        <w:pageBreakBefore w:val="0"/>
        <w:kinsoku/>
        <w:wordWrap/>
        <w:overflowPunct/>
        <w:topLinePunct w:val="0"/>
        <w:autoSpaceDE/>
        <w:autoSpaceDN/>
        <w:bidi w:val="0"/>
        <w:spacing w:line="560" w:lineRule="exact"/>
        <w:ind w:left="1270" w:leftChars="471" w:hanging="281" w:hangingChars="88"/>
        <w:textAlignment w:val="auto"/>
        <w:rPr>
          <w:rFonts w:hint="eastAsia"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lang w:eastAsia="zh-CN"/>
        </w:rPr>
        <w:t>　　</w:t>
      </w:r>
      <w:r>
        <w:rPr>
          <w:rFonts w:hint="eastAsia" w:ascii="仿宋_GB2312" w:eastAsia="仿宋_GB2312" w:cs="??_GB2312"/>
          <w:color w:val="0C0C0C" w:themeColor="text1" w:themeTint="F2"/>
          <w:sz w:val="32"/>
          <w:szCs w:val="32"/>
        </w:rPr>
        <w:t>4.2020</w:t>
      </w:r>
      <w:r>
        <w:rPr>
          <w:rFonts w:hint="eastAsia" w:ascii="仿宋_GB2312" w:eastAsia="仿宋_GB2312"/>
          <w:color w:val="0C0C0C" w:themeColor="text1" w:themeTint="F2"/>
          <w:sz w:val="32"/>
          <w:szCs w:val="32"/>
        </w:rPr>
        <w:t>年职业卫生技术服务机构国家随机监督抽查</w:t>
      </w:r>
    </w:p>
    <w:p>
      <w:pPr>
        <w:keepNext w:val="0"/>
        <w:keepLines w:val="0"/>
        <w:pageBreakBefore w:val="0"/>
        <w:kinsoku/>
        <w:wordWrap/>
        <w:overflowPunct/>
        <w:topLinePunct w:val="0"/>
        <w:autoSpaceDE/>
        <w:autoSpaceDN/>
        <w:bidi w:val="0"/>
        <w:spacing w:line="560" w:lineRule="exact"/>
        <w:ind w:left="1270" w:leftChars="471" w:hanging="281" w:hangingChars="88"/>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计划表</w:t>
      </w:r>
    </w:p>
    <w:p>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lang w:eastAsia="zh-CN"/>
        </w:rPr>
        <w:t>　　　　　</w:t>
      </w:r>
      <w:r>
        <w:rPr>
          <w:rFonts w:hint="eastAsia" w:ascii="仿宋_GB2312" w:eastAsia="仿宋_GB2312" w:cs="??_GB2312"/>
          <w:color w:val="0C0C0C" w:themeColor="text1" w:themeTint="F2"/>
          <w:sz w:val="32"/>
          <w:szCs w:val="32"/>
        </w:rPr>
        <w:t>5.2020</w:t>
      </w:r>
      <w:r>
        <w:rPr>
          <w:rFonts w:hint="eastAsia" w:ascii="仿宋_GB2312" w:eastAsia="仿宋_GB2312"/>
          <w:color w:val="0C0C0C" w:themeColor="text1" w:themeTint="F2"/>
          <w:sz w:val="32"/>
          <w:szCs w:val="32"/>
        </w:rPr>
        <w:t>年职业卫生技术服务机构国家随机监督抽查</w:t>
      </w:r>
    </w:p>
    <w:p>
      <w:pPr>
        <w:keepNext w:val="0"/>
        <w:keepLines w:val="0"/>
        <w:pageBreakBefore w:val="0"/>
        <w:kinsoku/>
        <w:wordWrap/>
        <w:overflowPunct/>
        <w:topLinePunct w:val="0"/>
        <w:autoSpaceDE/>
        <w:autoSpaceDN/>
        <w:bidi w:val="0"/>
        <w:spacing w:line="560" w:lineRule="exact"/>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汇总表</w:t>
      </w:r>
    </w:p>
    <w:p>
      <w:pPr>
        <w:keepNext w:val="0"/>
        <w:keepLines w:val="0"/>
        <w:pageBreakBefore w:val="0"/>
        <w:widowControl/>
        <w:kinsoku/>
        <w:wordWrap/>
        <w:overflowPunct/>
        <w:topLinePunct w:val="0"/>
        <w:autoSpaceDE/>
        <w:autoSpaceDN/>
        <w:bidi w:val="0"/>
        <w:spacing w:line="560" w:lineRule="exact"/>
        <w:jc w:val="left"/>
        <w:textAlignment w:val="auto"/>
        <w:rPr>
          <w:rFonts w:ascii="仿宋_GB2312" w:eastAsia="仿宋_GB2312"/>
          <w:color w:val="0C0C0C" w:themeColor="text1" w:themeTint="F2"/>
          <w:sz w:val="32"/>
          <w:szCs w:val="32"/>
        </w:rPr>
        <w:sectPr>
          <w:pgSz w:w="11906" w:h="16838"/>
          <w:pgMar w:top="1701" w:right="1417" w:bottom="1417" w:left="1701" w:header="851" w:footer="992"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C0C0C" w:themeColor="text1" w:themeTint="F2"/>
          <w:spacing w:val="0"/>
          <w:sz w:val="44"/>
          <w:szCs w:val="44"/>
        </w:rPr>
      </w:pPr>
      <w:r>
        <w:rPr>
          <w:rFonts w:hint="eastAsia" w:ascii="方正小标宋简体" w:hAnsi="方正小标宋简体" w:eastAsia="方正小标宋简体" w:cs="方正小标宋简体"/>
          <w:b w:val="0"/>
          <w:bCs w:val="0"/>
          <w:color w:val="0C0C0C" w:themeColor="text1" w:themeTint="F2"/>
          <w:spacing w:val="0"/>
          <w:sz w:val="44"/>
          <w:szCs w:val="44"/>
        </w:rPr>
        <w:t>2020年放射诊疗、职业健康检查、职业病诊断机构和放射技术服务机构</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C0C0C" w:themeColor="text1" w:themeTint="F2"/>
          <w:spacing w:val="0"/>
          <w:sz w:val="44"/>
          <w:szCs w:val="44"/>
        </w:rPr>
      </w:pPr>
      <w:r>
        <w:rPr>
          <w:rFonts w:hint="eastAsia" w:ascii="方正小标宋简体" w:hAnsi="方正小标宋简体" w:eastAsia="方正小标宋简体" w:cs="方正小标宋简体"/>
          <w:b w:val="0"/>
          <w:bCs w:val="0"/>
          <w:color w:val="0C0C0C" w:themeColor="text1" w:themeTint="F2"/>
          <w:spacing w:val="0"/>
          <w:sz w:val="44"/>
          <w:szCs w:val="44"/>
        </w:rPr>
        <w:t>国家随机监督抽查工作计划表</w:t>
      </w:r>
    </w:p>
    <w:tbl>
      <w:tblPr>
        <w:tblStyle w:val="7"/>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13" w:type="dxa"/>
            <w:vAlign w:val="center"/>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序号</w:t>
            </w:r>
          </w:p>
        </w:tc>
        <w:tc>
          <w:tcPr>
            <w:tcW w:w="2158" w:type="dxa"/>
            <w:vAlign w:val="center"/>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监督检查对象</w:t>
            </w:r>
          </w:p>
        </w:tc>
        <w:tc>
          <w:tcPr>
            <w:tcW w:w="960" w:type="dxa"/>
            <w:vAlign w:val="center"/>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抽检 比例</w:t>
            </w:r>
          </w:p>
        </w:tc>
        <w:tc>
          <w:tcPr>
            <w:tcW w:w="10013" w:type="dxa"/>
            <w:vAlign w:val="center"/>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检查内容</w:t>
            </w:r>
          </w:p>
        </w:tc>
        <w:tc>
          <w:tcPr>
            <w:tcW w:w="867" w:type="dxa"/>
            <w:vAlign w:val="center"/>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13" w:type="dxa"/>
            <w:vAlign w:val="center"/>
          </w:tcPr>
          <w:p>
            <w:pPr>
              <w:spacing w:line="360" w:lineRule="auto"/>
              <w:jc w:val="center"/>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w:t>
            </w:r>
          </w:p>
        </w:tc>
        <w:tc>
          <w:tcPr>
            <w:tcW w:w="2158"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放射诊疗机构</w:t>
            </w:r>
          </w:p>
          <w:p>
            <w:pPr>
              <w:spacing w:line="360" w:lineRule="auto"/>
              <w:jc w:val="center"/>
              <w:rPr>
                <w:rFonts w:hint="eastAsia" w:ascii="仿宋_GB2312" w:eastAsia="仿宋_GB2312" w:cs="??_GB2312"/>
                <w:color w:val="0C0C0C" w:themeColor="text1" w:themeTint="F2"/>
                <w:sz w:val="24"/>
                <w:szCs w:val="24"/>
                <w:lang w:eastAsia="zh-CN"/>
              </w:rPr>
            </w:pPr>
            <w:r>
              <w:rPr>
                <w:rFonts w:hint="eastAsia" w:ascii="仿宋_GB2312" w:eastAsia="仿宋_GB2312" w:cs="??_GB2312"/>
                <w:color w:val="0C0C0C" w:themeColor="text1" w:themeTint="F2"/>
                <w:sz w:val="24"/>
                <w:szCs w:val="24"/>
                <w:lang w:eastAsia="zh-CN"/>
              </w:rPr>
              <w:t>（</w:t>
            </w:r>
            <w:r>
              <w:rPr>
                <w:rFonts w:hint="eastAsia" w:ascii="仿宋_GB2312" w:eastAsia="仿宋_GB2312"/>
                <w:color w:val="0C0C0C" w:themeColor="text1" w:themeTint="F2"/>
                <w:sz w:val="24"/>
                <w:szCs w:val="24"/>
              </w:rPr>
              <w:t>含中医医疗机构</w:t>
            </w:r>
            <w:r>
              <w:rPr>
                <w:rFonts w:hint="eastAsia" w:ascii="仿宋_GB2312" w:eastAsia="仿宋_GB2312" w:cs="??_GB2312"/>
                <w:color w:val="0C0C0C" w:themeColor="text1" w:themeTint="F2"/>
                <w:sz w:val="24"/>
                <w:szCs w:val="24"/>
                <w:lang w:eastAsia="zh-CN"/>
              </w:rPr>
              <w:t>）</w:t>
            </w:r>
          </w:p>
        </w:tc>
        <w:tc>
          <w:tcPr>
            <w:tcW w:w="960" w:type="dxa"/>
            <w:vAlign w:val="center"/>
          </w:tcPr>
          <w:p>
            <w:pPr>
              <w:spacing w:line="360" w:lineRule="auto"/>
              <w:jc w:val="center"/>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20%</w:t>
            </w:r>
          </w:p>
        </w:tc>
        <w:tc>
          <w:tcPr>
            <w:tcW w:w="10013" w:type="dxa"/>
            <w:vAlign w:val="center"/>
          </w:tcPr>
          <w:p>
            <w:pP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r>
              <w:rPr>
                <w:rFonts w:hint="eastAsia" w:ascii="仿宋_GB2312" w:eastAsia="仿宋_GB2312"/>
                <w:color w:val="0C0C0C" w:themeColor="text1" w:themeTint="F2"/>
                <w:sz w:val="24"/>
                <w:szCs w:val="24"/>
              </w:rPr>
              <w:t>建设项目管理情况；</w:t>
            </w:r>
            <w:r>
              <w:rPr>
                <w:rFonts w:hint="eastAsia" w:ascii="仿宋_GB2312" w:eastAsia="仿宋_GB2312" w:cs="??_GB2312"/>
                <w:color w:val="0C0C0C" w:themeColor="text1" w:themeTint="F2"/>
                <w:sz w:val="24"/>
                <w:szCs w:val="24"/>
              </w:rPr>
              <w:t>2.</w:t>
            </w:r>
            <w:r>
              <w:rPr>
                <w:rFonts w:hint="eastAsia" w:ascii="仿宋_GB2312" w:eastAsia="仿宋_GB2312"/>
                <w:color w:val="0C0C0C" w:themeColor="text1" w:themeTint="F2"/>
                <w:sz w:val="24"/>
                <w:szCs w:val="24"/>
              </w:rPr>
              <w:t>放射诊疗场所管理及其防护措施情况；</w:t>
            </w:r>
            <w:r>
              <w:rPr>
                <w:rFonts w:hint="eastAsia" w:ascii="仿宋_GB2312" w:eastAsia="仿宋_GB2312" w:cs="??_GB2312"/>
                <w:color w:val="0C0C0C" w:themeColor="text1" w:themeTint="F2"/>
                <w:sz w:val="24"/>
                <w:szCs w:val="24"/>
              </w:rPr>
              <w:t>3.</w:t>
            </w:r>
            <w:r>
              <w:rPr>
                <w:rFonts w:hint="eastAsia" w:ascii="仿宋_GB2312" w:eastAsia="仿宋_GB2312"/>
                <w:color w:val="0C0C0C" w:themeColor="text1" w:themeTint="F2"/>
                <w:sz w:val="24"/>
                <w:szCs w:val="24"/>
              </w:rPr>
              <w:t>放射诊疗设备管理情况；</w:t>
            </w:r>
            <w:r>
              <w:rPr>
                <w:rFonts w:hint="eastAsia" w:ascii="仿宋_GB2312" w:eastAsia="仿宋_GB2312" w:cs="??_GB2312"/>
                <w:color w:val="0C0C0C" w:themeColor="text1" w:themeTint="F2"/>
                <w:sz w:val="24"/>
                <w:szCs w:val="24"/>
              </w:rPr>
              <w:t>4.</w:t>
            </w:r>
            <w:r>
              <w:rPr>
                <w:rFonts w:hint="eastAsia" w:ascii="仿宋_GB2312" w:eastAsia="仿宋_GB2312"/>
                <w:color w:val="0C0C0C" w:themeColor="text1" w:themeTint="F2"/>
                <w:sz w:val="24"/>
                <w:szCs w:val="24"/>
              </w:rPr>
              <w:t>放射工作人员管理情况；</w:t>
            </w:r>
            <w:r>
              <w:rPr>
                <w:rFonts w:hint="eastAsia" w:ascii="仿宋_GB2312" w:eastAsia="仿宋_GB2312" w:cs="??_GB2312"/>
                <w:color w:val="0C0C0C" w:themeColor="text1" w:themeTint="F2"/>
                <w:sz w:val="24"/>
                <w:szCs w:val="24"/>
              </w:rPr>
              <w:t>5.</w:t>
            </w:r>
            <w:r>
              <w:rPr>
                <w:rFonts w:hint="eastAsia" w:ascii="仿宋_GB2312" w:eastAsia="仿宋_GB2312"/>
                <w:color w:val="0C0C0C" w:themeColor="text1" w:themeTint="F2"/>
                <w:sz w:val="24"/>
                <w:szCs w:val="24"/>
              </w:rPr>
              <w:t>开展放射诊疗人员条件管理情况；</w:t>
            </w:r>
            <w:r>
              <w:rPr>
                <w:rFonts w:hint="eastAsia" w:ascii="仿宋_GB2312" w:eastAsia="仿宋_GB2312" w:cs="??_GB2312"/>
                <w:color w:val="0C0C0C" w:themeColor="text1" w:themeTint="F2"/>
                <w:sz w:val="24"/>
                <w:szCs w:val="24"/>
              </w:rPr>
              <w:t>6.</w:t>
            </w:r>
            <w:r>
              <w:rPr>
                <w:rFonts w:hint="eastAsia" w:ascii="仿宋_GB2312" w:eastAsia="仿宋_GB2312"/>
                <w:color w:val="0C0C0C" w:themeColor="text1" w:themeTint="F2"/>
                <w:sz w:val="24"/>
                <w:szCs w:val="24"/>
              </w:rPr>
              <w:t>对患者、受检者及其他非放射工作人员的保护情况；</w:t>
            </w:r>
            <w:r>
              <w:rPr>
                <w:rFonts w:hint="eastAsia" w:ascii="仿宋_GB2312" w:eastAsia="仿宋_GB2312" w:cs="??_GB2312"/>
                <w:color w:val="0C0C0C" w:themeColor="text1" w:themeTint="F2"/>
                <w:sz w:val="24"/>
                <w:szCs w:val="24"/>
              </w:rPr>
              <w:t>7.</w:t>
            </w:r>
            <w:r>
              <w:rPr>
                <w:rFonts w:hint="eastAsia" w:ascii="仿宋_GB2312" w:eastAsia="仿宋_GB2312"/>
                <w:color w:val="0C0C0C" w:themeColor="text1" w:themeTint="F2"/>
                <w:sz w:val="24"/>
                <w:szCs w:val="24"/>
              </w:rPr>
              <w:t>放射事件预防处置情况；</w:t>
            </w:r>
            <w:r>
              <w:rPr>
                <w:rFonts w:hint="eastAsia" w:ascii="仿宋_GB2312" w:eastAsia="仿宋_GB2312" w:cs="??_GB2312"/>
                <w:color w:val="0C0C0C" w:themeColor="text1" w:themeTint="F2"/>
                <w:sz w:val="24"/>
                <w:szCs w:val="24"/>
              </w:rPr>
              <w:t>8.</w:t>
            </w:r>
            <w:r>
              <w:rPr>
                <w:rFonts w:hint="eastAsia" w:ascii="仿宋_GB2312" w:eastAsia="仿宋_GB2312"/>
                <w:color w:val="0C0C0C" w:themeColor="text1" w:themeTint="F2"/>
                <w:sz w:val="24"/>
                <w:szCs w:val="24"/>
              </w:rPr>
              <w:t>职业病人管理情况；</w:t>
            </w:r>
            <w:r>
              <w:rPr>
                <w:rFonts w:hint="eastAsia" w:ascii="仿宋_GB2312" w:eastAsia="仿宋_GB2312" w:cs="??_GB2312"/>
                <w:color w:val="0C0C0C" w:themeColor="text1" w:themeTint="F2"/>
                <w:sz w:val="24"/>
                <w:szCs w:val="24"/>
              </w:rPr>
              <w:t>9.</w:t>
            </w:r>
            <w:r>
              <w:rPr>
                <w:rFonts w:hint="eastAsia" w:ascii="仿宋_GB2312" w:eastAsia="仿宋_GB2312"/>
                <w:color w:val="0C0C0C" w:themeColor="text1" w:themeTint="F2"/>
                <w:sz w:val="24"/>
                <w:szCs w:val="24"/>
              </w:rPr>
              <w:t>档案管理与体系建设情况；</w:t>
            </w:r>
            <w:r>
              <w:rPr>
                <w:rFonts w:hint="eastAsia" w:ascii="仿宋_GB2312" w:eastAsia="仿宋_GB2312" w:cs="??_GB2312"/>
                <w:color w:val="0C0C0C" w:themeColor="text1" w:themeTint="F2"/>
                <w:sz w:val="24"/>
                <w:szCs w:val="24"/>
              </w:rPr>
              <w:t>10.</w:t>
            </w:r>
            <w:r>
              <w:rPr>
                <w:rFonts w:hint="eastAsia" w:ascii="仿宋_GB2312" w:eastAsia="仿宋_GB2312"/>
                <w:color w:val="0C0C0C" w:themeColor="text1" w:themeTint="F2"/>
                <w:sz w:val="24"/>
                <w:szCs w:val="24"/>
              </w:rPr>
              <w:t>核医学诊疗管理情况；</w:t>
            </w:r>
            <w:r>
              <w:rPr>
                <w:rFonts w:hint="eastAsia" w:ascii="仿宋_GB2312" w:eastAsia="仿宋_GB2312" w:cs="??_GB2312"/>
                <w:color w:val="0C0C0C" w:themeColor="text1" w:themeTint="F2"/>
                <w:sz w:val="24"/>
                <w:szCs w:val="24"/>
              </w:rPr>
              <w:t>11.</w:t>
            </w:r>
            <w:r>
              <w:rPr>
                <w:rFonts w:hint="eastAsia" w:ascii="仿宋_GB2312" w:eastAsia="仿宋_GB2312"/>
                <w:color w:val="0C0C0C" w:themeColor="text1" w:themeTint="F2"/>
                <w:sz w:val="24"/>
                <w:szCs w:val="24"/>
              </w:rPr>
              <w:t>放射性同位素管理情况；</w:t>
            </w:r>
            <w:r>
              <w:rPr>
                <w:rFonts w:hint="eastAsia" w:ascii="仿宋_GB2312" w:eastAsia="仿宋_GB2312" w:cs="??_GB2312"/>
                <w:color w:val="0C0C0C" w:themeColor="text1" w:themeTint="F2"/>
                <w:sz w:val="24"/>
                <w:szCs w:val="24"/>
              </w:rPr>
              <w:t>12.</w:t>
            </w:r>
            <w:r>
              <w:rPr>
                <w:rFonts w:hint="eastAsia" w:ascii="仿宋_GB2312" w:eastAsia="仿宋_GB2312"/>
                <w:color w:val="0C0C0C" w:themeColor="text1" w:themeTint="F2"/>
                <w:sz w:val="24"/>
                <w:szCs w:val="24"/>
              </w:rPr>
              <w:t>放射治疗管理情况。</w:t>
            </w:r>
          </w:p>
        </w:tc>
        <w:tc>
          <w:tcPr>
            <w:tcW w:w="867" w:type="dxa"/>
            <w:vAlign w:val="center"/>
          </w:tcPr>
          <w:p>
            <w:pPr>
              <w:spacing w:line="360" w:lineRule="auto"/>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13" w:type="dxa"/>
            <w:vAlign w:val="center"/>
          </w:tcPr>
          <w:p>
            <w:pPr>
              <w:spacing w:line="360" w:lineRule="auto"/>
              <w:jc w:val="center"/>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2</w:t>
            </w:r>
          </w:p>
        </w:tc>
        <w:tc>
          <w:tcPr>
            <w:tcW w:w="2158"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职业健康检查和职业病诊断机构</w:t>
            </w:r>
          </w:p>
        </w:tc>
        <w:tc>
          <w:tcPr>
            <w:tcW w:w="960" w:type="dxa"/>
            <w:vAlign w:val="center"/>
          </w:tcPr>
          <w:p>
            <w:pPr>
              <w:spacing w:line="360" w:lineRule="auto"/>
              <w:jc w:val="center"/>
              <w:rPr>
                <w:rFonts w:ascii="仿宋_GB2312" w:eastAsia="仿宋_GB2312" w:cs="??_GB2312"/>
                <w:color w:val="0C0C0C" w:themeColor="text1" w:themeTint="F2"/>
                <w:sz w:val="24"/>
                <w:szCs w:val="24"/>
              </w:rPr>
            </w:pPr>
            <w:r>
              <w:rPr>
                <w:rFonts w:hint="eastAsia" w:ascii="仿宋_GB2312" w:eastAsia="仿宋_GB2312"/>
                <w:color w:val="0C0C0C" w:themeColor="text1" w:themeTint="F2"/>
                <w:sz w:val="24"/>
                <w:szCs w:val="24"/>
              </w:rPr>
              <w:t>各</w:t>
            </w:r>
            <w:r>
              <w:rPr>
                <w:rFonts w:hint="eastAsia" w:ascii="仿宋_GB2312" w:eastAsia="仿宋_GB2312" w:cs="??_GB2312"/>
                <w:color w:val="0C0C0C" w:themeColor="text1" w:themeTint="F2"/>
                <w:sz w:val="24"/>
                <w:szCs w:val="24"/>
              </w:rPr>
              <w:t>20%</w:t>
            </w:r>
          </w:p>
        </w:tc>
        <w:tc>
          <w:tcPr>
            <w:tcW w:w="10013" w:type="dxa"/>
            <w:vAlign w:val="center"/>
          </w:tcPr>
          <w:p>
            <w:pP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r>
              <w:rPr>
                <w:rFonts w:hint="eastAsia" w:ascii="仿宋_GB2312" w:eastAsia="仿宋_GB2312"/>
                <w:color w:val="0C0C0C" w:themeColor="text1" w:themeTint="F2"/>
                <w:sz w:val="24"/>
                <w:szCs w:val="24"/>
              </w:rPr>
              <w:t>职业病诊断机构是否在批准的资质范围内开展工作；</w:t>
            </w:r>
            <w:r>
              <w:rPr>
                <w:rFonts w:hint="eastAsia" w:ascii="仿宋_GB2312" w:eastAsia="仿宋_GB2312" w:cs="??_GB2312"/>
                <w:color w:val="0C0C0C" w:themeColor="text1" w:themeTint="F2"/>
                <w:sz w:val="24"/>
                <w:szCs w:val="24"/>
              </w:rPr>
              <w:t>2.</w:t>
            </w:r>
            <w:r>
              <w:rPr>
                <w:rFonts w:hint="eastAsia" w:ascii="仿宋_GB2312" w:eastAsia="仿宋_GB2312"/>
                <w:color w:val="0C0C0C" w:themeColor="text1" w:themeTint="F2"/>
                <w:sz w:val="24"/>
                <w:szCs w:val="24"/>
              </w:rPr>
              <w:t>出具的报告是否符合相关要求；</w:t>
            </w:r>
            <w:r>
              <w:rPr>
                <w:rFonts w:hint="eastAsia" w:ascii="仿宋_GB2312" w:eastAsia="仿宋_GB2312" w:cs="??_GB2312"/>
                <w:color w:val="0C0C0C" w:themeColor="text1" w:themeTint="F2"/>
                <w:sz w:val="24"/>
                <w:szCs w:val="24"/>
              </w:rPr>
              <w:t>3.</w:t>
            </w:r>
            <w:r>
              <w:rPr>
                <w:rFonts w:hint="eastAsia" w:ascii="仿宋_GB2312" w:eastAsia="仿宋_GB2312"/>
                <w:color w:val="0C0C0C" w:themeColor="text1" w:themeTint="F2"/>
                <w:sz w:val="24"/>
                <w:szCs w:val="24"/>
              </w:rPr>
              <w:t>技术人员是否满足工作要求；</w:t>
            </w:r>
            <w:r>
              <w:rPr>
                <w:rFonts w:hint="eastAsia" w:ascii="仿宋_GB2312" w:eastAsia="仿宋_GB2312" w:cs="??_GB2312"/>
                <w:color w:val="0C0C0C" w:themeColor="text1" w:themeTint="F2"/>
                <w:sz w:val="24"/>
                <w:szCs w:val="24"/>
              </w:rPr>
              <w:t>4.</w:t>
            </w:r>
            <w:r>
              <w:rPr>
                <w:rFonts w:hint="eastAsia" w:ascii="仿宋_GB2312" w:eastAsia="仿宋_GB2312"/>
                <w:color w:val="0C0C0C" w:themeColor="text1" w:themeTint="F2"/>
                <w:sz w:val="24"/>
                <w:szCs w:val="24"/>
              </w:rPr>
              <w:t>仪器设备场所是否满足工作要求；</w:t>
            </w:r>
            <w:r>
              <w:rPr>
                <w:rFonts w:hint="eastAsia" w:ascii="仿宋_GB2312" w:eastAsia="仿宋_GB2312" w:cs="??_GB2312"/>
                <w:color w:val="0C0C0C" w:themeColor="text1" w:themeTint="F2"/>
                <w:sz w:val="24"/>
                <w:szCs w:val="24"/>
              </w:rPr>
              <w:t>5.</w:t>
            </w:r>
            <w:r>
              <w:rPr>
                <w:rFonts w:hint="eastAsia" w:ascii="仿宋_GB2312" w:eastAsia="仿宋_GB2312"/>
                <w:color w:val="0C0C0C" w:themeColor="text1" w:themeTint="F2"/>
                <w:sz w:val="24"/>
                <w:szCs w:val="24"/>
              </w:rPr>
              <w:t>质量控制、程序是否符合相关要求；</w:t>
            </w:r>
            <w:r>
              <w:rPr>
                <w:rFonts w:hint="eastAsia" w:ascii="仿宋_GB2312" w:eastAsia="仿宋_GB2312" w:cs="??_GB2312"/>
                <w:color w:val="0C0C0C" w:themeColor="text1" w:themeTint="F2"/>
                <w:sz w:val="24"/>
                <w:szCs w:val="24"/>
              </w:rPr>
              <w:t>6.</w:t>
            </w:r>
            <w:r>
              <w:rPr>
                <w:rFonts w:hint="eastAsia" w:ascii="仿宋_GB2312" w:eastAsia="仿宋_GB2312"/>
                <w:color w:val="0C0C0C" w:themeColor="text1" w:themeTint="F2"/>
                <w:sz w:val="24"/>
                <w:szCs w:val="24"/>
              </w:rPr>
              <w:t>档案管理是否符合相关要求；</w:t>
            </w:r>
            <w:r>
              <w:rPr>
                <w:rFonts w:hint="eastAsia" w:ascii="仿宋_GB2312" w:eastAsia="仿宋_GB2312" w:cs="??_GB2312"/>
                <w:color w:val="0C0C0C" w:themeColor="text1" w:themeTint="F2"/>
                <w:sz w:val="24"/>
                <w:szCs w:val="24"/>
              </w:rPr>
              <w:t>7.</w:t>
            </w:r>
            <w:r>
              <w:rPr>
                <w:rFonts w:hint="eastAsia" w:ascii="仿宋_GB2312" w:eastAsia="仿宋_GB2312"/>
                <w:color w:val="0C0C0C" w:themeColor="text1" w:themeTint="F2"/>
                <w:sz w:val="24"/>
                <w:szCs w:val="24"/>
              </w:rPr>
              <w:t>管理制度是否符合相关要求；</w:t>
            </w:r>
            <w:r>
              <w:rPr>
                <w:rFonts w:hint="eastAsia" w:ascii="仿宋_GB2312" w:eastAsia="仿宋_GB2312" w:cs="??_GB2312"/>
                <w:color w:val="0C0C0C" w:themeColor="text1" w:themeTint="F2"/>
                <w:sz w:val="24"/>
                <w:szCs w:val="24"/>
              </w:rPr>
              <w:t>8.</w:t>
            </w:r>
            <w:r>
              <w:rPr>
                <w:rFonts w:hint="eastAsia" w:ascii="仿宋_GB2312" w:eastAsia="仿宋_GB2312"/>
                <w:color w:val="0C0C0C" w:themeColor="text1" w:themeTint="F2"/>
                <w:sz w:val="24"/>
                <w:szCs w:val="24"/>
              </w:rPr>
              <w:t>劳动者保护是否符合相关要求；</w:t>
            </w:r>
            <w:r>
              <w:rPr>
                <w:rFonts w:hint="eastAsia" w:ascii="仿宋_GB2312" w:eastAsia="仿宋_GB2312" w:cs="??_GB2312"/>
                <w:color w:val="0C0C0C" w:themeColor="text1" w:themeTint="F2"/>
                <w:sz w:val="24"/>
                <w:szCs w:val="24"/>
              </w:rPr>
              <w:t>9.</w:t>
            </w:r>
            <w:r>
              <w:rPr>
                <w:rFonts w:hint="eastAsia" w:ascii="仿宋_GB2312" w:eastAsia="仿宋_GB2312"/>
                <w:color w:val="0C0C0C" w:themeColor="text1" w:themeTint="F2"/>
                <w:sz w:val="24"/>
                <w:szCs w:val="24"/>
              </w:rPr>
              <w:t>职业健康检查结果、职业禁忌、疑似职业病、职业病的告知、通知、报告是否符合相关要求。</w:t>
            </w:r>
          </w:p>
        </w:tc>
        <w:tc>
          <w:tcPr>
            <w:tcW w:w="867" w:type="dxa"/>
            <w:vAlign w:val="center"/>
          </w:tcPr>
          <w:p>
            <w:pPr>
              <w:spacing w:line="360" w:lineRule="auto"/>
              <w:jc w:val="center"/>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13" w:type="dxa"/>
            <w:vAlign w:val="center"/>
          </w:tcPr>
          <w:p>
            <w:pPr>
              <w:spacing w:line="360" w:lineRule="auto"/>
              <w:jc w:val="center"/>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3</w:t>
            </w:r>
          </w:p>
        </w:tc>
        <w:tc>
          <w:tcPr>
            <w:tcW w:w="2158"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放射技术服务机构</w:t>
            </w:r>
          </w:p>
        </w:tc>
        <w:tc>
          <w:tcPr>
            <w:tcW w:w="960" w:type="dxa"/>
            <w:vAlign w:val="center"/>
          </w:tcPr>
          <w:p>
            <w:pPr>
              <w:spacing w:line="360" w:lineRule="auto"/>
              <w:jc w:val="center"/>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10013" w:type="dxa"/>
            <w:vAlign w:val="center"/>
          </w:tcPr>
          <w:p>
            <w:pP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r>
              <w:rPr>
                <w:rFonts w:hint="eastAsia" w:ascii="仿宋_GB2312" w:eastAsia="仿宋_GB2312"/>
                <w:color w:val="0C0C0C" w:themeColor="text1" w:themeTint="F2"/>
                <w:sz w:val="24"/>
                <w:szCs w:val="24"/>
              </w:rPr>
              <w:t>放射技术服务机构是否持有效资质（批准）证书；</w:t>
            </w:r>
            <w:r>
              <w:rPr>
                <w:rFonts w:hint="eastAsia" w:ascii="仿宋_GB2312" w:eastAsia="仿宋_GB2312" w:cs="??_GB2312"/>
                <w:color w:val="0C0C0C" w:themeColor="text1" w:themeTint="F2"/>
                <w:sz w:val="24"/>
                <w:szCs w:val="24"/>
              </w:rPr>
              <w:t>2.</w:t>
            </w:r>
            <w:r>
              <w:rPr>
                <w:rFonts w:hint="eastAsia" w:ascii="仿宋_GB2312" w:eastAsia="仿宋_GB2312"/>
                <w:color w:val="0C0C0C" w:themeColor="text1" w:themeTint="F2"/>
                <w:sz w:val="24"/>
                <w:szCs w:val="24"/>
              </w:rPr>
              <w:t>是否在批准的资质范围内开展工作；</w:t>
            </w:r>
            <w:r>
              <w:rPr>
                <w:rFonts w:hint="eastAsia" w:ascii="仿宋_GB2312" w:eastAsia="仿宋_GB2312" w:cs="??_GB2312"/>
                <w:color w:val="0C0C0C" w:themeColor="text1" w:themeTint="F2"/>
                <w:sz w:val="24"/>
                <w:szCs w:val="24"/>
              </w:rPr>
              <w:t>3.</w:t>
            </w:r>
            <w:r>
              <w:rPr>
                <w:rFonts w:hint="eastAsia" w:ascii="仿宋_GB2312" w:eastAsia="仿宋_GB2312"/>
                <w:color w:val="0C0C0C" w:themeColor="text1" w:themeTint="F2"/>
                <w:sz w:val="24"/>
                <w:szCs w:val="24"/>
              </w:rPr>
              <w:t>出具的报告是否符合相关要求；</w:t>
            </w:r>
            <w:r>
              <w:rPr>
                <w:rFonts w:hint="eastAsia" w:ascii="仿宋_GB2312" w:eastAsia="仿宋_GB2312" w:cs="??_GB2312"/>
                <w:color w:val="0C0C0C" w:themeColor="text1" w:themeTint="F2"/>
                <w:sz w:val="24"/>
                <w:szCs w:val="24"/>
              </w:rPr>
              <w:t>4.</w:t>
            </w:r>
            <w:r>
              <w:rPr>
                <w:rFonts w:hint="eastAsia" w:ascii="仿宋_GB2312" w:eastAsia="仿宋_GB2312"/>
                <w:color w:val="0C0C0C" w:themeColor="text1" w:themeTint="F2"/>
                <w:sz w:val="24"/>
                <w:szCs w:val="24"/>
              </w:rPr>
              <w:t>人员、仪器设备、场所是否满足工作要求；</w:t>
            </w:r>
            <w:r>
              <w:rPr>
                <w:rFonts w:hint="eastAsia" w:ascii="仿宋_GB2312" w:eastAsia="仿宋_GB2312" w:cs="??_GB2312"/>
                <w:color w:val="0C0C0C" w:themeColor="text1" w:themeTint="F2"/>
                <w:sz w:val="24"/>
                <w:szCs w:val="24"/>
              </w:rPr>
              <w:t>5.</w:t>
            </w:r>
            <w:r>
              <w:rPr>
                <w:rFonts w:hint="eastAsia" w:ascii="仿宋_GB2312" w:eastAsia="仿宋_GB2312"/>
                <w:color w:val="0C0C0C" w:themeColor="text1" w:themeTint="F2"/>
                <w:sz w:val="24"/>
                <w:szCs w:val="24"/>
              </w:rPr>
              <w:t>是否存在出具虚假文件情况。</w:t>
            </w:r>
          </w:p>
        </w:tc>
        <w:tc>
          <w:tcPr>
            <w:tcW w:w="867" w:type="dxa"/>
            <w:vAlign w:val="center"/>
          </w:tcPr>
          <w:p>
            <w:pPr>
              <w:spacing w:line="360" w:lineRule="auto"/>
              <w:jc w:val="center"/>
              <w:rPr>
                <w:rFonts w:ascii="仿宋_GB2312" w:eastAsia="仿宋_GB2312"/>
                <w:color w:val="0C0C0C" w:themeColor="text1" w:themeTint="F2"/>
                <w:sz w:val="24"/>
                <w:szCs w:val="24"/>
              </w:rPr>
            </w:pPr>
          </w:p>
        </w:tc>
      </w:tr>
    </w:tbl>
    <w:p>
      <w:pPr>
        <w:widowControl/>
        <w:spacing w:line="240" w:lineRule="atLeast"/>
        <w:jc w:val="left"/>
        <w:rPr>
          <w:rFonts w:ascii="仿宋_GB2312" w:eastAsia="仿宋_GB2312"/>
          <w:color w:val="0C0C0C" w:themeColor="text1" w:themeTint="F2"/>
          <w:sz w:val="32"/>
          <w:szCs w:val="32"/>
        </w:rPr>
      </w:pPr>
    </w:p>
    <w:p>
      <w:pPr>
        <w:widowControl/>
        <w:spacing w:line="240" w:lineRule="atLeast"/>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附表2</w:t>
      </w:r>
    </w:p>
    <w:p>
      <w:pPr>
        <w:jc w:val="center"/>
        <w:outlineLvl w:val="0"/>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2020年放射诊疗机构国家随机监督抽查汇总表</w:t>
      </w:r>
    </w:p>
    <w:tbl>
      <w:tblPr>
        <w:tblStyle w:val="7"/>
        <w:tblW w:w="14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单位</w:t>
            </w:r>
          </w:p>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类别</w:t>
            </w:r>
          </w:p>
        </w:tc>
        <w:tc>
          <w:tcPr>
            <w:tcW w:w="704" w:type="dxa"/>
            <w:vMerge w:val="restart"/>
            <w:vAlign w:val="center"/>
          </w:tcPr>
          <w:p>
            <w:pPr>
              <w:spacing w:line="240" w:lineRule="exact"/>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辖区内单位总数</w:t>
            </w:r>
          </w:p>
        </w:tc>
        <w:tc>
          <w:tcPr>
            <w:tcW w:w="597" w:type="dxa"/>
            <w:vMerge w:val="restart"/>
            <w:vAlign w:val="center"/>
          </w:tcPr>
          <w:p>
            <w:pPr>
              <w:spacing w:line="240" w:lineRule="exact"/>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检查单位数</w:t>
            </w:r>
          </w:p>
        </w:tc>
        <w:tc>
          <w:tcPr>
            <w:tcW w:w="10353" w:type="dxa"/>
            <w:gridSpan w:val="13"/>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不合格情况</w:t>
            </w:r>
          </w:p>
        </w:tc>
        <w:tc>
          <w:tcPr>
            <w:tcW w:w="1337" w:type="dxa"/>
            <w:gridSpan w:val="2"/>
            <w:vAlign w:val="center"/>
          </w:tcPr>
          <w:p>
            <w:pPr>
              <w:spacing w:line="240" w:lineRule="exact"/>
              <w:jc w:val="center"/>
              <w:rPr>
                <w:rFonts w:hint="eastAsia" w:ascii="仿宋_GB2312" w:eastAsia="仿宋_GB2312"/>
                <w:color w:val="0C0C0C" w:themeColor="text1" w:themeTint="F2"/>
                <w:sz w:val="24"/>
                <w:szCs w:val="24"/>
              </w:rPr>
            </w:pPr>
            <w:r>
              <w:rPr>
                <w:rFonts w:hint="eastAsia" w:ascii="仿宋_GB2312" w:eastAsia="仿宋_GB2312"/>
                <w:color w:val="0C0C0C" w:themeColor="text1" w:themeTint="F2"/>
                <w:sz w:val="24"/>
                <w:szCs w:val="24"/>
              </w:rPr>
              <w:t>行政处罚</w:t>
            </w:r>
          </w:p>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vAlign w:val="center"/>
          </w:tcPr>
          <w:p>
            <w:pPr>
              <w:rPr>
                <w:color w:val="0C0C0C" w:themeColor="text1" w:themeTint="F2"/>
              </w:rPr>
            </w:pPr>
          </w:p>
        </w:tc>
        <w:tc>
          <w:tcPr>
            <w:tcW w:w="704" w:type="dxa"/>
            <w:vMerge w:val="continue"/>
            <w:vAlign w:val="center"/>
          </w:tcPr>
          <w:p>
            <w:pPr>
              <w:rPr>
                <w:color w:val="0C0C0C" w:themeColor="text1" w:themeTint="F2"/>
              </w:rPr>
            </w:pPr>
          </w:p>
        </w:tc>
        <w:tc>
          <w:tcPr>
            <w:tcW w:w="597" w:type="dxa"/>
            <w:vMerge w:val="continue"/>
            <w:vAlign w:val="center"/>
          </w:tcPr>
          <w:p>
            <w:pPr>
              <w:rPr>
                <w:color w:val="0C0C0C" w:themeColor="text1" w:themeTint="F2"/>
              </w:rPr>
            </w:pPr>
          </w:p>
        </w:tc>
        <w:tc>
          <w:tcPr>
            <w:tcW w:w="81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放射诊疗建设项目不符合有关规定单位数</w:t>
            </w:r>
          </w:p>
        </w:tc>
        <w:tc>
          <w:tcPr>
            <w:tcW w:w="704"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放射诊疗场所及其防护措施不符合有关规定单位数</w:t>
            </w:r>
          </w:p>
        </w:tc>
        <w:tc>
          <w:tcPr>
            <w:tcW w:w="704"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放射诊疗设备及配套设施不符合有关规定单位数</w:t>
            </w:r>
          </w:p>
        </w:tc>
        <w:tc>
          <w:tcPr>
            <w:tcW w:w="704"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放射工作人员管理不符合有关规定单位数</w:t>
            </w:r>
          </w:p>
        </w:tc>
        <w:tc>
          <w:tcPr>
            <w:tcW w:w="767"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开展放射诊疗的人员条件不符合有关规定单位数</w:t>
            </w:r>
          </w:p>
        </w:tc>
        <w:tc>
          <w:tcPr>
            <w:tcW w:w="85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对患者、受检者及其他非放射工作人员的保护不符合有关规定单位数</w:t>
            </w:r>
          </w:p>
        </w:tc>
        <w:tc>
          <w:tcPr>
            <w:tcW w:w="850"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放射事件预防处置不符合有关规定单位数</w:t>
            </w:r>
          </w:p>
        </w:tc>
        <w:tc>
          <w:tcPr>
            <w:tcW w:w="714"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职业病人管理不符合有关规定单位数</w:t>
            </w:r>
          </w:p>
        </w:tc>
        <w:tc>
          <w:tcPr>
            <w:tcW w:w="704"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档案管理与体系建设不符合有关规定单位数</w:t>
            </w:r>
          </w:p>
        </w:tc>
        <w:tc>
          <w:tcPr>
            <w:tcW w:w="709"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核医学诊疗过程不符合有关规定单位数</w:t>
            </w:r>
          </w:p>
        </w:tc>
        <w:tc>
          <w:tcPr>
            <w:tcW w:w="709"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放射性同位素管理不符合有关规定单位数</w:t>
            </w:r>
          </w:p>
        </w:tc>
        <w:tc>
          <w:tcPr>
            <w:tcW w:w="718"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放射治疗过程不符合有关规定单位数</w:t>
            </w:r>
          </w:p>
        </w:tc>
        <w:tc>
          <w:tcPr>
            <w:tcW w:w="1408"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管理制度不符合有关规定单位数</w:t>
            </w:r>
          </w:p>
        </w:tc>
        <w:tc>
          <w:tcPr>
            <w:tcW w:w="602"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案件查处数</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罚没款（万元）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放射诊疗机构</w:t>
            </w:r>
          </w:p>
        </w:tc>
        <w:tc>
          <w:tcPr>
            <w:tcW w:w="704" w:type="dxa"/>
            <w:vAlign w:val="center"/>
          </w:tcPr>
          <w:p>
            <w:pPr>
              <w:spacing w:line="240" w:lineRule="exact"/>
              <w:rPr>
                <w:rFonts w:ascii="仿宋_GB2312" w:eastAsia="仿宋_GB2312"/>
                <w:color w:val="0C0C0C" w:themeColor="text1" w:themeTint="F2"/>
                <w:sz w:val="24"/>
                <w:szCs w:val="24"/>
              </w:rPr>
            </w:pPr>
          </w:p>
        </w:tc>
        <w:tc>
          <w:tcPr>
            <w:tcW w:w="597" w:type="dxa"/>
            <w:vAlign w:val="center"/>
          </w:tcPr>
          <w:p>
            <w:pPr>
              <w:spacing w:line="240" w:lineRule="exact"/>
              <w:rPr>
                <w:rFonts w:ascii="仿宋_GB2312" w:eastAsia="仿宋_GB2312"/>
                <w:color w:val="0C0C0C" w:themeColor="text1" w:themeTint="F2"/>
                <w:sz w:val="24"/>
                <w:szCs w:val="24"/>
              </w:rPr>
            </w:pPr>
          </w:p>
        </w:tc>
        <w:tc>
          <w:tcPr>
            <w:tcW w:w="811" w:type="dxa"/>
            <w:vAlign w:val="center"/>
          </w:tcPr>
          <w:p>
            <w:pPr>
              <w:spacing w:line="240" w:lineRule="exact"/>
              <w:rPr>
                <w:rFonts w:ascii="仿宋_GB2312" w:eastAsia="仿宋_GB2312"/>
                <w:color w:val="0C0C0C" w:themeColor="text1" w:themeTint="F2"/>
                <w:sz w:val="24"/>
                <w:szCs w:val="24"/>
              </w:rPr>
            </w:pPr>
          </w:p>
        </w:tc>
        <w:tc>
          <w:tcPr>
            <w:tcW w:w="704" w:type="dxa"/>
            <w:vAlign w:val="center"/>
          </w:tcPr>
          <w:p>
            <w:pPr>
              <w:spacing w:line="240" w:lineRule="exact"/>
              <w:rPr>
                <w:rFonts w:ascii="仿宋_GB2312" w:eastAsia="仿宋_GB2312"/>
                <w:color w:val="0C0C0C" w:themeColor="text1" w:themeTint="F2"/>
                <w:sz w:val="24"/>
                <w:szCs w:val="24"/>
              </w:rPr>
            </w:pPr>
          </w:p>
        </w:tc>
        <w:tc>
          <w:tcPr>
            <w:tcW w:w="704" w:type="dxa"/>
            <w:vAlign w:val="center"/>
          </w:tcPr>
          <w:p>
            <w:pPr>
              <w:spacing w:line="240" w:lineRule="exact"/>
              <w:rPr>
                <w:rFonts w:ascii="仿宋_GB2312" w:eastAsia="仿宋_GB2312"/>
                <w:color w:val="0C0C0C" w:themeColor="text1" w:themeTint="F2"/>
                <w:sz w:val="24"/>
                <w:szCs w:val="24"/>
              </w:rPr>
            </w:pPr>
          </w:p>
        </w:tc>
        <w:tc>
          <w:tcPr>
            <w:tcW w:w="704" w:type="dxa"/>
            <w:vAlign w:val="center"/>
          </w:tcPr>
          <w:p>
            <w:pPr>
              <w:spacing w:line="240" w:lineRule="exact"/>
              <w:rPr>
                <w:rFonts w:ascii="仿宋_GB2312" w:eastAsia="仿宋_GB2312"/>
                <w:color w:val="0C0C0C" w:themeColor="text1" w:themeTint="F2"/>
                <w:sz w:val="24"/>
                <w:szCs w:val="24"/>
              </w:rPr>
            </w:pPr>
          </w:p>
        </w:tc>
        <w:tc>
          <w:tcPr>
            <w:tcW w:w="767" w:type="dxa"/>
            <w:vAlign w:val="center"/>
          </w:tcPr>
          <w:p>
            <w:pPr>
              <w:spacing w:line="240" w:lineRule="exact"/>
              <w:rPr>
                <w:rFonts w:ascii="仿宋_GB2312" w:eastAsia="仿宋_GB2312"/>
                <w:color w:val="0C0C0C" w:themeColor="text1" w:themeTint="F2"/>
                <w:sz w:val="24"/>
                <w:szCs w:val="24"/>
              </w:rPr>
            </w:pPr>
          </w:p>
        </w:tc>
        <w:tc>
          <w:tcPr>
            <w:tcW w:w="851" w:type="dxa"/>
            <w:vAlign w:val="center"/>
          </w:tcPr>
          <w:p>
            <w:pPr>
              <w:spacing w:line="240" w:lineRule="exact"/>
              <w:rPr>
                <w:rFonts w:ascii="仿宋_GB2312" w:eastAsia="仿宋_GB2312"/>
                <w:color w:val="0C0C0C" w:themeColor="text1" w:themeTint="F2"/>
                <w:sz w:val="24"/>
                <w:szCs w:val="24"/>
              </w:rPr>
            </w:pPr>
          </w:p>
        </w:tc>
        <w:tc>
          <w:tcPr>
            <w:tcW w:w="850" w:type="dxa"/>
            <w:vAlign w:val="center"/>
          </w:tcPr>
          <w:p>
            <w:pPr>
              <w:spacing w:line="240" w:lineRule="exact"/>
              <w:rPr>
                <w:rFonts w:ascii="仿宋_GB2312" w:eastAsia="仿宋_GB2312"/>
                <w:color w:val="0C0C0C" w:themeColor="text1" w:themeTint="F2"/>
                <w:sz w:val="24"/>
                <w:szCs w:val="24"/>
              </w:rPr>
            </w:pPr>
          </w:p>
        </w:tc>
        <w:tc>
          <w:tcPr>
            <w:tcW w:w="714" w:type="dxa"/>
            <w:vAlign w:val="center"/>
          </w:tcPr>
          <w:p>
            <w:pPr>
              <w:spacing w:line="240" w:lineRule="exact"/>
              <w:rPr>
                <w:rFonts w:ascii="仿宋_GB2312" w:eastAsia="仿宋_GB2312"/>
                <w:color w:val="0C0C0C" w:themeColor="text1" w:themeTint="F2"/>
                <w:sz w:val="24"/>
                <w:szCs w:val="24"/>
              </w:rPr>
            </w:pPr>
          </w:p>
        </w:tc>
        <w:tc>
          <w:tcPr>
            <w:tcW w:w="704" w:type="dxa"/>
            <w:vAlign w:val="center"/>
          </w:tcPr>
          <w:p>
            <w:pPr>
              <w:spacing w:line="240" w:lineRule="exact"/>
              <w:rPr>
                <w:rFonts w:ascii="仿宋_GB2312" w:eastAsia="仿宋_GB2312"/>
                <w:color w:val="0C0C0C" w:themeColor="text1" w:themeTint="F2"/>
                <w:sz w:val="24"/>
                <w:szCs w:val="24"/>
              </w:rPr>
            </w:pPr>
          </w:p>
        </w:tc>
        <w:tc>
          <w:tcPr>
            <w:tcW w:w="709" w:type="dxa"/>
            <w:vAlign w:val="center"/>
          </w:tcPr>
          <w:p>
            <w:pPr>
              <w:spacing w:line="240" w:lineRule="exact"/>
              <w:rPr>
                <w:rFonts w:ascii="仿宋_GB2312" w:eastAsia="仿宋_GB2312"/>
                <w:color w:val="0C0C0C" w:themeColor="text1" w:themeTint="F2"/>
                <w:sz w:val="24"/>
                <w:szCs w:val="24"/>
              </w:rPr>
            </w:pPr>
          </w:p>
        </w:tc>
        <w:tc>
          <w:tcPr>
            <w:tcW w:w="709" w:type="dxa"/>
            <w:vAlign w:val="center"/>
          </w:tcPr>
          <w:p>
            <w:pPr>
              <w:spacing w:line="240" w:lineRule="exact"/>
              <w:rPr>
                <w:rFonts w:ascii="仿宋_GB2312" w:eastAsia="仿宋_GB2312"/>
                <w:color w:val="0C0C0C" w:themeColor="text1" w:themeTint="F2"/>
                <w:sz w:val="24"/>
                <w:szCs w:val="24"/>
              </w:rPr>
            </w:pPr>
          </w:p>
        </w:tc>
        <w:tc>
          <w:tcPr>
            <w:tcW w:w="718" w:type="dxa"/>
            <w:vAlign w:val="center"/>
          </w:tcPr>
          <w:p>
            <w:pPr>
              <w:spacing w:line="240" w:lineRule="exact"/>
              <w:rPr>
                <w:rFonts w:ascii="仿宋_GB2312" w:eastAsia="仿宋_GB2312"/>
                <w:color w:val="0C0C0C" w:themeColor="text1" w:themeTint="F2"/>
                <w:sz w:val="24"/>
                <w:szCs w:val="24"/>
              </w:rPr>
            </w:pPr>
          </w:p>
        </w:tc>
        <w:tc>
          <w:tcPr>
            <w:tcW w:w="1408" w:type="dxa"/>
            <w:vAlign w:val="center"/>
          </w:tcPr>
          <w:p>
            <w:pPr>
              <w:spacing w:line="240" w:lineRule="exact"/>
              <w:rPr>
                <w:rFonts w:ascii="仿宋_GB2312" w:eastAsia="仿宋_GB2312"/>
                <w:color w:val="0C0C0C" w:themeColor="text1" w:themeTint="F2"/>
                <w:sz w:val="24"/>
                <w:szCs w:val="24"/>
              </w:rPr>
            </w:pPr>
          </w:p>
        </w:tc>
        <w:tc>
          <w:tcPr>
            <w:tcW w:w="602" w:type="dxa"/>
            <w:vAlign w:val="center"/>
          </w:tcPr>
          <w:p>
            <w:pPr>
              <w:spacing w:line="240" w:lineRule="exact"/>
              <w:rPr>
                <w:rFonts w:ascii="仿宋_GB2312" w:eastAsia="仿宋_GB2312"/>
                <w:color w:val="0C0C0C" w:themeColor="text1" w:themeTint="F2"/>
                <w:sz w:val="24"/>
                <w:szCs w:val="24"/>
              </w:rPr>
            </w:pPr>
          </w:p>
        </w:tc>
        <w:tc>
          <w:tcPr>
            <w:tcW w:w="735" w:type="dxa"/>
            <w:vAlign w:val="center"/>
          </w:tcPr>
          <w:p>
            <w:pPr>
              <w:spacing w:line="240" w:lineRule="exact"/>
              <w:rPr>
                <w:rFonts w:ascii="仿宋_GB2312" w:eastAsia="仿宋_GB2312"/>
                <w:color w:val="0C0C0C" w:themeColor="text1" w:themeTint="F2"/>
                <w:sz w:val="24"/>
                <w:szCs w:val="24"/>
              </w:rPr>
            </w:pPr>
          </w:p>
        </w:tc>
      </w:tr>
    </w:tbl>
    <w:p>
      <w:pPr>
        <w:rPr>
          <w:rFonts w:ascii="仿宋_GB2312" w:eastAsia="仿宋_GB2312"/>
          <w:color w:val="0C0C0C" w:themeColor="text1" w:themeTint="F2"/>
        </w:rPr>
      </w:pPr>
    </w:p>
    <w:p>
      <w:pPr>
        <w:widowControl/>
        <w:spacing w:line="360" w:lineRule="auto"/>
        <w:jc w:val="left"/>
        <w:rPr>
          <w:rFonts w:ascii="仿宋_GB2312" w:eastAsia="仿宋_GB2312"/>
          <w:color w:val="0C0C0C" w:themeColor="text1" w:themeTint="F2"/>
          <w:sz w:val="32"/>
          <w:szCs w:val="32"/>
        </w:rPr>
      </w:pPr>
    </w:p>
    <w:p>
      <w:pPr>
        <w:widowControl/>
        <w:spacing w:line="360" w:lineRule="auto"/>
        <w:jc w:val="left"/>
        <w:rPr>
          <w:rFonts w:ascii="仿宋_GB2312" w:eastAsia="仿宋_GB2312"/>
          <w:color w:val="0C0C0C" w:themeColor="text1" w:themeTint="F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附表3</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2020年职业健康检查机构、职业病诊断机构及放射技术服务机构</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国家随机监督抽查汇总表</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仿宋_GB2312" w:eastAsia="仿宋_GB2312"/>
          <w:b/>
          <w:bCs/>
          <w:color w:val="0C0C0C" w:themeColor="text1" w:themeTint="F2"/>
          <w:sz w:val="24"/>
          <w:szCs w:val="24"/>
        </w:rPr>
      </w:pPr>
    </w:p>
    <w:tbl>
      <w:tblPr>
        <w:tblStyle w:val="7"/>
        <w:tblW w:w="147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61" w:type="dxa"/>
            <w:vMerge w:val="restart"/>
            <w:vAlign w:val="center"/>
          </w:tcPr>
          <w:p>
            <w:pPr>
              <w:spacing w:line="240" w:lineRule="exact"/>
              <w:rPr>
                <w:rFonts w:ascii="仿宋_GB2312" w:eastAsia="仿宋_GB2312"/>
                <w:color w:val="0C0C0C" w:themeColor="text1" w:themeTint="F2"/>
                <w:sz w:val="24"/>
                <w:szCs w:val="24"/>
              </w:rPr>
            </w:pPr>
          </w:p>
        </w:tc>
        <w:tc>
          <w:tcPr>
            <w:tcW w:w="930" w:type="dxa"/>
            <w:vMerge w:val="restart"/>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辖区内单位总数</w:t>
            </w:r>
          </w:p>
        </w:tc>
        <w:tc>
          <w:tcPr>
            <w:tcW w:w="825" w:type="dxa"/>
            <w:vMerge w:val="restart"/>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检查单位数</w:t>
            </w:r>
          </w:p>
        </w:tc>
        <w:tc>
          <w:tcPr>
            <w:tcW w:w="9475" w:type="dxa"/>
            <w:gridSpan w:val="9"/>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不合格情况</w:t>
            </w:r>
          </w:p>
        </w:tc>
        <w:tc>
          <w:tcPr>
            <w:tcW w:w="1231" w:type="dxa"/>
            <w:gridSpan w:val="2"/>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61" w:type="dxa"/>
            <w:vMerge w:val="continue"/>
            <w:vAlign w:val="center"/>
          </w:tcPr>
          <w:p>
            <w:pPr>
              <w:rPr>
                <w:color w:val="0C0C0C" w:themeColor="text1" w:themeTint="F2"/>
              </w:rPr>
            </w:pPr>
          </w:p>
        </w:tc>
        <w:tc>
          <w:tcPr>
            <w:tcW w:w="930" w:type="dxa"/>
            <w:vMerge w:val="continue"/>
            <w:tcBorders>
              <w:left w:val="nil"/>
            </w:tcBorders>
            <w:vAlign w:val="center"/>
          </w:tcPr>
          <w:p>
            <w:pPr>
              <w:rPr>
                <w:color w:val="0C0C0C" w:themeColor="text1" w:themeTint="F2"/>
              </w:rPr>
            </w:pPr>
          </w:p>
        </w:tc>
        <w:tc>
          <w:tcPr>
            <w:tcW w:w="825" w:type="dxa"/>
            <w:vMerge w:val="continue"/>
            <w:tcBorders>
              <w:left w:val="nil"/>
            </w:tcBorders>
            <w:vAlign w:val="center"/>
          </w:tcPr>
          <w:p>
            <w:pPr>
              <w:rPr>
                <w:color w:val="0C0C0C" w:themeColor="text1" w:themeTint="F2"/>
              </w:rPr>
            </w:pPr>
          </w:p>
        </w:tc>
        <w:tc>
          <w:tcPr>
            <w:tcW w:w="106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出具的报告书、诊断证明书不符合相关要求单位数</w:t>
            </w:r>
          </w:p>
        </w:tc>
        <w:tc>
          <w:tcPr>
            <w:tcW w:w="97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技术人员不能满足工作要求单位数</w:t>
            </w: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仪器设备场所不能满足工作要求单位数</w:t>
            </w:r>
          </w:p>
        </w:tc>
        <w:tc>
          <w:tcPr>
            <w:tcW w:w="90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出具虚假证明文件</w:t>
            </w:r>
          </w:p>
        </w:tc>
        <w:tc>
          <w:tcPr>
            <w:tcW w:w="99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质量控制、程序不符合相关要求单位数</w:t>
            </w:r>
          </w:p>
        </w:tc>
        <w:tc>
          <w:tcPr>
            <w:tcW w:w="96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档案管理不符合相关要求单位数</w:t>
            </w: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管理制度不符合相关要求单位数</w:t>
            </w:r>
          </w:p>
        </w:tc>
        <w:tc>
          <w:tcPr>
            <w:tcW w:w="112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劳动者保护不符合相关要求单位数</w:t>
            </w:r>
          </w:p>
        </w:tc>
        <w:tc>
          <w:tcPr>
            <w:tcW w:w="157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职业健康检查结果、职业禁忌、疑似职业病、职业病的告知、通知、报告不符合相关要求单位数</w:t>
            </w:r>
          </w:p>
        </w:tc>
        <w:tc>
          <w:tcPr>
            <w:tcW w:w="486"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案件查处数</w:t>
            </w:r>
          </w:p>
        </w:tc>
        <w:tc>
          <w:tcPr>
            <w:tcW w:w="74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6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职业健康检查机构</w:t>
            </w:r>
          </w:p>
        </w:tc>
        <w:tc>
          <w:tcPr>
            <w:tcW w:w="93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82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106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7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0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9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6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112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157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486"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745" w:type="dxa"/>
            <w:tcBorders>
              <w:left w:val="nil"/>
            </w:tcBorders>
            <w:vAlign w:val="center"/>
          </w:tcPr>
          <w:p>
            <w:pPr>
              <w:spacing w:line="240" w:lineRule="exact"/>
              <w:jc w:val="center"/>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职业病诊断机构</w:t>
            </w:r>
          </w:p>
        </w:tc>
        <w:tc>
          <w:tcPr>
            <w:tcW w:w="930" w:type="dxa"/>
            <w:tcBorders>
              <w:left w:val="nil"/>
            </w:tcBorders>
            <w:vAlign w:val="center"/>
          </w:tcPr>
          <w:p>
            <w:pPr>
              <w:spacing w:line="240" w:lineRule="exact"/>
              <w:rPr>
                <w:rFonts w:ascii="仿宋_GB2312" w:eastAsia="仿宋_GB2312"/>
                <w:color w:val="0C0C0C" w:themeColor="text1" w:themeTint="F2"/>
                <w:sz w:val="24"/>
                <w:szCs w:val="24"/>
              </w:rPr>
            </w:pPr>
          </w:p>
        </w:tc>
        <w:tc>
          <w:tcPr>
            <w:tcW w:w="825" w:type="dxa"/>
            <w:tcBorders>
              <w:left w:val="nil"/>
            </w:tcBorders>
            <w:vAlign w:val="center"/>
          </w:tcPr>
          <w:p>
            <w:pPr>
              <w:spacing w:line="240" w:lineRule="exact"/>
              <w:rPr>
                <w:rFonts w:ascii="仿宋_GB2312" w:eastAsia="仿宋_GB2312"/>
                <w:color w:val="0C0C0C" w:themeColor="text1" w:themeTint="F2"/>
                <w:sz w:val="24"/>
                <w:szCs w:val="24"/>
              </w:rPr>
            </w:pPr>
          </w:p>
        </w:tc>
        <w:tc>
          <w:tcPr>
            <w:tcW w:w="1065" w:type="dxa"/>
            <w:tcBorders>
              <w:left w:val="nil"/>
            </w:tcBorders>
            <w:vAlign w:val="center"/>
          </w:tcPr>
          <w:p>
            <w:pPr>
              <w:spacing w:line="240" w:lineRule="exact"/>
              <w:rPr>
                <w:rFonts w:ascii="仿宋_GB2312" w:eastAsia="仿宋_GB2312"/>
                <w:color w:val="0C0C0C" w:themeColor="text1" w:themeTint="F2"/>
                <w:sz w:val="24"/>
                <w:szCs w:val="24"/>
              </w:rPr>
            </w:pPr>
          </w:p>
        </w:tc>
        <w:tc>
          <w:tcPr>
            <w:tcW w:w="97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0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9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60"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112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1570" w:type="dxa"/>
            <w:tcBorders>
              <w:left w:val="nil"/>
            </w:tcBorders>
            <w:vAlign w:val="center"/>
          </w:tcPr>
          <w:p>
            <w:pPr>
              <w:spacing w:line="240" w:lineRule="exact"/>
              <w:rPr>
                <w:rFonts w:ascii="仿宋_GB2312" w:eastAsia="仿宋_GB2312"/>
                <w:color w:val="0C0C0C" w:themeColor="text1" w:themeTint="F2"/>
                <w:sz w:val="24"/>
                <w:szCs w:val="24"/>
              </w:rPr>
            </w:pPr>
          </w:p>
        </w:tc>
        <w:tc>
          <w:tcPr>
            <w:tcW w:w="486" w:type="dxa"/>
            <w:tcBorders>
              <w:left w:val="nil"/>
            </w:tcBorders>
            <w:vAlign w:val="center"/>
          </w:tcPr>
          <w:p>
            <w:pPr>
              <w:spacing w:line="240" w:lineRule="exact"/>
              <w:rPr>
                <w:rFonts w:ascii="仿宋_GB2312" w:eastAsia="仿宋_GB2312"/>
                <w:color w:val="0C0C0C" w:themeColor="text1" w:themeTint="F2"/>
                <w:sz w:val="24"/>
                <w:szCs w:val="24"/>
              </w:rPr>
            </w:pPr>
          </w:p>
        </w:tc>
        <w:tc>
          <w:tcPr>
            <w:tcW w:w="745" w:type="dxa"/>
            <w:tcBorders>
              <w:left w:val="nil"/>
            </w:tcBorders>
            <w:vAlign w:val="center"/>
          </w:tcPr>
          <w:p>
            <w:pPr>
              <w:spacing w:line="240" w:lineRule="exact"/>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放射技术服务机构</w:t>
            </w:r>
          </w:p>
        </w:tc>
        <w:tc>
          <w:tcPr>
            <w:tcW w:w="930" w:type="dxa"/>
            <w:tcBorders>
              <w:left w:val="nil"/>
            </w:tcBorders>
            <w:vAlign w:val="center"/>
          </w:tcPr>
          <w:p>
            <w:pPr>
              <w:spacing w:line="240" w:lineRule="exact"/>
              <w:rPr>
                <w:rFonts w:ascii="仿宋_GB2312" w:eastAsia="仿宋_GB2312"/>
                <w:color w:val="0C0C0C" w:themeColor="text1" w:themeTint="F2"/>
                <w:sz w:val="24"/>
                <w:szCs w:val="24"/>
              </w:rPr>
            </w:pPr>
          </w:p>
        </w:tc>
        <w:tc>
          <w:tcPr>
            <w:tcW w:w="825" w:type="dxa"/>
            <w:tcBorders>
              <w:left w:val="nil"/>
            </w:tcBorders>
            <w:vAlign w:val="center"/>
          </w:tcPr>
          <w:p>
            <w:pPr>
              <w:spacing w:line="240" w:lineRule="exact"/>
              <w:rPr>
                <w:rFonts w:ascii="仿宋_GB2312" w:eastAsia="仿宋_GB2312"/>
                <w:color w:val="0C0C0C" w:themeColor="text1" w:themeTint="F2"/>
                <w:sz w:val="24"/>
                <w:szCs w:val="24"/>
              </w:rPr>
            </w:pPr>
          </w:p>
        </w:tc>
        <w:tc>
          <w:tcPr>
            <w:tcW w:w="1065" w:type="dxa"/>
            <w:tcBorders>
              <w:left w:val="nil"/>
            </w:tcBorders>
            <w:vAlign w:val="center"/>
          </w:tcPr>
          <w:p>
            <w:pPr>
              <w:spacing w:line="240" w:lineRule="exact"/>
              <w:rPr>
                <w:rFonts w:ascii="仿宋_GB2312" w:eastAsia="仿宋_GB2312"/>
                <w:color w:val="0C0C0C" w:themeColor="text1" w:themeTint="F2"/>
                <w:sz w:val="24"/>
                <w:szCs w:val="24"/>
              </w:rPr>
            </w:pPr>
          </w:p>
        </w:tc>
        <w:tc>
          <w:tcPr>
            <w:tcW w:w="97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p>
        </w:tc>
        <w:tc>
          <w:tcPr>
            <w:tcW w:w="90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99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960"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94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1125" w:type="dxa"/>
            <w:tcBorders>
              <w:left w:val="nil"/>
            </w:tcBorders>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s="宋体"/>
                <w:color w:val="0C0C0C" w:themeColor="text1" w:themeTint="F2"/>
                <w:sz w:val="24"/>
                <w:szCs w:val="24"/>
              </w:rPr>
              <w:t>－</w:t>
            </w:r>
          </w:p>
        </w:tc>
        <w:tc>
          <w:tcPr>
            <w:tcW w:w="1570" w:type="dxa"/>
            <w:tcBorders>
              <w:left w:val="nil"/>
            </w:tcBorders>
            <w:vAlign w:val="center"/>
          </w:tcPr>
          <w:p>
            <w:pPr>
              <w:spacing w:line="240" w:lineRule="exact"/>
              <w:rPr>
                <w:rFonts w:ascii="仿宋_GB2312" w:eastAsia="仿宋_GB2312"/>
                <w:color w:val="0C0C0C" w:themeColor="text1" w:themeTint="F2"/>
                <w:sz w:val="24"/>
                <w:szCs w:val="24"/>
              </w:rPr>
            </w:pPr>
          </w:p>
        </w:tc>
        <w:tc>
          <w:tcPr>
            <w:tcW w:w="486" w:type="dxa"/>
            <w:tcBorders>
              <w:left w:val="nil"/>
            </w:tcBorders>
            <w:vAlign w:val="center"/>
          </w:tcPr>
          <w:p>
            <w:pPr>
              <w:spacing w:line="240" w:lineRule="exact"/>
              <w:rPr>
                <w:rFonts w:ascii="仿宋_GB2312" w:eastAsia="仿宋_GB2312"/>
                <w:color w:val="0C0C0C" w:themeColor="text1" w:themeTint="F2"/>
                <w:sz w:val="24"/>
                <w:szCs w:val="24"/>
              </w:rPr>
            </w:pPr>
          </w:p>
        </w:tc>
        <w:tc>
          <w:tcPr>
            <w:tcW w:w="745" w:type="dxa"/>
            <w:tcBorders>
              <w:left w:val="nil"/>
            </w:tcBorders>
            <w:vAlign w:val="center"/>
          </w:tcPr>
          <w:p>
            <w:pPr>
              <w:spacing w:line="240" w:lineRule="exact"/>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合计</w:t>
            </w:r>
          </w:p>
        </w:tc>
        <w:tc>
          <w:tcPr>
            <w:tcW w:w="930" w:type="dxa"/>
            <w:tcBorders>
              <w:left w:val="nil"/>
            </w:tcBorders>
            <w:vAlign w:val="center"/>
          </w:tcPr>
          <w:p>
            <w:pPr>
              <w:spacing w:line="240" w:lineRule="exact"/>
              <w:rPr>
                <w:rFonts w:ascii="仿宋_GB2312" w:eastAsia="仿宋_GB2312"/>
                <w:color w:val="0C0C0C" w:themeColor="text1" w:themeTint="F2"/>
                <w:sz w:val="24"/>
                <w:szCs w:val="24"/>
              </w:rPr>
            </w:pPr>
          </w:p>
        </w:tc>
        <w:tc>
          <w:tcPr>
            <w:tcW w:w="825" w:type="dxa"/>
            <w:tcBorders>
              <w:left w:val="nil"/>
            </w:tcBorders>
            <w:vAlign w:val="center"/>
          </w:tcPr>
          <w:p>
            <w:pPr>
              <w:spacing w:line="240" w:lineRule="exact"/>
              <w:rPr>
                <w:rFonts w:ascii="仿宋_GB2312" w:eastAsia="仿宋_GB2312"/>
                <w:color w:val="0C0C0C" w:themeColor="text1" w:themeTint="F2"/>
                <w:sz w:val="24"/>
                <w:szCs w:val="24"/>
              </w:rPr>
            </w:pPr>
          </w:p>
        </w:tc>
        <w:tc>
          <w:tcPr>
            <w:tcW w:w="1065" w:type="dxa"/>
            <w:tcBorders>
              <w:left w:val="nil"/>
            </w:tcBorders>
            <w:vAlign w:val="center"/>
          </w:tcPr>
          <w:p>
            <w:pPr>
              <w:spacing w:line="240" w:lineRule="exact"/>
              <w:rPr>
                <w:rFonts w:ascii="仿宋_GB2312" w:eastAsia="仿宋_GB2312"/>
                <w:color w:val="0C0C0C" w:themeColor="text1" w:themeTint="F2"/>
                <w:sz w:val="24"/>
                <w:szCs w:val="24"/>
              </w:rPr>
            </w:pPr>
          </w:p>
        </w:tc>
        <w:tc>
          <w:tcPr>
            <w:tcW w:w="975" w:type="dxa"/>
            <w:tcBorders>
              <w:left w:val="nil"/>
            </w:tcBorders>
            <w:vAlign w:val="center"/>
          </w:tcPr>
          <w:p>
            <w:pPr>
              <w:spacing w:line="240" w:lineRule="exact"/>
              <w:rPr>
                <w:rFonts w:ascii="仿宋_GB2312" w:eastAsia="仿宋_GB2312"/>
                <w:color w:val="0C0C0C" w:themeColor="text1" w:themeTint="F2"/>
                <w:sz w:val="24"/>
                <w:szCs w:val="24"/>
              </w:rPr>
            </w:pPr>
          </w:p>
        </w:tc>
        <w:tc>
          <w:tcPr>
            <w:tcW w:w="945" w:type="dxa"/>
            <w:tcBorders>
              <w:left w:val="nil"/>
            </w:tcBorders>
            <w:vAlign w:val="center"/>
          </w:tcPr>
          <w:p>
            <w:pPr>
              <w:spacing w:line="240" w:lineRule="exact"/>
              <w:rPr>
                <w:rFonts w:ascii="仿宋_GB2312" w:eastAsia="仿宋_GB2312"/>
                <w:color w:val="0C0C0C" w:themeColor="text1" w:themeTint="F2"/>
                <w:sz w:val="24"/>
                <w:szCs w:val="24"/>
              </w:rPr>
            </w:pPr>
          </w:p>
        </w:tc>
        <w:tc>
          <w:tcPr>
            <w:tcW w:w="900" w:type="dxa"/>
            <w:tcBorders>
              <w:left w:val="nil"/>
            </w:tcBorders>
            <w:vAlign w:val="center"/>
          </w:tcPr>
          <w:p>
            <w:pPr>
              <w:spacing w:line="240" w:lineRule="exact"/>
              <w:rPr>
                <w:rFonts w:ascii="仿宋_GB2312" w:eastAsia="仿宋_GB2312"/>
                <w:color w:val="0C0C0C" w:themeColor="text1" w:themeTint="F2"/>
                <w:sz w:val="24"/>
                <w:szCs w:val="24"/>
              </w:rPr>
            </w:pPr>
          </w:p>
        </w:tc>
        <w:tc>
          <w:tcPr>
            <w:tcW w:w="990" w:type="dxa"/>
            <w:tcBorders>
              <w:left w:val="nil"/>
            </w:tcBorders>
            <w:vAlign w:val="center"/>
          </w:tcPr>
          <w:p>
            <w:pPr>
              <w:spacing w:line="240" w:lineRule="exact"/>
              <w:rPr>
                <w:rFonts w:ascii="仿宋_GB2312" w:eastAsia="仿宋_GB2312"/>
                <w:color w:val="0C0C0C" w:themeColor="text1" w:themeTint="F2"/>
                <w:sz w:val="24"/>
                <w:szCs w:val="24"/>
              </w:rPr>
            </w:pPr>
          </w:p>
        </w:tc>
        <w:tc>
          <w:tcPr>
            <w:tcW w:w="960" w:type="dxa"/>
            <w:tcBorders>
              <w:left w:val="nil"/>
            </w:tcBorders>
            <w:vAlign w:val="center"/>
          </w:tcPr>
          <w:p>
            <w:pPr>
              <w:spacing w:line="240" w:lineRule="exact"/>
              <w:rPr>
                <w:rFonts w:ascii="仿宋_GB2312" w:eastAsia="仿宋_GB2312"/>
                <w:color w:val="0C0C0C" w:themeColor="text1" w:themeTint="F2"/>
                <w:sz w:val="24"/>
                <w:szCs w:val="24"/>
              </w:rPr>
            </w:pPr>
          </w:p>
        </w:tc>
        <w:tc>
          <w:tcPr>
            <w:tcW w:w="945" w:type="dxa"/>
            <w:tcBorders>
              <w:left w:val="nil"/>
            </w:tcBorders>
            <w:vAlign w:val="center"/>
          </w:tcPr>
          <w:p>
            <w:pPr>
              <w:spacing w:line="240" w:lineRule="exact"/>
              <w:rPr>
                <w:rFonts w:ascii="仿宋_GB2312" w:eastAsia="仿宋_GB2312"/>
                <w:color w:val="0C0C0C" w:themeColor="text1" w:themeTint="F2"/>
                <w:sz w:val="24"/>
                <w:szCs w:val="24"/>
              </w:rPr>
            </w:pPr>
          </w:p>
        </w:tc>
        <w:tc>
          <w:tcPr>
            <w:tcW w:w="1125" w:type="dxa"/>
            <w:tcBorders>
              <w:left w:val="nil"/>
            </w:tcBorders>
            <w:vAlign w:val="center"/>
          </w:tcPr>
          <w:p>
            <w:pPr>
              <w:spacing w:line="240" w:lineRule="exact"/>
              <w:rPr>
                <w:rFonts w:ascii="仿宋_GB2312" w:eastAsia="仿宋_GB2312"/>
                <w:color w:val="0C0C0C" w:themeColor="text1" w:themeTint="F2"/>
                <w:sz w:val="24"/>
                <w:szCs w:val="24"/>
              </w:rPr>
            </w:pPr>
          </w:p>
        </w:tc>
        <w:tc>
          <w:tcPr>
            <w:tcW w:w="1570" w:type="dxa"/>
            <w:tcBorders>
              <w:left w:val="nil"/>
            </w:tcBorders>
            <w:vAlign w:val="center"/>
          </w:tcPr>
          <w:p>
            <w:pPr>
              <w:spacing w:line="240" w:lineRule="exact"/>
              <w:rPr>
                <w:rFonts w:ascii="仿宋_GB2312" w:eastAsia="仿宋_GB2312"/>
                <w:color w:val="0C0C0C" w:themeColor="text1" w:themeTint="F2"/>
                <w:sz w:val="24"/>
                <w:szCs w:val="24"/>
              </w:rPr>
            </w:pPr>
          </w:p>
        </w:tc>
        <w:tc>
          <w:tcPr>
            <w:tcW w:w="486" w:type="dxa"/>
            <w:tcBorders>
              <w:left w:val="nil"/>
            </w:tcBorders>
            <w:vAlign w:val="center"/>
          </w:tcPr>
          <w:p>
            <w:pPr>
              <w:spacing w:line="240" w:lineRule="exact"/>
              <w:rPr>
                <w:rFonts w:ascii="仿宋_GB2312" w:eastAsia="仿宋_GB2312"/>
                <w:color w:val="0C0C0C" w:themeColor="text1" w:themeTint="F2"/>
                <w:sz w:val="24"/>
                <w:szCs w:val="24"/>
              </w:rPr>
            </w:pPr>
          </w:p>
        </w:tc>
        <w:tc>
          <w:tcPr>
            <w:tcW w:w="745" w:type="dxa"/>
            <w:tcBorders>
              <w:left w:val="nil"/>
            </w:tcBorders>
            <w:vAlign w:val="center"/>
          </w:tcPr>
          <w:p>
            <w:pPr>
              <w:spacing w:line="240" w:lineRule="exact"/>
              <w:rPr>
                <w:rFonts w:ascii="仿宋_GB2312" w:eastAsia="仿宋_GB2312"/>
                <w:color w:val="0C0C0C" w:themeColor="text1" w:themeTint="F2"/>
                <w:sz w:val="24"/>
                <w:szCs w:val="24"/>
              </w:rPr>
            </w:pPr>
          </w:p>
        </w:tc>
      </w:tr>
    </w:tbl>
    <w:p>
      <w:pPr>
        <w:rPr>
          <w:rFonts w:ascii="仿宋_GB2312" w:eastAsia="仿宋_GB2312"/>
          <w:color w:val="0C0C0C" w:themeColor="text1" w:themeTint="F2"/>
          <w:sz w:val="24"/>
          <w:szCs w:val="24"/>
        </w:rPr>
      </w:pPr>
    </w:p>
    <w:p>
      <w:pPr>
        <w:widowControl/>
        <w:jc w:val="left"/>
        <w:rPr>
          <w:rFonts w:ascii="仿宋_GB2312" w:eastAsia="仿宋_GB2312" w:cs="黑体"/>
          <w:color w:val="0C0C0C" w:themeColor="text1" w:themeTint="F2"/>
          <w:sz w:val="32"/>
          <w:szCs w:val="32"/>
        </w:rPr>
      </w:pPr>
    </w:p>
    <w:p>
      <w:pPr>
        <w:widowControl/>
        <w:jc w:val="left"/>
        <w:rPr>
          <w:rFonts w:ascii="仿宋_GB2312" w:eastAsia="仿宋_GB2312" w:cs="黑体"/>
          <w:color w:val="0C0C0C" w:themeColor="text1" w:themeTint="F2"/>
          <w:sz w:val="32"/>
          <w:szCs w:val="32"/>
        </w:rPr>
      </w:pPr>
    </w:p>
    <w:p>
      <w:pPr>
        <w:widowControl/>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附表4</w:t>
      </w:r>
    </w:p>
    <w:p>
      <w:pPr>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2020年职业卫生技术服务机构国家随机监督抽查计划表</w:t>
      </w:r>
    </w:p>
    <w:p>
      <w:pPr>
        <w:ind w:firstLine="472" w:firstLineChars="196"/>
        <w:jc w:val="left"/>
        <w:rPr>
          <w:rFonts w:ascii="仿宋_GB2312" w:eastAsia="仿宋_GB2312" w:cs="??_GB2312"/>
          <w:b/>
          <w:bCs/>
          <w:color w:val="0C0C0C" w:themeColor="text1" w:themeTint="F2"/>
          <w:sz w:val="24"/>
          <w:szCs w:val="24"/>
        </w:rPr>
      </w:pPr>
      <w:r>
        <w:rPr>
          <w:rFonts w:hint="eastAsia" w:ascii="仿宋_GB2312" w:eastAsia="仿宋_GB2312" w:cs="??_GB2312"/>
          <w:b/>
          <w:bCs/>
          <w:color w:val="0C0C0C" w:themeColor="text1" w:themeTint="F2"/>
          <w:sz w:val="24"/>
          <w:szCs w:val="24"/>
        </w:rPr>
        <w:t xml:space="preserve">            </w:t>
      </w:r>
    </w:p>
    <w:tbl>
      <w:tblPr>
        <w:tblStyle w:val="7"/>
        <w:tblW w:w="141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992" w:type="dxa"/>
            <w:vAlign w:val="center"/>
          </w:tcPr>
          <w:p>
            <w:pPr>
              <w:adjustRightInd w:val="0"/>
              <w:snapToGrid w:val="0"/>
              <w:jc w:val="center"/>
              <w:rPr>
                <w:rFonts w:hint="eastAsia" w:ascii="黑体" w:hAnsi="黑体" w:eastAsia="黑体" w:cs="黑体"/>
                <w:b w:val="0"/>
                <w:bCs w:val="0"/>
                <w:color w:val="0C0C0C" w:themeColor="text1" w:themeTint="F2"/>
                <w:sz w:val="21"/>
                <w:szCs w:val="21"/>
              </w:rPr>
            </w:pPr>
            <w:r>
              <w:rPr>
                <w:rFonts w:hint="eastAsia" w:ascii="黑体" w:hAnsi="黑体" w:eastAsia="黑体" w:cs="黑体"/>
                <w:b w:val="0"/>
                <w:bCs w:val="0"/>
                <w:color w:val="0C0C0C" w:themeColor="text1" w:themeTint="F2"/>
                <w:sz w:val="21"/>
                <w:szCs w:val="21"/>
              </w:rPr>
              <w:t>监督检查对象</w:t>
            </w:r>
          </w:p>
        </w:tc>
        <w:tc>
          <w:tcPr>
            <w:tcW w:w="1785" w:type="dxa"/>
            <w:tcBorders>
              <w:left w:val="nil"/>
            </w:tcBorders>
            <w:vAlign w:val="center"/>
          </w:tcPr>
          <w:p>
            <w:pPr>
              <w:adjustRightInd w:val="0"/>
              <w:snapToGrid w:val="0"/>
              <w:jc w:val="center"/>
              <w:rPr>
                <w:rFonts w:hint="eastAsia" w:ascii="黑体" w:hAnsi="黑体" w:eastAsia="黑体" w:cs="黑体"/>
                <w:b w:val="0"/>
                <w:bCs w:val="0"/>
                <w:color w:val="0C0C0C" w:themeColor="text1" w:themeTint="F2"/>
                <w:sz w:val="21"/>
                <w:szCs w:val="21"/>
              </w:rPr>
            </w:pPr>
            <w:r>
              <w:rPr>
                <w:rFonts w:hint="eastAsia" w:ascii="黑体" w:hAnsi="黑体" w:eastAsia="黑体" w:cs="黑体"/>
                <w:b w:val="0"/>
                <w:bCs w:val="0"/>
                <w:color w:val="0C0C0C" w:themeColor="text1" w:themeTint="F2"/>
                <w:sz w:val="21"/>
                <w:szCs w:val="21"/>
              </w:rPr>
              <w:t>抽查比例</w:t>
            </w:r>
          </w:p>
        </w:tc>
        <w:tc>
          <w:tcPr>
            <w:tcW w:w="10346" w:type="dxa"/>
            <w:gridSpan w:val="2"/>
            <w:tcBorders>
              <w:left w:val="nil"/>
            </w:tcBorders>
            <w:vAlign w:val="center"/>
          </w:tcPr>
          <w:p>
            <w:pPr>
              <w:adjustRightInd w:val="0"/>
              <w:snapToGrid w:val="0"/>
              <w:jc w:val="center"/>
              <w:rPr>
                <w:rFonts w:hint="eastAsia" w:ascii="黑体" w:hAnsi="黑体" w:eastAsia="黑体" w:cs="黑体"/>
                <w:b w:val="0"/>
                <w:bCs w:val="0"/>
                <w:color w:val="0C0C0C" w:themeColor="text1" w:themeTint="F2"/>
                <w:sz w:val="21"/>
                <w:szCs w:val="21"/>
              </w:rPr>
            </w:pPr>
            <w:r>
              <w:rPr>
                <w:rFonts w:hint="eastAsia" w:ascii="黑体" w:hAnsi="黑体" w:eastAsia="黑体" w:cs="黑体"/>
                <w:b w:val="0"/>
                <w:bCs w:val="0"/>
                <w:color w:val="0C0C0C" w:themeColor="text1" w:themeTint="F2"/>
                <w:sz w:val="21"/>
                <w:szCs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992" w:type="dxa"/>
            <w:vMerge w:val="restart"/>
            <w:tcBorders>
              <w:top w:val="nil"/>
            </w:tcBorders>
            <w:vAlign w:val="center"/>
          </w:tcPr>
          <w:p>
            <w:pPr>
              <w:adjustRightInd w:val="0"/>
              <w:snapToGrid w:val="0"/>
              <w:jc w:val="center"/>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职业卫生技术服务机构</w:t>
            </w:r>
          </w:p>
          <w:p>
            <w:pPr>
              <w:adjustRightInd w:val="0"/>
              <w:snapToGrid w:val="0"/>
              <w:jc w:val="center"/>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（甲、乙、丙级）</w:t>
            </w:r>
          </w:p>
        </w:tc>
        <w:tc>
          <w:tcPr>
            <w:tcW w:w="1785" w:type="dxa"/>
            <w:vMerge w:val="restart"/>
            <w:tcBorders>
              <w:top w:val="nil"/>
              <w:left w:val="nil"/>
            </w:tcBorders>
            <w:vAlign w:val="center"/>
          </w:tcPr>
          <w:p>
            <w:pPr>
              <w:adjustRightInd w:val="0"/>
              <w:snapToGrid w:val="0"/>
              <w:jc w:val="center"/>
              <w:rPr>
                <w:rFonts w:ascii="仿宋_GB2312" w:eastAsia="仿宋_GB2312" w:cs="仿宋"/>
                <w:color w:val="0C0C0C" w:themeColor="text1" w:themeTint="F2"/>
                <w:sz w:val="21"/>
                <w:szCs w:val="21"/>
              </w:rPr>
            </w:pPr>
            <w:r>
              <w:rPr>
                <w:rFonts w:hint="eastAsia" w:ascii="仿宋_GB2312" w:eastAsia="仿宋_GB2312" w:cs="仿宋"/>
                <w:color w:val="0C0C0C" w:themeColor="text1" w:themeTint="F2"/>
                <w:sz w:val="21"/>
                <w:szCs w:val="21"/>
              </w:rPr>
              <w:t>100%</w:t>
            </w:r>
          </w:p>
        </w:tc>
        <w:tc>
          <w:tcPr>
            <w:tcW w:w="2250"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1.资质证书</w:t>
            </w:r>
          </w:p>
        </w:tc>
        <w:tc>
          <w:tcPr>
            <w:tcW w:w="8096"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1.是否未取得职业卫生技术服务机构资质，擅自从事职业卫生检测、评价技术服务；</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2.</w:t>
            </w:r>
            <w:r>
              <w:rPr>
                <w:rFonts w:hint="eastAsia" w:ascii="仿宋_GB2312" w:eastAsia="仿宋_GB2312" w:cs="仿宋"/>
                <w:color w:val="0C0C0C" w:themeColor="text1" w:themeTint="F2"/>
                <w:kern w:val="0"/>
                <w:sz w:val="21"/>
                <w:szCs w:val="21"/>
              </w:rPr>
              <w:t>是否有伪造、变造、转让或者租借资质证书</w:t>
            </w:r>
            <w:r>
              <w:rPr>
                <w:rFonts w:hint="eastAsia" w:ascii="仿宋_GB2312" w:eastAsia="仿宋_GB2312" w:cs="仿宋"/>
                <w:color w:val="0C0C0C" w:themeColor="text1" w:themeTint="F2"/>
                <w:sz w:val="21"/>
                <w:szCs w:val="21"/>
              </w:rPr>
              <w:t>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992" w:type="dxa"/>
            <w:vMerge w:val="continue"/>
            <w:tcBorders>
              <w:top w:val="nil"/>
            </w:tcBorders>
            <w:vAlign w:val="center"/>
          </w:tcPr>
          <w:p>
            <w:pPr>
              <w:rPr>
                <w:color w:val="0C0C0C" w:themeColor="text1" w:themeTint="F2"/>
                <w:sz w:val="21"/>
                <w:szCs w:val="21"/>
              </w:rPr>
            </w:pPr>
          </w:p>
        </w:tc>
        <w:tc>
          <w:tcPr>
            <w:tcW w:w="1785" w:type="dxa"/>
            <w:vMerge w:val="continue"/>
            <w:tcBorders>
              <w:top w:val="nil"/>
              <w:left w:val="nil"/>
            </w:tcBorders>
            <w:vAlign w:val="center"/>
          </w:tcPr>
          <w:p>
            <w:pPr>
              <w:rPr>
                <w:color w:val="0C0C0C" w:themeColor="text1" w:themeTint="F2"/>
                <w:sz w:val="21"/>
                <w:szCs w:val="21"/>
              </w:rPr>
            </w:pPr>
          </w:p>
        </w:tc>
        <w:tc>
          <w:tcPr>
            <w:tcW w:w="2250"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2.资质条件</w:t>
            </w:r>
          </w:p>
        </w:tc>
        <w:tc>
          <w:tcPr>
            <w:tcW w:w="8096"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1.已经取得资质的职业卫生技术服务机构，是否继续符合规定的资质条件；</w:t>
            </w:r>
          </w:p>
          <w:p>
            <w:pPr>
              <w:adjustRightInd w:val="0"/>
              <w:snapToGrid w:val="0"/>
              <w:jc w:val="left"/>
              <w:rPr>
                <w:rFonts w:ascii="仿宋_GB2312" w:eastAsia="仿宋_GB2312"/>
                <w:color w:val="0C0C0C" w:themeColor="text1" w:themeTint="F2"/>
                <w:kern w:val="0"/>
                <w:sz w:val="21"/>
                <w:szCs w:val="21"/>
              </w:rPr>
            </w:pPr>
            <w:r>
              <w:rPr>
                <w:rFonts w:hint="eastAsia" w:ascii="仿宋_GB2312" w:eastAsia="仿宋_GB2312" w:cs="仿宋"/>
                <w:color w:val="0C0C0C" w:themeColor="text1" w:themeTint="F2"/>
                <w:sz w:val="21"/>
                <w:szCs w:val="21"/>
              </w:rPr>
              <w:t>2.是否未按照规定申请资质证书变更，或者资质证书遗失未按照规定申请补发。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992" w:type="dxa"/>
            <w:vMerge w:val="continue"/>
            <w:tcBorders>
              <w:top w:val="nil"/>
            </w:tcBorders>
            <w:vAlign w:val="center"/>
          </w:tcPr>
          <w:p>
            <w:pPr>
              <w:rPr>
                <w:color w:val="0C0C0C" w:themeColor="text1" w:themeTint="F2"/>
                <w:sz w:val="21"/>
                <w:szCs w:val="21"/>
              </w:rPr>
            </w:pPr>
          </w:p>
        </w:tc>
        <w:tc>
          <w:tcPr>
            <w:tcW w:w="1785" w:type="dxa"/>
            <w:vMerge w:val="continue"/>
            <w:tcBorders>
              <w:top w:val="nil"/>
              <w:left w:val="nil"/>
            </w:tcBorders>
            <w:vAlign w:val="center"/>
          </w:tcPr>
          <w:p>
            <w:pPr>
              <w:rPr>
                <w:color w:val="0C0C0C" w:themeColor="text1" w:themeTint="F2"/>
                <w:sz w:val="21"/>
                <w:szCs w:val="21"/>
              </w:rPr>
            </w:pPr>
          </w:p>
        </w:tc>
        <w:tc>
          <w:tcPr>
            <w:tcW w:w="2250"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3.业务范围及出具证明</w:t>
            </w:r>
          </w:p>
        </w:tc>
        <w:tc>
          <w:tcPr>
            <w:tcW w:w="8096"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1.是否超出资质批准的业务范围和区域从事职业卫生检测、评价技术服务；</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1992" w:type="dxa"/>
            <w:vMerge w:val="continue"/>
            <w:tcBorders>
              <w:top w:val="nil"/>
            </w:tcBorders>
            <w:vAlign w:val="center"/>
          </w:tcPr>
          <w:p>
            <w:pPr>
              <w:rPr>
                <w:color w:val="0C0C0C" w:themeColor="text1" w:themeTint="F2"/>
                <w:sz w:val="21"/>
                <w:szCs w:val="21"/>
              </w:rPr>
            </w:pPr>
          </w:p>
        </w:tc>
        <w:tc>
          <w:tcPr>
            <w:tcW w:w="1785" w:type="dxa"/>
            <w:vMerge w:val="continue"/>
            <w:tcBorders>
              <w:top w:val="nil"/>
              <w:left w:val="nil"/>
            </w:tcBorders>
            <w:vAlign w:val="center"/>
          </w:tcPr>
          <w:p>
            <w:pPr>
              <w:rPr>
                <w:color w:val="0C0C0C" w:themeColor="text1" w:themeTint="F2"/>
                <w:sz w:val="21"/>
                <w:szCs w:val="21"/>
              </w:rPr>
            </w:pPr>
          </w:p>
        </w:tc>
        <w:tc>
          <w:tcPr>
            <w:tcW w:w="2250"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4.技术服务相关工作要求</w:t>
            </w:r>
          </w:p>
        </w:tc>
        <w:tc>
          <w:tcPr>
            <w:tcW w:w="8096" w:type="dxa"/>
            <w:tcBorders>
              <w:left w:val="nil"/>
            </w:tcBorders>
            <w:vAlign w:val="center"/>
          </w:tcPr>
          <w:p>
            <w:pPr>
              <w:widowControl/>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1.是否依照法律、法规和标准规范开展现场调查、职业病危害因素识别、现场采样、现场检测、样品管理、实验室分析、数据处理及应用、危害程度评价、防护措施及其效果评价等职业卫生技术服务活动；</w:t>
            </w:r>
          </w:p>
          <w:p>
            <w:pPr>
              <w:widowControl/>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2.是否按照标准规范要求出具技术报告；</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3.是否转包职业卫生技术服务项目；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992" w:type="dxa"/>
            <w:vMerge w:val="continue"/>
            <w:tcBorders>
              <w:top w:val="nil"/>
            </w:tcBorders>
            <w:vAlign w:val="center"/>
          </w:tcPr>
          <w:p>
            <w:pPr>
              <w:rPr>
                <w:color w:val="0C0C0C" w:themeColor="text1" w:themeTint="F2"/>
                <w:sz w:val="21"/>
                <w:szCs w:val="21"/>
              </w:rPr>
            </w:pPr>
          </w:p>
        </w:tc>
        <w:tc>
          <w:tcPr>
            <w:tcW w:w="1785" w:type="dxa"/>
            <w:vMerge w:val="continue"/>
            <w:tcBorders>
              <w:top w:val="nil"/>
              <w:left w:val="nil"/>
            </w:tcBorders>
            <w:vAlign w:val="center"/>
          </w:tcPr>
          <w:p>
            <w:pPr>
              <w:rPr>
                <w:color w:val="0C0C0C" w:themeColor="text1" w:themeTint="F2"/>
                <w:sz w:val="21"/>
                <w:szCs w:val="21"/>
              </w:rPr>
            </w:pPr>
          </w:p>
        </w:tc>
        <w:tc>
          <w:tcPr>
            <w:tcW w:w="2250"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5.专业技术人员管理</w:t>
            </w:r>
          </w:p>
        </w:tc>
        <w:tc>
          <w:tcPr>
            <w:tcW w:w="8096"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1.是否使用非本机构专业技术人员从事职业卫生技术服务活动；</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2.专业技术人员是否同时在两个以上职业卫生技术服务机构从业。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1" w:hRule="atLeast"/>
          <w:jc w:val="center"/>
        </w:trPr>
        <w:tc>
          <w:tcPr>
            <w:tcW w:w="1992" w:type="dxa"/>
            <w:vMerge w:val="continue"/>
            <w:tcBorders>
              <w:top w:val="nil"/>
            </w:tcBorders>
            <w:vAlign w:val="center"/>
          </w:tcPr>
          <w:p>
            <w:pPr>
              <w:rPr>
                <w:color w:val="0C0C0C" w:themeColor="text1" w:themeTint="F2"/>
                <w:sz w:val="21"/>
                <w:szCs w:val="21"/>
              </w:rPr>
            </w:pPr>
          </w:p>
        </w:tc>
        <w:tc>
          <w:tcPr>
            <w:tcW w:w="1785" w:type="dxa"/>
            <w:vMerge w:val="continue"/>
            <w:tcBorders>
              <w:top w:val="nil"/>
              <w:left w:val="nil"/>
            </w:tcBorders>
            <w:vAlign w:val="center"/>
          </w:tcPr>
          <w:p>
            <w:pPr>
              <w:rPr>
                <w:color w:val="0C0C0C" w:themeColor="text1" w:themeTint="F2"/>
                <w:sz w:val="21"/>
                <w:szCs w:val="21"/>
              </w:rPr>
            </w:pPr>
          </w:p>
        </w:tc>
        <w:tc>
          <w:tcPr>
            <w:tcW w:w="2250"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6.质量管理</w:t>
            </w:r>
          </w:p>
        </w:tc>
        <w:tc>
          <w:tcPr>
            <w:tcW w:w="8096" w:type="dxa"/>
            <w:tcBorders>
              <w:left w:val="nil"/>
            </w:tcBorders>
            <w:vAlign w:val="center"/>
          </w:tcPr>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1.是否如实规范记录技术服务原始信息，确保相关数据信息可溯源；</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2.是否规范开展技术服务内部审核和原始信息记录；</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3.是否依法与用人单位签订职业卫生技术服务合同，明确技术服务内容、范围以及双方的权利、义务和责任；</w:t>
            </w:r>
          </w:p>
          <w:p>
            <w:pPr>
              <w:adjustRightInd w:val="0"/>
              <w:snapToGrid w:val="0"/>
              <w:jc w:val="left"/>
              <w:rPr>
                <w:rFonts w:ascii="仿宋_GB2312" w:eastAsia="仿宋_GB2312"/>
                <w:color w:val="0C0C0C" w:themeColor="text1" w:themeTint="F2"/>
                <w:sz w:val="21"/>
                <w:szCs w:val="21"/>
              </w:rPr>
            </w:pPr>
            <w:r>
              <w:rPr>
                <w:rFonts w:hint="eastAsia" w:ascii="仿宋_GB2312" w:eastAsia="仿宋_GB2312" w:cs="仿宋"/>
                <w:color w:val="0C0C0C" w:themeColor="text1" w:themeTint="F2"/>
                <w:sz w:val="21"/>
                <w:szCs w:val="21"/>
              </w:rPr>
              <w:t>4.是否规范建立和管理技术服务档案。</w:t>
            </w:r>
          </w:p>
        </w:tc>
      </w:tr>
    </w:tbl>
    <w:p>
      <w:pPr>
        <w:rPr>
          <w:rFonts w:ascii="仿宋_GB2312" w:eastAsia="仿宋_GB2312"/>
          <w:b/>
          <w:bCs/>
          <w:color w:val="0C0C0C" w:themeColor="text1" w:themeTint="F2"/>
          <w:sz w:val="24"/>
          <w:szCs w:val="24"/>
        </w:rPr>
      </w:pPr>
    </w:p>
    <w:p>
      <w:pPr>
        <w:rPr>
          <w:rFonts w:hint="eastAsia" w:ascii="黑体" w:hAnsi="黑体" w:eastAsia="黑体" w:cs="黑体"/>
          <w:color w:val="0C0C0C" w:themeColor="text1" w:themeTint="F2"/>
          <w:sz w:val="32"/>
          <w:szCs w:val="32"/>
        </w:rPr>
      </w:pPr>
      <w:r>
        <w:rPr>
          <w:rFonts w:hint="eastAsia" w:ascii="黑体" w:hAnsi="黑体" w:eastAsia="黑体" w:cs="黑体"/>
          <w:b/>
          <w:bCs/>
          <w:color w:val="0C0C0C" w:themeColor="text1" w:themeTint="F2"/>
          <w:sz w:val="32"/>
          <w:szCs w:val="32"/>
        </w:rPr>
        <w:t xml:space="preserve"> </w:t>
      </w:r>
      <w:r>
        <w:rPr>
          <w:rFonts w:hint="eastAsia" w:ascii="黑体" w:hAnsi="黑体" w:eastAsia="黑体" w:cs="黑体"/>
          <w:color w:val="0C0C0C" w:themeColor="text1" w:themeTint="F2"/>
          <w:sz w:val="32"/>
          <w:szCs w:val="32"/>
        </w:rPr>
        <w:t>附表5</w:t>
      </w:r>
    </w:p>
    <w:p>
      <w:pPr>
        <w:jc w:val="center"/>
        <w:rPr>
          <w:rFonts w:ascii="仿宋_GB2312" w:eastAsia="仿宋_GB2312"/>
          <w:color w:val="0C0C0C" w:themeColor="text1" w:themeTint="F2"/>
        </w:rPr>
      </w:pPr>
      <w:r>
        <w:rPr>
          <w:rFonts w:hint="eastAsia" w:ascii="方正小标宋简体" w:hAnsi="方正小标宋简体" w:eastAsia="方正小标宋简体" w:cs="方正小标宋简体"/>
          <w:b w:val="0"/>
          <w:bCs w:val="0"/>
          <w:color w:val="0C0C0C" w:themeColor="text1" w:themeTint="F2"/>
          <w:sz w:val="44"/>
          <w:szCs w:val="44"/>
        </w:rPr>
        <w:t>2020年职业卫生技术服务机构国家随机监督抽查汇总表</w:t>
      </w:r>
      <w:r>
        <w:rPr>
          <w:rFonts w:hint="eastAsia" w:ascii="仿宋_GB2312" w:eastAsia="仿宋_GB2312"/>
          <w:color w:val="0C0C0C" w:themeColor="text1" w:themeTint="F2"/>
        </w:rPr>
        <w:t xml:space="preserve"> </w:t>
      </w:r>
    </w:p>
    <w:tbl>
      <w:tblPr>
        <w:tblStyle w:val="7"/>
        <w:tblW w:w="141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05"/>
        <w:gridCol w:w="390"/>
        <w:gridCol w:w="420"/>
        <w:gridCol w:w="390"/>
        <w:gridCol w:w="740"/>
        <w:gridCol w:w="1000"/>
        <w:gridCol w:w="701"/>
        <w:gridCol w:w="1039"/>
        <w:gridCol w:w="945"/>
        <w:gridCol w:w="709"/>
        <w:gridCol w:w="850"/>
        <w:gridCol w:w="851"/>
        <w:gridCol w:w="850"/>
        <w:gridCol w:w="445"/>
        <w:gridCol w:w="567"/>
        <w:gridCol w:w="689"/>
        <w:gridCol w:w="709"/>
        <w:gridCol w:w="623"/>
        <w:gridCol w:w="65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57" w:type="dxa"/>
            <w:vMerge w:val="restart"/>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405" w:type="dxa"/>
            <w:vMerge w:val="restart"/>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辖区内单位总数</w:t>
            </w:r>
          </w:p>
        </w:tc>
        <w:tc>
          <w:tcPr>
            <w:tcW w:w="390" w:type="dxa"/>
            <w:vMerge w:val="restart"/>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检查单位数</w:t>
            </w:r>
          </w:p>
        </w:tc>
        <w:tc>
          <w:tcPr>
            <w:tcW w:w="420" w:type="dxa"/>
            <w:vMerge w:val="restart"/>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合格单位数</w:t>
            </w:r>
          </w:p>
        </w:tc>
        <w:tc>
          <w:tcPr>
            <w:tcW w:w="390" w:type="dxa"/>
            <w:vMerge w:val="restart"/>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不合格单位数</w:t>
            </w:r>
          </w:p>
        </w:tc>
        <w:tc>
          <w:tcPr>
            <w:tcW w:w="7685" w:type="dxa"/>
            <w:gridSpan w:val="9"/>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不合格情况</w:t>
            </w:r>
          </w:p>
        </w:tc>
        <w:tc>
          <w:tcPr>
            <w:tcW w:w="445" w:type="dxa"/>
            <w:vMerge w:val="restart"/>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立案</w:t>
            </w:r>
          </w:p>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件数</w:t>
            </w:r>
          </w:p>
        </w:tc>
        <w:tc>
          <w:tcPr>
            <w:tcW w:w="2588" w:type="dxa"/>
            <w:gridSpan w:val="4"/>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行政处罚情况</w:t>
            </w:r>
          </w:p>
        </w:tc>
        <w:tc>
          <w:tcPr>
            <w:tcW w:w="1348" w:type="dxa"/>
            <w:gridSpan w:val="2"/>
            <w:tcBorders>
              <w:left w:val="nil"/>
              <w:bottom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行政命令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57" w:type="dxa"/>
            <w:vMerge w:val="continue"/>
            <w:vAlign w:val="center"/>
          </w:tcPr>
          <w:p>
            <w:pPr>
              <w:rPr>
                <w:rFonts w:hint="eastAsia" w:ascii="黑体" w:hAnsi="黑体" w:eastAsia="黑体" w:cs="黑体"/>
                <w:color w:val="0C0C0C" w:themeColor="text1" w:themeTint="F2"/>
              </w:rPr>
            </w:pPr>
          </w:p>
        </w:tc>
        <w:tc>
          <w:tcPr>
            <w:tcW w:w="405" w:type="dxa"/>
            <w:vMerge w:val="continue"/>
            <w:tcBorders>
              <w:left w:val="nil"/>
            </w:tcBorders>
            <w:vAlign w:val="center"/>
          </w:tcPr>
          <w:p>
            <w:pPr>
              <w:rPr>
                <w:rFonts w:hint="eastAsia" w:ascii="黑体" w:hAnsi="黑体" w:eastAsia="黑体" w:cs="黑体"/>
                <w:color w:val="0C0C0C" w:themeColor="text1" w:themeTint="F2"/>
              </w:rPr>
            </w:pPr>
          </w:p>
        </w:tc>
        <w:tc>
          <w:tcPr>
            <w:tcW w:w="390" w:type="dxa"/>
            <w:vMerge w:val="continue"/>
            <w:tcBorders>
              <w:left w:val="nil"/>
            </w:tcBorders>
            <w:vAlign w:val="center"/>
          </w:tcPr>
          <w:p>
            <w:pPr>
              <w:rPr>
                <w:rFonts w:hint="eastAsia" w:ascii="黑体" w:hAnsi="黑体" w:eastAsia="黑体" w:cs="黑体"/>
                <w:color w:val="0C0C0C" w:themeColor="text1" w:themeTint="F2"/>
              </w:rPr>
            </w:pPr>
          </w:p>
        </w:tc>
        <w:tc>
          <w:tcPr>
            <w:tcW w:w="420" w:type="dxa"/>
            <w:vMerge w:val="continue"/>
            <w:tcBorders>
              <w:left w:val="nil"/>
            </w:tcBorders>
            <w:vAlign w:val="center"/>
          </w:tcPr>
          <w:p>
            <w:pPr>
              <w:rPr>
                <w:rFonts w:hint="eastAsia" w:ascii="黑体" w:hAnsi="黑体" w:eastAsia="黑体" w:cs="黑体"/>
                <w:color w:val="0C0C0C" w:themeColor="text1" w:themeTint="F2"/>
              </w:rPr>
            </w:pPr>
          </w:p>
        </w:tc>
        <w:tc>
          <w:tcPr>
            <w:tcW w:w="390" w:type="dxa"/>
            <w:vMerge w:val="continue"/>
            <w:tcBorders>
              <w:left w:val="nil"/>
            </w:tcBorders>
            <w:vAlign w:val="center"/>
          </w:tcPr>
          <w:p>
            <w:pPr>
              <w:rPr>
                <w:rFonts w:hint="eastAsia" w:ascii="黑体" w:hAnsi="黑体" w:eastAsia="黑体" w:cs="黑体"/>
                <w:color w:val="0C0C0C" w:themeColor="text1" w:themeTint="F2"/>
              </w:rPr>
            </w:pPr>
          </w:p>
        </w:tc>
        <w:tc>
          <w:tcPr>
            <w:tcW w:w="1740" w:type="dxa"/>
            <w:gridSpan w:val="2"/>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资质证书</w:t>
            </w:r>
          </w:p>
        </w:tc>
        <w:tc>
          <w:tcPr>
            <w:tcW w:w="1740" w:type="dxa"/>
            <w:gridSpan w:val="2"/>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资质条件</w:t>
            </w:r>
          </w:p>
        </w:tc>
        <w:tc>
          <w:tcPr>
            <w:tcW w:w="4205" w:type="dxa"/>
            <w:gridSpan w:val="5"/>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技术服务执行</w:t>
            </w:r>
          </w:p>
        </w:tc>
        <w:tc>
          <w:tcPr>
            <w:tcW w:w="445" w:type="dxa"/>
            <w:vMerge w:val="continue"/>
            <w:tcBorders>
              <w:left w:val="nil"/>
            </w:tcBorders>
            <w:vAlign w:val="center"/>
          </w:tcPr>
          <w:p>
            <w:pPr>
              <w:rPr>
                <w:rFonts w:hint="eastAsia" w:ascii="黑体" w:hAnsi="黑体" w:eastAsia="黑体" w:cs="黑体"/>
                <w:color w:val="0C0C0C" w:themeColor="text1" w:themeTint="F2"/>
              </w:rPr>
            </w:pPr>
          </w:p>
        </w:tc>
        <w:tc>
          <w:tcPr>
            <w:tcW w:w="567" w:type="dxa"/>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警告</w:t>
            </w:r>
          </w:p>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单位数</w:t>
            </w:r>
          </w:p>
        </w:tc>
        <w:tc>
          <w:tcPr>
            <w:tcW w:w="689" w:type="dxa"/>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罚款</w:t>
            </w:r>
          </w:p>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（万元）</w:t>
            </w:r>
          </w:p>
        </w:tc>
        <w:tc>
          <w:tcPr>
            <w:tcW w:w="709" w:type="dxa"/>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没收违法</w:t>
            </w:r>
          </w:p>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所得</w:t>
            </w:r>
          </w:p>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（万元）</w:t>
            </w:r>
          </w:p>
        </w:tc>
        <w:tc>
          <w:tcPr>
            <w:tcW w:w="623"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吊销机构资质单位数</w:t>
            </w:r>
          </w:p>
        </w:tc>
        <w:tc>
          <w:tcPr>
            <w:tcW w:w="653"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责令</w:t>
            </w:r>
          </w:p>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改正</w:t>
            </w:r>
          </w:p>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单位数</w:t>
            </w:r>
          </w:p>
        </w:tc>
        <w:tc>
          <w:tcPr>
            <w:tcW w:w="695"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撤销机构资质单位数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457" w:type="dxa"/>
            <w:vMerge w:val="continue"/>
            <w:vAlign w:val="center"/>
          </w:tcPr>
          <w:p>
            <w:pPr>
              <w:rPr>
                <w:rFonts w:hint="eastAsia" w:ascii="黑体" w:hAnsi="黑体" w:eastAsia="黑体" w:cs="黑体"/>
                <w:color w:val="0C0C0C" w:themeColor="text1" w:themeTint="F2"/>
              </w:rPr>
            </w:pPr>
          </w:p>
        </w:tc>
        <w:tc>
          <w:tcPr>
            <w:tcW w:w="405" w:type="dxa"/>
            <w:vMerge w:val="continue"/>
            <w:tcBorders>
              <w:left w:val="nil"/>
            </w:tcBorders>
            <w:vAlign w:val="center"/>
          </w:tcPr>
          <w:p>
            <w:pPr>
              <w:rPr>
                <w:rFonts w:hint="eastAsia" w:ascii="黑体" w:hAnsi="黑体" w:eastAsia="黑体" w:cs="黑体"/>
                <w:color w:val="0C0C0C" w:themeColor="text1" w:themeTint="F2"/>
              </w:rPr>
            </w:pPr>
          </w:p>
        </w:tc>
        <w:tc>
          <w:tcPr>
            <w:tcW w:w="390" w:type="dxa"/>
            <w:vMerge w:val="continue"/>
            <w:tcBorders>
              <w:left w:val="nil"/>
            </w:tcBorders>
            <w:vAlign w:val="center"/>
          </w:tcPr>
          <w:p>
            <w:pPr>
              <w:rPr>
                <w:rFonts w:hint="eastAsia" w:ascii="黑体" w:hAnsi="黑体" w:eastAsia="黑体" w:cs="黑体"/>
                <w:color w:val="0C0C0C" w:themeColor="text1" w:themeTint="F2"/>
              </w:rPr>
            </w:pPr>
          </w:p>
        </w:tc>
        <w:tc>
          <w:tcPr>
            <w:tcW w:w="420" w:type="dxa"/>
            <w:vMerge w:val="continue"/>
            <w:tcBorders>
              <w:left w:val="nil"/>
            </w:tcBorders>
            <w:vAlign w:val="center"/>
          </w:tcPr>
          <w:p>
            <w:pPr>
              <w:rPr>
                <w:rFonts w:hint="eastAsia" w:ascii="黑体" w:hAnsi="黑体" w:eastAsia="黑体" w:cs="黑体"/>
                <w:color w:val="0C0C0C" w:themeColor="text1" w:themeTint="F2"/>
              </w:rPr>
            </w:pPr>
          </w:p>
        </w:tc>
        <w:tc>
          <w:tcPr>
            <w:tcW w:w="390" w:type="dxa"/>
            <w:vMerge w:val="continue"/>
            <w:tcBorders>
              <w:left w:val="nil"/>
            </w:tcBorders>
            <w:vAlign w:val="center"/>
          </w:tcPr>
          <w:p>
            <w:pPr>
              <w:rPr>
                <w:rFonts w:hint="eastAsia" w:ascii="黑体" w:hAnsi="黑体" w:eastAsia="黑体" w:cs="黑体"/>
                <w:color w:val="0C0C0C" w:themeColor="text1" w:themeTint="F2"/>
              </w:rPr>
            </w:pPr>
          </w:p>
        </w:tc>
        <w:tc>
          <w:tcPr>
            <w:tcW w:w="740" w:type="dxa"/>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无资质擅自从事单位数</w:t>
            </w:r>
          </w:p>
        </w:tc>
        <w:tc>
          <w:tcPr>
            <w:tcW w:w="1000"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伪造、变造、转让或者租借资质证书单位数</w:t>
            </w:r>
          </w:p>
        </w:tc>
        <w:tc>
          <w:tcPr>
            <w:tcW w:w="701" w:type="dxa"/>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不符合资质条件单位数</w:t>
            </w:r>
          </w:p>
        </w:tc>
        <w:tc>
          <w:tcPr>
            <w:tcW w:w="1039"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未按照规定申请资质证书变更、补发单位数</w:t>
            </w:r>
          </w:p>
        </w:tc>
        <w:tc>
          <w:tcPr>
            <w:tcW w:w="945" w:type="dxa"/>
            <w:tcBorders>
              <w:left w:val="nil"/>
            </w:tcBorders>
            <w:vAlign w:val="center"/>
          </w:tcPr>
          <w:p>
            <w:pPr>
              <w:adjustRightInd w:val="0"/>
              <w:snapToGrid w:val="0"/>
              <w:ind w:left="-105" w:leftChars="-50" w:right="-105" w:rightChars="-5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超出规定的业务范围和区域从事单位数</w:t>
            </w:r>
          </w:p>
        </w:tc>
        <w:tc>
          <w:tcPr>
            <w:tcW w:w="709"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出具虚假证明文件单位数</w:t>
            </w:r>
          </w:p>
        </w:tc>
        <w:tc>
          <w:tcPr>
            <w:tcW w:w="850"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不符合技术服务相关工作要求单位数</w:t>
            </w:r>
          </w:p>
        </w:tc>
        <w:tc>
          <w:tcPr>
            <w:tcW w:w="851"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不符合专业技术人员管理要求单位数</w:t>
            </w:r>
          </w:p>
        </w:tc>
        <w:tc>
          <w:tcPr>
            <w:tcW w:w="850"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r>
              <w:rPr>
                <w:rFonts w:hint="eastAsia" w:ascii="黑体" w:hAnsi="黑体" w:eastAsia="黑体" w:cs="黑体"/>
                <w:color w:val="0C0C0C" w:themeColor="text1" w:themeTint="F2"/>
                <w:kern w:val="0"/>
              </w:rPr>
              <w:t>不符合质量管理要求单位数</w:t>
            </w:r>
          </w:p>
        </w:tc>
        <w:tc>
          <w:tcPr>
            <w:tcW w:w="445"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567"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689"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709"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623"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653"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c>
          <w:tcPr>
            <w:tcW w:w="695" w:type="dxa"/>
            <w:tcBorders>
              <w:left w:val="nil"/>
            </w:tcBorders>
            <w:vAlign w:val="center"/>
          </w:tcPr>
          <w:p>
            <w:pPr>
              <w:adjustRightInd w:val="0"/>
              <w:snapToGrid w:val="0"/>
              <w:ind w:left="-42" w:leftChars="-20" w:right="-42" w:rightChars="-20"/>
              <w:jc w:val="center"/>
              <w:rPr>
                <w:rFonts w:hint="eastAsia" w:ascii="黑体" w:hAnsi="黑体" w:eastAsia="黑体" w:cs="黑体"/>
                <w:color w:val="0C0C0C" w:themeColor="text1" w:themeTint="F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57" w:type="dxa"/>
            <w:vAlign w:val="center"/>
          </w:tcPr>
          <w:p>
            <w:pPr>
              <w:adjustRightInd w:val="0"/>
              <w:snapToGrid w:val="0"/>
              <w:ind w:left="-42" w:leftChars="-20" w:right="-42" w:rightChars="-20"/>
              <w:jc w:val="center"/>
              <w:rPr>
                <w:rFonts w:ascii="仿宋_GB2312" w:eastAsia="仿宋_GB2312"/>
                <w:color w:val="0C0C0C" w:themeColor="text1" w:themeTint="F2"/>
                <w:kern w:val="0"/>
              </w:rPr>
            </w:pPr>
            <w:r>
              <w:rPr>
                <w:rFonts w:hint="eastAsia" w:ascii="仿宋_GB2312" w:eastAsia="仿宋_GB2312" w:cs="仿宋"/>
                <w:color w:val="0C0C0C" w:themeColor="text1" w:themeTint="F2"/>
                <w:kern w:val="0"/>
              </w:rPr>
              <w:t>甲级</w:t>
            </w:r>
          </w:p>
        </w:tc>
        <w:tc>
          <w:tcPr>
            <w:tcW w:w="405" w:type="dxa"/>
            <w:tcBorders>
              <w:left w:val="nil"/>
            </w:tcBorders>
            <w:vAlign w:val="center"/>
          </w:tcPr>
          <w:p>
            <w:pPr>
              <w:adjustRightInd w:val="0"/>
              <w:snapToGrid w:val="0"/>
              <w:ind w:left="-42" w:leftChars="-20" w:right="-42" w:rightChars="-20"/>
              <w:rPr>
                <w:rFonts w:ascii="仿宋_GB2312" w:eastAsia="仿宋_GB2312"/>
                <w:color w:val="0C0C0C" w:themeColor="text1" w:themeTint="F2"/>
                <w:kern w:val="0"/>
              </w:rPr>
            </w:pPr>
          </w:p>
        </w:tc>
        <w:tc>
          <w:tcPr>
            <w:tcW w:w="39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42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4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0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1"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39"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94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1"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44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567"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8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23"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653"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69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7" w:type="dxa"/>
            <w:vAlign w:val="center"/>
          </w:tcPr>
          <w:p>
            <w:pPr>
              <w:adjustRightInd w:val="0"/>
              <w:snapToGrid w:val="0"/>
              <w:ind w:left="-42" w:leftChars="-20" w:right="-42" w:rightChars="-20"/>
              <w:jc w:val="center"/>
              <w:rPr>
                <w:rFonts w:ascii="仿宋_GB2312" w:eastAsia="仿宋_GB2312"/>
                <w:color w:val="0C0C0C" w:themeColor="text1" w:themeTint="F2"/>
                <w:kern w:val="0"/>
              </w:rPr>
            </w:pPr>
            <w:r>
              <w:rPr>
                <w:rFonts w:hint="eastAsia" w:ascii="仿宋_GB2312" w:eastAsia="仿宋_GB2312" w:cs="仿宋"/>
                <w:color w:val="0C0C0C" w:themeColor="text1" w:themeTint="F2"/>
                <w:kern w:val="0"/>
              </w:rPr>
              <w:t>乙级</w:t>
            </w:r>
          </w:p>
        </w:tc>
        <w:tc>
          <w:tcPr>
            <w:tcW w:w="40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42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4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0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1"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39"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94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1"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44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567"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8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23"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53"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9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7" w:type="dxa"/>
            <w:vAlign w:val="center"/>
          </w:tcPr>
          <w:p>
            <w:pPr>
              <w:adjustRightInd w:val="0"/>
              <w:snapToGrid w:val="0"/>
              <w:ind w:left="-42" w:leftChars="-20" w:right="-42" w:rightChars="-20"/>
              <w:jc w:val="center"/>
              <w:rPr>
                <w:rFonts w:ascii="仿宋_GB2312" w:eastAsia="仿宋_GB2312"/>
                <w:color w:val="0C0C0C" w:themeColor="text1" w:themeTint="F2"/>
                <w:kern w:val="0"/>
              </w:rPr>
            </w:pPr>
            <w:r>
              <w:rPr>
                <w:rFonts w:hint="eastAsia" w:ascii="仿宋_GB2312" w:eastAsia="仿宋_GB2312" w:cs="仿宋"/>
                <w:color w:val="0C0C0C" w:themeColor="text1" w:themeTint="F2"/>
                <w:kern w:val="0"/>
              </w:rPr>
              <w:t>丙级</w:t>
            </w:r>
          </w:p>
        </w:tc>
        <w:tc>
          <w:tcPr>
            <w:tcW w:w="40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42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4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0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1"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39"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94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1"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44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567"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8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23"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53"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9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7" w:type="dxa"/>
            <w:vAlign w:val="center"/>
          </w:tcPr>
          <w:p>
            <w:pPr>
              <w:adjustRightInd w:val="0"/>
              <w:snapToGrid w:val="0"/>
              <w:ind w:left="-42" w:leftChars="-20" w:right="-42" w:rightChars="-20"/>
              <w:jc w:val="center"/>
              <w:rPr>
                <w:rFonts w:ascii="仿宋_GB2312" w:eastAsia="仿宋_GB2312"/>
                <w:color w:val="0C0C0C" w:themeColor="text1" w:themeTint="F2"/>
                <w:kern w:val="0"/>
              </w:rPr>
            </w:pPr>
            <w:r>
              <w:rPr>
                <w:rFonts w:hint="eastAsia" w:ascii="仿宋_GB2312" w:eastAsia="仿宋_GB2312" w:cs="仿宋"/>
                <w:color w:val="0C0C0C" w:themeColor="text1" w:themeTint="F2"/>
                <w:kern w:val="0"/>
              </w:rPr>
              <w:t>合计</w:t>
            </w:r>
          </w:p>
        </w:tc>
        <w:tc>
          <w:tcPr>
            <w:tcW w:w="40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42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39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4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0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1"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1039"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945"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1"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850" w:type="dxa"/>
            <w:tcBorders>
              <w:left w:val="nil"/>
            </w:tcBorders>
            <w:vAlign w:val="center"/>
          </w:tcPr>
          <w:p>
            <w:pPr>
              <w:adjustRightInd w:val="0"/>
              <w:snapToGrid w:val="0"/>
              <w:ind w:left="-42" w:leftChars="-20" w:right="-42" w:rightChars="-20"/>
              <w:jc w:val="center"/>
              <w:rPr>
                <w:rFonts w:ascii="仿宋_GB2312" w:eastAsia="仿宋_GB2312"/>
                <w:color w:val="0C0C0C" w:themeColor="text1" w:themeTint="F2"/>
                <w:kern w:val="0"/>
              </w:rPr>
            </w:pPr>
          </w:p>
        </w:tc>
        <w:tc>
          <w:tcPr>
            <w:tcW w:w="44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567"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8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709"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23"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53"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c>
          <w:tcPr>
            <w:tcW w:w="695" w:type="dxa"/>
            <w:tcBorders>
              <w:left w:val="nil"/>
            </w:tcBorders>
          </w:tcPr>
          <w:p>
            <w:pPr>
              <w:adjustRightInd w:val="0"/>
              <w:snapToGrid w:val="0"/>
              <w:ind w:left="-42" w:leftChars="-20" w:right="-42" w:rightChars="-20"/>
              <w:jc w:val="center"/>
              <w:rPr>
                <w:rFonts w:ascii="仿宋_GB2312" w:eastAsia="仿宋_GB2312"/>
                <w:color w:val="0C0C0C" w:themeColor="text1" w:themeTint="F2"/>
                <w:kern w:val="0"/>
              </w:rPr>
            </w:pPr>
          </w:p>
        </w:tc>
      </w:tr>
    </w:tbl>
    <w:p>
      <w:pPr>
        <w:spacing w:beforeLines="50" w:afterLines="50"/>
        <w:ind w:firstLine="422" w:firstLineChars="150"/>
        <w:rPr>
          <w:rFonts w:ascii="仿宋_GB2312" w:eastAsia="仿宋_GB2312"/>
          <w:color w:val="0C0C0C" w:themeColor="text1" w:themeTint="F2"/>
          <w:sz w:val="32"/>
          <w:szCs w:val="32"/>
        </w:rPr>
        <w:sectPr>
          <w:pgSz w:w="16838" w:h="11906" w:orient="landscape"/>
          <w:pgMar w:top="1701" w:right="1418" w:bottom="1417" w:left="1418" w:header="851" w:footer="992" w:gutter="0"/>
          <w:pgNumType w:fmt="decimal"/>
          <w:cols w:space="0" w:num="1"/>
          <w:rtlGutter w:val="0"/>
          <w:docGrid w:type="lines" w:linePitch="312" w:charSpace="0"/>
        </w:sectPr>
      </w:pPr>
      <w:r>
        <w:rPr>
          <w:rFonts w:hint="eastAsia" w:ascii="仿宋_GB2312" w:eastAsia="仿宋_GB2312"/>
          <w:b/>
          <w:bCs/>
          <w:color w:val="0C0C0C" w:themeColor="text1" w:themeTint="F2"/>
          <w:sz w:val="28"/>
          <w:szCs w:val="28"/>
        </w:rPr>
        <w:t>填报单位：</w:t>
      </w:r>
      <w:r>
        <w:rPr>
          <w:rFonts w:hint="eastAsia" w:ascii="仿宋_GB2312" w:eastAsia="仿宋_GB2312" w:cs="??_GB2312"/>
          <w:b/>
          <w:bCs/>
          <w:color w:val="0C0C0C" w:themeColor="text1" w:themeTint="F2"/>
          <w:sz w:val="28"/>
          <w:szCs w:val="28"/>
        </w:rPr>
        <w:t xml:space="preserve">                             </w:t>
      </w:r>
      <w:r>
        <w:rPr>
          <w:rFonts w:hint="eastAsia" w:ascii="仿宋_GB2312" w:eastAsia="仿宋_GB2312"/>
          <w:b/>
          <w:bCs/>
          <w:color w:val="0C0C0C" w:themeColor="text1" w:themeTint="F2"/>
          <w:sz w:val="28"/>
          <w:szCs w:val="28"/>
        </w:rPr>
        <w:t>填报人：</w:t>
      </w:r>
      <w:r>
        <w:rPr>
          <w:rFonts w:hint="eastAsia" w:ascii="仿宋_GB2312" w:eastAsia="仿宋_GB2312" w:cs="??_GB2312"/>
          <w:b/>
          <w:bCs/>
          <w:color w:val="0C0C0C" w:themeColor="text1" w:themeTint="F2"/>
          <w:sz w:val="28"/>
          <w:szCs w:val="28"/>
        </w:rPr>
        <w:t xml:space="preserve">                  </w:t>
      </w:r>
      <w:r>
        <w:rPr>
          <w:rFonts w:hint="eastAsia" w:ascii="仿宋_GB2312" w:eastAsia="仿宋_GB2312"/>
          <w:b/>
          <w:bCs/>
          <w:color w:val="0C0C0C" w:themeColor="text1" w:themeTint="F2"/>
          <w:sz w:val="28"/>
          <w:szCs w:val="28"/>
        </w:rPr>
        <w:t>联系电话：</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0"/>
        <w:rPr>
          <w:rFonts w:ascii="黑体" w:eastAsia="黑体"/>
          <w:color w:val="0C0C0C" w:themeColor="text1" w:themeTint="F2"/>
          <w:w w:val="100"/>
          <w:sz w:val="32"/>
          <w:szCs w:val="32"/>
        </w:rPr>
      </w:pPr>
      <w:r>
        <w:rPr>
          <w:rFonts w:hint="eastAsia" w:ascii="黑体" w:eastAsia="黑体" w:cs="黑体"/>
          <w:color w:val="0C0C0C" w:themeColor="text1" w:themeTint="F2"/>
          <w:w w:val="100"/>
          <w:sz w:val="32"/>
          <w:szCs w:val="32"/>
        </w:rPr>
        <w:t>五、医疗卫生</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color w:val="0C0C0C" w:themeColor="text1" w:themeTint="F2"/>
          <w:w w:val="100"/>
          <w:sz w:val="32"/>
          <w:szCs w:val="32"/>
        </w:rPr>
      </w:pPr>
      <w:r>
        <w:rPr>
          <w:rFonts w:hint="eastAsia" w:ascii="楷体_GB2312" w:hAnsi="楷体_GB2312" w:eastAsia="楷体_GB2312" w:cs="楷体_GB2312"/>
          <w:color w:val="0C0C0C" w:themeColor="text1" w:themeTint="F2"/>
          <w:w w:val="100"/>
          <w:sz w:val="32"/>
          <w:szCs w:val="32"/>
        </w:rPr>
        <w:t>（一）监督抽查内容。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1.医疗机构监督</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检查医疗机构资质（《医疗机构执业许可证》、人员资格、诊疗活动、健康体检）管理情况，卫生技术人员（医师、外国医师、香港澳门医师、台湾医师、乡村医生、药师、护士、医技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0"/>
        <w:rPr>
          <w:rFonts w:ascii="仿宋_GB2312" w:eastAsia="仿宋_GB2312" w:cs="仿宋"/>
          <w:color w:val="0C0C0C" w:themeColor="text1" w:themeTint="F2"/>
          <w:w w:val="100"/>
          <w:sz w:val="32"/>
          <w:szCs w:val="32"/>
        </w:rPr>
      </w:pPr>
      <w:r>
        <w:rPr>
          <w:rFonts w:hint="eastAsia" w:ascii="仿宋_GB2312" w:eastAsia="仿宋_GB2312" w:cs="仿宋"/>
          <w:color w:val="0C0C0C" w:themeColor="text1" w:themeTint="F2"/>
          <w:w w:val="100"/>
          <w:sz w:val="32"/>
          <w:szCs w:val="32"/>
        </w:rPr>
        <w:t xml:space="preserve">2.采供血机构监督 </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 w:hAnsi="仿宋"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（1）一般血站（血液中心、中心血站、中心血库）、特殊血站（脐带血造血干细胞库）。检查资质情况、血源管理情况、血液检测情况、包装储存供应情况、检查医疗废物处理情况等。</w:t>
      </w:r>
      <w:r>
        <w:rPr>
          <w:rFonts w:ascii="宋体" w:hAnsi="宋体" w:eastAsia="仿宋_GB2312"/>
          <w:color w:val="0C0C0C" w:themeColor="text1" w:themeTint="F2"/>
          <w:w w:val="100"/>
          <w:sz w:val="32"/>
          <w:szCs w:val="32"/>
        </w:rPr>
        <w:t> </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（2）单采血浆站。检查单采血浆站资质情况、供血浆者管理情况、检测与采集情况、血浆储存情况、医疗废物处理情况等。</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3.2019年国家医疗卫生随机监督抽查被行政处罚的单位整改落实情况。</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0"/>
        <w:rPr>
          <w:rFonts w:hint="eastAsia" w:ascii="楷体_GB2312" w:hAnsi="楷体_GB2312" w:eastAsia="楷体_GB2312" w:cs="楷体_GB2312"/>
          <w:color w:val="0C0C0C" w:themeColor="text1" w:themeTint="F2"/>
          <w:w w:val="100"/>
          <w:sz w:val="32"/>
          <w:szCs w:val="32"/>
        </w:rPr>
      </w:pPr>
      <w:r>
        <w:rPr>
          <w:rFonts w:hint="eastAsia" w:ascii="楷体_GB2312" w:hAnsi="楷体_GB2312" w:eastAsia="楷体_GB2312" w:cs="楷体_GB2312"/>
          <w:color w:val="0C0C0C" w:themeColor="text1" w:themeTint="F2"/>
          <w:w w:val="100"/>
          <w:sz w:val="32"/>
          <w:szCs w:val="32"/>
        </w:rPr>
        <w:t>（二）结果报送要求。</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各地要于2020年11月30日前完成医疗卫生国家随机监督抽查工作，并通过卫生健康监督信息平台报送抽查结果，工作信息可随时报送。医疗卫生国家随机抽查结果以卫生健康监督信息平台数据为准，可不报送书面报告。</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联 系 人：自治区卫生监督所监督四科  蓝晓</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_GB2312" w:eastAsia="仿宋_GB2312" w:cs="仿宋"/>
          <w:color w:val="0C0C0C" w:themeColor="text1" w:themeTint="F2"/>
          <w:w w:val="100"/>
          <w:sz w:val="32"/>
          <w:szCs w:val="32"/>
        </w:rPr>
      </w:pPr>
      <w:r>
        <w:rPr>
          <w:rFonts w:hint="eastAsia" w:ascii="仿宋_GB2312" w:eastAsia="仿宋_GB2312" w:cs="仿宋"/>
          <w:color w:val="0C0C0C" w:themeColor="text1" w:themeTint="F2"/>
          <w:w w:val="100"/>
          <w:sz w:val="32"/>
          <w:szCs w:val="32"/>
        </w:rPr>
        <w:t xml:space="preserve">联系电话：0771-5319445   </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C0C0C" w:themeColor="text1" w:themeTint="F2"/>
          <w:w w:val="100"/>
          <w:sz w:val="32"/>
          <w:szCs w:val="32"/>
        </w:rPr>
      </w:pPr>
      <w:r>
        <w:rPr>
          <w:rFonts w:hint="eastAsia" w:ascii="仿宋_GB2312" w:eastAsia="仿宋_GB2312" w:cs="仿宋"/>
          <w:color w:val="0C0C0C" w:themeColor="text1" w:themeTint="F2"/>
          <w:w w:val="100"/>
          <w:sz w:val="32"/>
          <w:szCs w:val="32"/>
        </w:rPr>
        <w:t>邮</w:t>
      </w:r>
      <w:r>
        <w:rPr>
          <w:rFonts w:hint="eastAsia" w:ascii="仿宋_GB2312" w:eastAsia="仿宋_GB2312" w:cs="仿宋"/>
          <w:color w:val="0C0C0C" w:themeColor="text1" w:themeTint="F2"/>
          <w:w w:val="100"/>
          <w:sz w:val="32"/>
          <w:szCs w:val="32"/>
          <w:lang w:eastAsia="zh-CN"/>
        </w:rPr>
        <w:t>　　</w:t>
      </w:r>
      <w:r>
        <w:rPr>
          <w:rFonts w:hint="eastAsia" w:ascii="仿宋_GB2312" w:eastAsia="仿宋_GB2312" w:cs="仿宋"/>
          <w:color w:val="0C0C0C" w:themeColor="text1" w:themeTint="F2"/>
          <w:w w:val="100"/>
          <w:sz w:val="32"/>
          <w:szCs w:val="32"/>
        </w:rPr>
        <w:t>箱：</w:t>
      </w:r>
      <w:r>
        <w:rPr>
          <w:rFonts w:hint="default" w:ascii="Times New Roman" w:hAnsi="Times New Roman" w:eastAsia="仿宋_GB2312" w:cs="Times New Roman"/>
          <w:color w:val="0C0C0C" w:themeColor="text1" w:themeTint="F2"/>
          <w:w w:val="100"/>
          <w:sz w:val="32"/>
          <w:szCs w:val="32"/>
        </w:rPr>
        <w:t>gxwsjds4k@163.com</w:t>
      </w:r>
    </w:p>
    <w:p>
      <w:pPr>
        <w:keepNext w:val="0"/>
        <w:keepLines w:val="0"/>
        <w:pageBreakBefore w:val="0"/>
        <w:tabs>
          <w:tab w:val="left" w:pos="1560"/>
          <w:tab w:val="left" w:pos="1701"/>
        </w:tabs>
        <w:kinsoku/>
        <w:wordWrap/>
        <w:overflowPunct/>
        <w:topLinePunct w:val="0"/>
        <w:autoSpaceDE/>
        <w:autoSpaceDN/>
        <w:bidi w:val="0"/>
        <w:spacing w:line="560" w:lineRule="exact"/>
        <w:jc w:val="both"/>
        <w:textAlignment w:val="auto"/>
        <w:rPr>
          <w:rFonts w:hint="eastAsia" w:ascii="仿宋_GB2312" w:eastAsia="仿宋_GB2312" w:cs="仿宋"/>
          <w:color w:val="0C0C0C" w:themeColor="text1" w:themeTint="F2"/>
          <w:w w:val="100"/>
          <w:sz w:val="32"/>
          <w:szCs w:val="32"/>
          <w:lang w:eastAsia="zh-CN"/>
        </w:rPr>
      </w:pPr>
      <w:r>
        <w:rPr>
          <w:rFonts w:hint="eastAsia" w:ascii="仿宋_GB2312" w:eastAsia="仿宋_GB2312" w:cs="仿宋"/>
          <w:color w:val="0C0C0C" w:themeColor="text1" w:themeTint="F2"/>
          <w:w w:val="100"/>
          <w:sz w:val="32"/>
          <w:szCs w:val="32"/>
          <w:lang w:eastAsia="zh-CN"/>
        </w:rPr>
        <w:t>　　</w:t>
      </w:r>
    </w:p>
    <w:p>
      <w:pPr>
        <w:keepNext w:val="0"/>
        <w:keepLines w:val="0"/>
        <w:pageBreakBefore w:val="0"/>
        <w:tabs>
          <w:tab w:val="left" w:pos="1560"/>
          <w:tab w:val="left" w:pos="1701"/>
        </w:tabs>
        <w:kinsoku/>
        <w:wordWrap/>
        <w:overflowPunct/>
        <w:topLinePunct w:val="0"/>
        <w:autoSpaceDE/>
        <w:autoSpaceDN/>
        <w:bidi w:val="0"/>
        <w:spacing w:line="560" w:lineRule="exact"/>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lang w:eastAsia="zh-CN"/>
        </w:rPr>
        <w:t>　　</w:t>
      </w:r>
      <w:r>
        <w:rPr>
          <w:rFonts w:hint="eastAsia" w:ascii="仿宋_GB2312" w:eastAsia="仿宋_GB2312" w:cs="仿宋"/>
          <w:color w:val="0C0C0C" w:themeColor="text1" w:themeTint="F2"/>
          <w:w w:val="100"/>
          <w:sz w:val="32"/>
          <w:szCs w:val="32"/>
        </w:rPr>
        <w:t>附表：1.2020年医疗机构国家随机监督抽查工作计划表</w:t>
      </w:r>
    </w:p>
    <w:p>
      <w:pPr>
        <w:keepNext w:val="0"/>
        <w:keepLines w:val="0"/>
        <w:pageBreakBefore w:val="0"/>
        <w:tabs>
          <w:tab w:val="left" w:pos="1720"/>
        </w:tabs>
        <w:kinsoku/>
        <w:wordWrap/>
        <w:overflowPunct/>
        <w:topLinePunct w:val="0"/>
        <w:autoSpaceDE/>
        <w:autoSpaceDN/>
        <w:bidi w:val="0"/>
        <w:spacing w:line="560" w:lineRule="exact"/>
        <w:ind w:firstLine="1600" w:firstLineChars="500"/>
        <w:jc w:val="both"/>
        <w:textAlignment w:val="auto"/>
        <w:outlineLvl w:val="0"/>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rPr>
        <w:t>2.2020年医疗机构国家随机监督抽查汇总表</w:t>
      </w:r>
    </w:p>
    <w:p>
      <w:pPr>
        <w:keepNext w:val="0"/>
        <w:keepLines w:val="0"/>
        <w:pageBreakBefore w:val="0"/>
        <w:tabs>
          <w:tab w:val="left" w:pos="1560"/>
          <w:tab w:val="left" w:pos="1701"/>
        </w:tabs>
        <w:kinsoku/>
        <w:wordWrap/>
        <w:overflowPunct/>
        <w:topLinePunct w:val="0"/>
        <w:autoSpaceDE/>
        <w:autoSpaceDN/>
        <w:bidi w:val="0"/>
        <w:spacing w:line="560" w:lineRule="exact"/>
        <w:jc w:val="both"/>
        <w:textAlignment w:val="auto"/>
        <w:rPr>
          <w:rFonts w:ascii="仿宋_GB2312" w:eastAsia="仿宋_GB2312"/>
          <w:color w:val="0C0C0C" w:themeColor="text1" w:themeTint="F2"/>
          <w:w w:val="100"/>
          <w:sz w:val="32"/>
          <w:szCs w:val="32"/>
        </w:rPr>
      </w:pPr>
      <w:r>
        <w:rPr>
          <w:rFonts w:hint="eastAsia" w:ascii="仿宋_GB2312" w:eastAsia="仿宋_GB2312" w:cs="仿宋"/>
          <w:color w:val="0C0C0C" w:themeColor="text1" w:themeTint="F2"/>
          <w:w w:val="100"/>
          <w:sz w:val="32"/>
          <w:szCs w:val="32"/>
          <w:lang w:eastAsia="zh-CN"/>
        </w:rPr>
        <w:t>　　　　　</w:t>
      </w:r>
      <w:r>
        <w:rPr>
          <w:rFonts w:hint="eastAsia" w:ascii="仿宋_GB2312" w:eastAsia="仿宋_GB2312" w:cs="仿宋"/>
          <w:color w:val="0C0C0C" w:themeColor="text1" w:themeTint="F2"/>
          <w:w w:val="100"/>
          <w:sz w:val="32"/>
          <w:szCs w:val="32"/>
        </w:rPr>
        <w:t xml:space="preserve">3.2020年采供血机构国家随机监督抽查工作计划表 </w:t>
      </w:r>
    </w:p>
    <w:p>
      <w:pPr>
        <w:keepNext w:val="0"/>
        <w:keepLines w:val="0"/>
        <w:pageBreakBefore w:val="0"/>
        <w:tabs>
          <w:tab w:val="left" w:pos="1560"/>
          <w:tab w:val="left" w:pos="1701"/>
        </w:tabs>
        <w:kinsoku/>
        <w:wordWrap/>
        <w:overflowPunct/>
        <w:topLinePunct w:val="0"/>
        <w:autoSpaceDE/>
        <w:autoSpaceDN/>
        <w:bidi w:val="0"/>
        <w:spacing w:line="560" w:lineRule="exact"/>
        <w:ind w:firstLine="1600" w:firstLineChars="500"/>
        <w:jc w:val="both"/>
        <w:textAlignment w:val="auto"/>
        <w:outlineLvl w:val="0"/>
        <w:rPr>
          <w:rFonts w:ascii="仿宋_GB2312" w:eastAsia="仿宋_GB2312"/>
          <w:color w:val="0C0C0C" w:themeColor="text1" w:themeTint="F2"/>
          <w:sz w:val="32"/>
          <w:szCs w:val="32"/>
        </w:rPr>
      </w:pPr>
      <w:r>
        <w:rPr>
          <w:rFonts w:hint="eastAsia" w:ascii="仿宋_GB2312" w:eastAsia="仿宋_GB2312" w:cs="仿宋"/>
          <w:color w:val="0C0C0C" w:themeColor="text1" w:themeTint="F2"/>
          <w:w w:val="100"/>
          <w:sz w:val="32"/>
          <w:szCs w:val="32"/>
        </w:rPr>
        <w:t>4.2020年采供血机构国家随机监督抽查汇总</w:t>
      </w:r>
      <w:r>
        <w:rPr>
          <w:rFonts w:hint="eastAsia" w:ascii="仿宋_GB2312" w:eastAsia="仿宋_GB2312" w:cs="仿宋"/>
          <w:color w:val="0C0C0C" w:themeColor="text1" w:themeTint="F2"/>
          <w:sz w:val="32"/>
          <w:szCs w:val="32"/>
        </w:rPr>
        <w:t>表</w:t>
      </w:r>
    </w:p>
    <w:p>
      <w:pPr>
        <w:tabs>
          <w:tab w:val="left" w:pos="1560"/>
          <w:tab w:val="left" w:pos="1701"/>
        </w:tabs>
        <w:spacing w:line="560" w:lineRule="exact"/>
        <w:rPr>
          <w:rFonts w:ascii="仿宋_GB2312" w:eastAsia="仿宋_GB2312"/>
          <w:color w:val="0C0C0C" w:themeColor="text1" w:themeTint="F2"/>
          <w:w w:val="98"/>
          <w:sz w:val="32"/>
          <w:szCs w:val="32"/>
        </w:rPr>
        <w:sectPr>
          <w:pgSz w:w="11906" w:h="16838"/>
          <w:pgMar w:top="1701" w:right="1417" w:bottom="1417" w:left="1701" w:header="851" w:footer="992" w:gutter="0"/>
          <w:pgNumType w:fmt="decimal"/>
          <w:cols w:space="0" w:num="1"/>
          <w:rtlGutter w:val="0"/>
          <w:docGrid w:type="lines" w:linePitch="312" w:charSpace="0"/>
        </w:sectPr>
      </w:pPr>
    </w:p>
    <w:p>
      <w:pPr>
        <w:widowControl/>
        <w:spacing w:line="360" w:lineRule="auto"/>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 xml:space="preserve">附表1                   </w:t>
      </w:r>
    </w:p>
    <w:p>
      <w:pPr>
        <w:spacing w:line="360" w:lineRule="auto"/>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2020年医疗机构国家随机监督抽查工作计划表</w:t>
      </w:r>
    </w:p>
    <w:tbl>
      <w:tblPr>
        <w:tblStyle w:val="7"/>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序号</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监督检查对象</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抽检比例</w:t>
            </w:r>
          </w:p>
        </w:tc>
        <w:tc>
          <w:tcPr>
            <w:tcW w:w="77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检查内容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医院（含中医院）</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12%</w:t>
            </w:r>
          </w:p>
        </w:tc>
        <w:tc>
          <w:tcPr>
            <w:tcW w:w="77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r>
              <w:rPr>
                <w:rFonts w:hint="eastAsia" w:ascii="仿宋_GB2312" w:eastAsia="仿宋_GB2312"/>
                <w:color w:val="0C0C0C" w:themeColor="text1" w:themeTint="F2"/>
                <w:sz w:val="24"/>
                <w:szCs w:val="24"/>
              </w:rPr>
              <w:t>医疗机构资质（《医疗机构执业许可证》、人员资格、诊疗活动、健康体检）管理情况；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2.</w:t>
            </w:r>
            <w:r>
              <w:rPr>
                <w:rFonts w:hint="eastAsia" w:ascii="仿宋_GB2312" w:eastAsia="仿宋_GB2312"/>
                <w:color w:val="0C0C0C" w:themeColor="text1" w:themeTint="F2"/>
                <w:sz w:val="24"/>
                <w:szCs w:val="24"/>
              </w:rPr>
              <w:t>卫生技术人员（医师、外国医师、香港澳门医师、台湾医师、乡村医生、药师、护士、医技人员）管理情况；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3.</w:t>
            </w:r>
            <w:r>
              <w:rPr>
                <w:rFonts w:hint="eastAsia" w:ascii="仿宋_GB2312" w:eastAsia="仿宋_GB2312"/>
                <w:color w:val="0C0C0C" w:themeColor="text1" w:themeTint="F2"/>
                <w:sz w:val="24"/>
                <w:szCs w:val="24"/>
              </w:rPr>
              <w:t>药品和医疗器械（麻醉药品、精神药品、抗菌药物、医疗器械）管理情况；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4.</w:t>
            </w:r>
            <w:r>
              <w:rPr>
                <w:rFonts w:hint="eastAsia" w:ascii="仿宋_GB2312" w:eastAsia="仿宋_GB2312"/>
                <w:color w:val="0C0C0C" w:themeColor="text1" w:themeTint="F2"/>
                <w:sz w:val="24"/>
                <w:szCs w:val="24"/>
              </w:rPr>
              <w:t>医疗技术（医疗美容、临床基因扩增、干细胞临床研究、临床研究项目）管理情况；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5.</w:t>
            </w:r>
            <w:r>
              <w:rPr>
                <w:rFonts w:hint="eastAsia" w:ascii="仿宋_GB2312" w:eastAsia="仿宋_GB2312"/>
                <w:color w:val="0C0C0C" w:themeColor="text1" w:themeTint="F2"/>
                <w:sz w:val="24"/>
                <w:szCs w:val="24"/>
              </w:rPr>
              <w:t>医疗文书（处方、病历、医学证明文件）管理情况；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6.</w:t>
            </w:r>
            <w:r>
              <w:rPr>
                <w:rFonts w:hint="eastAsia" w:ascii="仿宋_GB2312" w:eastAsia="仿宋_GB2312"/>
                <w:color w:val="0C0C0C" w:themeColor="text1" w:themeTint="F2"/>
                <w:sz w:val="24"/>
                <w:szCs w:val="24"/>
              </w:rPr>
              <w:t>临床用血（用血来源、管理组织和制度，血液储存，应急用血采血）管理情况。</w:t>
            </w:r>
          </w:p>
        </w:tc>
        <w:tc>
          <w:tcPr>
            <w:tcW w:w="16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2</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社区卫生服务机构</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5%</w:t>
            </w:r>
          </w:p>
        </w:tc>
        <w:tc>
          <w:tcPr>
            <w:tcW w:w="7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3</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卫生院</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7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4</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村卫生室（所）</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7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5</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其他医疗机构</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77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r>
    </w:tbl>
    <w:p>
      <w:pPr>
        <w:spacing w:line="500" w:lineRule="exact"/>
        <w:rPr>
          <w:rFonts w:ascii="仿宋_GB2312" w:eastAsia="仿宋_GB2312"/>
          <w:color w:val="0C0C0C" w:themeColor="text1" w:themeTint="F2"/>
          <w:sz w:val="32"/>
          <w:szCs w:val="32"/>
        </w:rPr>
      </w:pPr>
    </w:p>
    <w:p>
      <w:pPr>
        <w:spacing w:line="500" w:lineRule="exact"/>
        <w:rPr>
          <w:rFonts w:ascii="仿宋_GB2312" w:eastAsia="仿宋_GB2312"/>
          <w:color w:val="0C0C0C" w:themeColor="text1" w:themeTint="F2"/>
          <w:sz w:val="32"/>
          <w:szCs w:val="32"/>
        </w:rPr>
      </w:pPr>
    </w:p>
    <w:p>
      <w:pPr>
        <w:spacing w:line="500" w:lineRule="exact"/>
        <w:rPr>
          <w:rFonts w:ascii="仿宋_GB2312" w:eastAsia="仿宋_GB2312"/>
          <w:color w:val="0C0C0C" w:themeColor="text1" w:themeTint="F2"/>
          <w:sz w:val="32"/>
          <w:szCs w:val="32"/>
        </w:rPr>
      </w:pPr>
    </w:p>
    <w:p>
      <w:pPr>
        <w:spacing w:line="500" w:lineRule="exact"/>
        <w:rPr>
          <w:rFonts w:hint="eastAsia" w:ascii="黑体" w:hAnsi="黑体" w:eastAsia="黑体" w:cs="黑体"/>
          <w:b/>
          <w:bCs/>
          <w:color w:val="0C0C0C" w:themeColor="text1" w:themeTint="F2"/>
          <w:sz w:val="32"/>
          <w:szCs w:val="32"/>
        </w:rPr>
      </w:pPr>
      <w:r>
        <w:rPr>
          <w:rFonts w:hint="eastAsia" w:ascii="黑体" w:hAnsi="黑体" w:eastAsia="黑体" w:cs="黑体"/>
          <w:color w:val="0C0C0C" w:themeColor="text1" w:themeTint="F2"/>
          <w:sz w:val="32"/>
          <w:szCs w:val="32"/>
        </w:rPr>
        <w:t>附表2</w:t>
      </w:r>
    </w:p>
    <w:p>
      <w:pPr>
        <w:spacing w:line="500" w:lineRule="exact"/>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2020年医疗机构国家随机监督抽查汇总表</w:t>
      </w:r>
    </w:p>
    <w:tbl>
      <w:tblPr>
        <w:tblStyle w:val="7"/>
        <w:tblpPr w:leftFromText="180" w:rightFromText="180" w:vertAnchor="text" w:horzAnchor="page" w:tblpX="1034" w:tblpY="165"/>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
        <w:gridCol w:w="284"/>
        <w:gridCol w:w="353"/>
        <w:gridCol w:w="665"/>
        <w:gridCol w:w="523"/>
        <w:gridCol w:w="421"/>
        <w:gridCol w:w="421"/>
        <w:gridCol w:w="421"/>
        <w:gridCol w:w="643"/>
        <w:gridCol w:w="422"/>
        <w:gridCol w:w="422"/>
        <w:gridCol w:w="422"/>
        <w:gridCol w:w="424"/>
        <w:gridCol w:w="422"/>
        <w:gridCol w:w="422"/>
        <w:gridCol w:w="422"/>
        <w:gridCol w:w="422"/>
        <w:gridCol w:w="422"/>
        <w:gridCol w:w="422"/>
        <w:gridCol w:w="422"/>
        <w:gridCol w:w="422"/>
        <w:gridCol w:w="423"/>
        <w:gridCol w:w="422"/>
        <w:gridCol w:w="422"/>
        <w:gridCol w:w="423"/>
        <w:gridCol w:w="422"/>
        <w:gridCol w:w="422"/>
        <w:gridCol w:w="422"/>
        <w:gridCol w:w="423"/>
        <w:gridCol w:w="298"/>
        <w:gridCol w:w="284"/>
        <w:gridCol w:w="283"/>
        <w:gridCol w:w="284"/>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1" w:type="dxa"/>
            <w:vMerge w:val="restart"/>
            <w:vAlign w:val="center"/>
          </w:tcPr>
          <w:p>
            <w:pPr>
              <w:spacing w:before="100" w:beforeAutospacing="1" w:after="100" w:afterAutospacing="1" w:line="240" w:lineRule="exact"/>
              <w:ind w:left="323" w:hanging="323" w:hangingChars="202"/>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单位</w:t>
            </w:r>
          </w:p>
          <w:p>
            <w:pPr>
              <w:spacing w:before="100" w:beforeAutospacing="1" w:after="100" w:afterAutospacing="1" w:line="240" w:lineRule="exact"/>
              <w:ind w:left="323" w:hanging="323" w:hangingChars="202"/>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类别</w:t>
            </w:r>
          </w:p>
        </w:tc>
        <w:tc>
          <w:tcPr>
            <w:tcW w:w="283" w:type="dxa"/>
            <w:vMerge w:val="restart"/>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辖区内单位总数</w:t>
            </w:r>
          </w:p>
        </w:tc>
        <w:tc>
          <w:tcPr>
            <w:tcW w:w="284" w:type="dxa"/>
            <w:vMerge w:val="restart"/>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检查单位数</w:t>
            </w:r>
          </w:p>
        </w:tc>
        <w:tc>
          <w:tcPr>
            <w:tcW w:w="11892" w:type="dxa"/>
            <w:gridSpan w:val="27"/>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不合格情况</w:t>
            </w:r>
          </w:p>
        </w:tc>
        <w:tc>
          <w:tcPr>
            <w:tcW w:w="1540" w:type="dxa"/>
            <w:gridSpan w:val="5"/>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51" w:type="dxa"/>
            <w:vMerge w:val="continue"/>
            <w:vAlign w:val="center"/>
          </w:tcPr>
          <w:p>
            <w:pPr>
              <w:rPr>
                <w:color w:val="0C0C0C" w:themeColor="text1" w:themeTint="F2"/>
              </w:rPr>
            </w:pPr>
          </w:p>
        </w:tc>
        <w:tc>
          <w:tcPr>
            <w:tcW w:w="283" w:type="dxa"/>
            <w:vMerge w:val="continue"/>
            <w:vAlign w:val="center"/>
          </w:tcPr>
          <w:p>
            <w:pPr>
              <w:rPr>
                <w:color w:val="0C0C0C" w:themeColor="text1" w:themeTint="F2"/>
              </w:rPr>
            </w:pPr>
          </w:p>
        </w:tc>
        <w:tc>
          <w:tcPr>
            <w:tcW w:w="284" w:type="dxa"/>
            <w:vMerge w:val="continue"/>
            <w:vAlign w:val="center"/>
          </w:tcPr>
          <w:p>
            <w:pPr>
              <w:rPr>
                <w:color w:val="0C0C0C" w:themeColor="text1" w:themeTint="F2"/>
              </w:rPr>
            </w:pPr>
          </w:p>
        </w:tc>
        <w:tc>
          <w:tcPr>
            <w:tcW w:w="1962" w:type="dxa"/>
            <w:gridSpan w:val="4"/>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医疗机构资质管理</w:t>
            </w:r>
          </w:p>
        </w:tc>
        <w:tc>
          <w:tcPr>
            <w:tcW w:w="3175" w:type="dxa"/>
            <w:gridSpan w:val="7"/>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医务人员管理</w:t>
            </w:r>
          </w:p>
        </w:tc>
        <w:tc>
          <w:tcPr>
            <w:tcW w:w="1266" w:type="dxa"/>
            <w:gridSpan w:val="3"/>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药品和医疗器械管理</w:t>
            </w:r>
          </w:p>
        </w:tc>
        <w:tc>
          <w:tcPr>
            <w:tcW w:w="2533" w:type="dxa"/>
            <w:gridSpan w:val="6"/>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医疗技术管理</w:t>
            </w:r>
          </w:p>
        </w:tc>
        <w:tc>
          <w:tcPr>
            <w:tcW w:w="1267" w:type="dxa"/>
            <w:gridSpan w:val="3"/>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医疗文书管理</w:t>
            </w:r>
          </w:p>
        </w:tc>
        <w:tc>
          <w:tcPr>
            <w:tcW w:w="1689" w:type="dxa"/>
            <w:gridSpan w:val="4"/>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临床用血管理</w:t>
            </w:r>
          </w:p>
        </w:tc>
        <w:tc>
          <w:tcPr>
            <w:tcW w:w="298" w:type="dxa"/>
            <w:vMerge w:val="restart"/>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查处案件数</w:t>
            </w:r>
          </w:p>
        </w:tc>
        <w:tc>
          <w:tcPr>
            <w:tcW w:w="284" w:type="dxa"/>
            <w:vMerge w:val="restart"/>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罚没款金额（万元）</w:t>
            </w:r>
          </w:p>
        </w:tc>
        <w:tc>
          <w:tcPr>
            <w:tcW w:w="283" w:type="dxa"/>
            <w:vMerge w:val="restart"/>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吊销《医疗机构执业许可证》单位数</w:t>
            </w:r>
          </w:p>
        </w:tc>
        <w:tc>
          <w:tcPr>
            <w:tcW w:w="284" w:type="dxa"/>
            <w:vMerge w:val="restart"/>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吊销诊疗科目单位数</w:t>
            </w:r>
          </w:p>
        </w:tc>
        <w:tc>
          <w:tcPr>
            <w:tcW w:w="391" w:type="dxa"/>
            <w:vMerge w:val="restart"/>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吊销《医师执业证书》医师数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51" w:type="dxa"/>
            <w:vMerge w:val="continue"/>
            <w:vAlign w:val="center"/>
          </w:tcPr>
          <w:p>
            <w:pPr>
              <w:rPr>
                <w:color w:val="0C0C0C" w:themeColor="text1" w:themeTint="F2"/>
              </w:rPr>
            </w:pPr>
          </w:p>
        </w:tc>
        <w:tc>
          <w:tcPr>
            <w:tcW w:w="283" w:type="dxa"/>
            <w:vMerge w:val="continue"/>
            <w:vAlign w:val="center"/>
          </w:tcPr>
          <w:p>
            <w:pPr>
              <w:rPr>
                <w:color w:val="0C0C0C" w:themeColor="text1" w:themeTint="F2"/>
              </w:rPr>
            </w:pPr>
          </w:p>
        </w:tc>
        <w:tc>
          <w:tcPr>
            <w:tcW w:w="284" w:type="dxa"/>
            <w:vMerge w:val="continue"/>
            <w:vAlign w:val="center"/>
          </w:tcPr>
          <w:p>
            <w:pPr>
              <w:rPr>
                <w:color w:val="0C0C0C" w:themeColor="text1" w:themeTint="F2"/>
              </w:rPr>
            </w:pPr>
          </w:p>
        </w:tc>
        <w:tc>
          <w:tcPr>
            <w:tcW w:w="353"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执业许可证管理不符合要求单位数</w:t>
            </w:r>
          </w:p>
        </w:tc>
        <w:tc>
          <w:tcPr>
            <w:tcW w:w="665"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人员资格管理（未使用非卫生技术人员）不符合要求单位数</w:t>
            </w:r>
          </w:p>
        </w:tc>
        <w:tc>
          <w:tcPr>
            <w:tcW w:w="523"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医疗机构诊疗活动管理不符合要求单位数</w:t>
            </w:r>
          </w:p>
        </w:tc>
        <w:tc>
          <w:tcPr>
            <w:tcW w:w="421"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健康体检管理不符合要求单位数</w:t>
            </w:r>
          </w:p>
        </w:tc>
        <w:tc>
          <w:tcPr>
            <w:tcW w:w="421"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医师管理不符合要求单位数</w:t>
            </w:r>
          </w:p>
        </w:tc>
        <w:tc>
          <w:tcPr>
            <w:tcW w:w="421"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外国医师管理不符合要求单位数</w:t>
            </w:r>
          </w:p>
        </w:tc>
        <w:tc>
          <w:tcPr>
            <w:tcW w:w="643"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香港、澳门特别行政区医师管理不符合要求单位数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台湾医师管理不符合要求单位数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乡村医生管理不符合要求单位数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护士管理不符合要求单位数</w:t>
            </w:r>
          </w:p>
        </w:tc>
        <w:tc>
          <w:tcPr>
            <w:tcW w:w="424"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医技人员管理不符合要求单位数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麻醉药品和精神药品管理不符合要求单位数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抗菌药物管理不符合要求单位数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医疗器械管理不符合要求单位数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禁止临床应用技术管理不符合要求单位数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限制临床应用技术管理不符合要求单位数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医疗美容管理不符合要求单位数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临床基因扩增管理不符合要求单位数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干细胞临床研究管理不符合要求单位数</w:t>
            </w:r>
          </w:p>
        </w:tc>
        <w:tc>
          <w:tcPr>
            <w:tcW w:w="423"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临床研究管理不符合要求单位数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处方管理不符合要求单位数</w:t>
            </w:r>
          </w:p>
        </w:tc>
        <w:tc>
          <w:tcPr>
            <w:tcW w:w="422"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病历管理不符合要求单位数</w:t>
            </w:r>
          </w:p>
        </w:tc>
        <w:tc>
          <w:tcPr>
            <w:tcW w:w="423" w:type="dxa"/>
            <w:vAlign w:val="center"/>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医学证明文件管理不符合要求单位数</w:t>
            </w:r>
          </w:p>
        </w:tc>
        <w:tc>
          <w:tcPr>
            <w:tcW w:w="422" w:type="dxa"/>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用血来源管理不符合要求单位数</w:t>
            </w:r>
          </w:p>
        </w:tc>
        <w:tc>
          <w:tcPr>
            <w:tcW w:w="422" w:type="dxa"/>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血液储存管理不符合要求的单位数</w:t>
            </w:r>
          </w:p>
        </w:tc>
        <w:tc>
          <w:tcPr>
            <w:tcW w:w="422" w:type="dxa"/>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用血管理组织和制度不符合要求单位数</w:t>
            </w:r>
          </w:p>
        </w:tc>
        <w:tc>
          <w:tcPr>
            <w:tcW w:w="423" w:type="dxa"/>
          </w:tcPr>
          <w:p>
            <w:pPr>
              <w:spacing w:before="100" w:beforeAutospacing="1" w:after="100" w:afterAutospacing="1" w:line="16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应急用血采血管理不符合要求单位数</w:t>
            </w:r>
          </w:p>
        </w:tc>
        <w:tc>
          <w:tcPr>
            <w:tcW w:w="298" w:type="dxa"/>
            <w:vMerge w:val="continue"/>
            <w:vAlign w:val="center"/>
          </w:tcPr>
          <w:p>
            <w:pPr>
              <w:rPr>
                <w:color w:val="0C0C0C" w:themeColor="text1" w:themeTint="F2"/>
              </w:rPr>
            </w:pPr>
          </w:p>
        </w:tc>
        <w:tc>
          <w:tcPr>
            <w:tcW w:w="284" w:type="dxa"/>
            <w:vMerge w:val="continue"/>
            <w:vAlign w:val="center"/>
          </w:tcPr>
          <w:p>
            <w:pPr>
              <w:rPr>
                <w:color w:val="0C0C0C" w:themeColor="text1" w:themeTint="F2"/>
              </w:rPr>
            </w:pPr>
          </w:p>
        </w:tc>
        <w:tc>
          <w:tcPr>
            <w:tcW w:w="283" w:type="dxa"/>
            <w:vMerge w:val="continue"/>
            <w:vAlign w:val="center"/>
          </w:tcPr>
          <w:p>
            <w:pPr>
              <w:rPr>
                <w:color w:val="0C0C0C" w:themeColor="text1" w:themeTint="F2"/>
              </w:rPr>
            </w:pPr>
          </w:p>
        </w:tc>
        <w:tc>
          <w:tcPr>
            <w:tcW w:w="284" w:type="dxa"/>
            <w:vMerge w:val="continue"/>
            <w:vAlign w:val="center"/>
          </w:tcPr>
          <w:p>
            <w:pPr>
              <w:rPr>
                <w:color w:val="0C0C0C" w:themeColor="text1" w:themeTint="F2"/>
              </w:rPr>
            </w:pPr>
          </w:p>
        </w:tc>
        <w:tc>
          <w:tcPr>
            <w:tcW w:w="391" w:type="dxa"/>
            <w:vMerge w:val="continue"/>
          </w:tcPr>
          <w:p>
            <w:pP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5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医院（含中医院）</w:t>
            </w:r>
          </w:p>
        </w:tc>
        <w:tc>
          <w:tcPr>
            <w:tcW w:w="28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35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665"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52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64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3"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98"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391" w:type="dxa"/>
          </w:tcPr>
          <w:p>
            <w:pPr>
              <w:spacing w:before="100" w:beforeAutospacing="1" w:after="100" w:afterAutospacing="1" w:line="240" w:lineRule="exact"/>
              <w:jc w:val="center"/>
              <w:rPr>
                <w:rFonts w:ascii="仿宋_GB2312" w:eastAsia="仿宋_GB2312"/>
                <w:color w:val="0C0C0C" w:themeColor="text1" w:themeTint="F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社区卫生服务机构</w:t>
            </w:r>
          </w:p>
        </w:tc>
        <w:tc>
          <w:tcPr>
            <w:tcW w:w="28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35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665"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52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64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423" w:type="dxa"/>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98"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3"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p>
        </w:tc>
        <w:tc>
          <w:tcPr>
            <w:tcW w:w="391" w:type="dxa"/>
          </w:tcPr>
          <w:p>
            <w:pPr>
              <w:spacing w:before="100" w:beforeAutospacing="1" w:after="100" w:afterAutospacing="1" w:line="240" w:lineRule="exact"/>
              <w:jc w:val="center"/>
              <w:rPr>
                <w:rFonts w:ascii="仿宋_GB2312" w:eastAsia="仿宋_GB2312"/>
                <w:color w:val="0C0C0C" w:themeColor="text1" w:themeTint="F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卫生院</w:t>
            </w: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5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65"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5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4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tcPr>
          <w:p>
            <w:pPr>
              <w:spacing w:before="100" w:beforeAutospacing="1" w:after="100" w:afterAutospacing="1" w:line="240" w:lineRule="exact"/>
              <w:rPr>
                <w:rFonts w:ascii="仿宋_GB2312" w:eastAsia="仿宋_GB2312"/>
                <w:color w:val="0C0C0C" w:themeColor="text1" w:themeTint="F2"/>
                <w:sz w:val="16"/>
                <w:szCs w:val="16"/>
              </w:rPr>
            </w:pPr>
          </w:p>
        </w:tc>
        <w:tc>
          <w:tcPr>
            <w:tcW w:w="298"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91" w:type="dxa"/>
          </w:tcPr>
          <w:p>
            <w:pPr>
              <w:spacing w:before="100" w:beforeAutospacing="1" w:after="100" w:afterAutospacing="1" w:line="240" w:lineRule="exact"/>
              <w:rPr>
                <w:rFonts w:ascii="仿宋_GB2312" w:eastAsia="仿宋_GB2312"/>
                <w:color w:val="0C0C0C" w:themeColor="text1" w:themeTint="F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村卫生室（所）</w:t>
            </w: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5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65"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5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4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tcPr>
          <w:p>
            <w:pPr>
              <w:spacing w:before="100" w:beforeAutospacing="1" w:after="100" w:afterAutospacing="1" w:line="240" w:lineRule="exact"/>
              <w:rPr>
                <w:rFonts w:ascii="仿宋_GB2312" w:eastAsia="仿宋_GB2312"/>
                <w:color w:val="0C0C0C" w:themeColor="text1" w:themeTint="F2"/>
                <w:sz w:val="16"/>
                <w:szCs w:val="16"/>
              </w:rPr>
            </w:pPr>
          </w:p>
        </w:tc>
        <w:tc>
          <w:tcPr>
            <w:tcW w:w="298"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91" w:type="dxa"/>
          </w:tcPr>
          <w:p>
            <w:pPr>
              <w:spacing w:before="100" w:beforeAutospacing="1" w:after="100" w:afterAutospacing="1" w:line="240" w:lineRule="exact"/>
              <w:rPr>
                <w:rFonts w:ascii="仿宋_GB2312" w:eastAsia="仿宋_GB2312"/>
                <w:color w:val="0C0C0C" w:themeColor="text1" w:themeTint="F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其他医疗机构</w:t>
            </w: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5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65"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5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4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tcPr>
          <w:p>
            <w:pPr>
              <w:spacing w:before="100" w:beforeAutospacing="1" w:after="100" w:afterAutospacing="1" w:line="240" w:lineRule="exact"/>
              <w:rPr>
                <w:rFonts w:ascii="仿宋_GB2312" w:eastAsia="仿宋_GB2312"/>
                <w:color w:val="0C0C0C" w:themeColor="text1" w:themeTint="F2"/>
                <w:sz w:val="16"/>
                <w:szCs w:val="16"/>
              </w:rPr>
            </w:pPr>
          </w:p>
        </w:tc>
        <w:tc>
          <w:tcPr>
            <w:tcW w:w="298"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91" w:type="dxa"/>
          </w:tcPr>
          <w:p>
            <w:pPr>
              <w:spacing w:before="100" w:beforeAutospacing="1" w:after="100" w:afterAutospacing="1" w:line="240" w:lineRule="exact"/>
              <w:rPr>
                <w:rFonts w:ascii="仿宋_GB2312" w:eastAsia="仿宋_GB2312"/>
                <w:color w:val="0C0C0C" w:themeColor="text1" w:themeTint="F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1" w:type="dxa"/>
            <w:vAlign w:val="center"/>
          </w:tcPr>
          <w:p>
            <w:pPr>
              <w:spacing w:before="100" w:beforeAutospacing="1" w:after="100" w:afterAutospacing="1" w:line="240" w:lineRule="exact"/>
              <w:jc w:val="center"/>
              <w:rPr>
                <w:rFonts w:ascii="仿宋_GB2312" w:eastAsia="仿宋_GB2312"/>
                <w:color w:val="0C0C0C" w:themeColor="text1" w:themeTint="F2"/>
                <w:sz w:val="16"/>
                <w:szCs w:val="16"/>
              </w:rPr>
            </w:pPr>
            <w:r>
              <w:rPr>
                <w:rFonts w:hint="eastAsia" w:ascii="仿宋_GB2312" w:eastAsia="仿宋_GB2312"/>
                <w:color w:val="0C0C0C" w:themeColor="text1" w:themeTint="F2"/>
                <w:sz w:val="16"/>
                <w:szCs w:val="16"/>
              </w:rPr>
              <w:t>合计</w:t>
            </w: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5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65"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5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1"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64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2" w:type="dxa"/>
          </w:tcPr>
          <w:p>
            <w:pPr>
              <w:spacing w:before="100" w:beforeAutospacing="1" w:after="100" w:afterAutospacing="1" w:line="240" w:lineRule="exact"/>
              <w:rPr>
                <w:rFonts w:ascii="仿宋_GB2312" w:eastAsia="仿宋_GB2312"/>
                <w:color w:val="0C0C0C" w:themeColor="text1" w:themeTint="F2"/>
                <w:sz w:val="16"/>
                <w:szCs w:val="16"/>
              </w:rPr>
            </w:pPr>
          </w:p>
        </w:tc>
        <w:tc>
          <w:tcPr>
            <w:tcW w:w="423" w:type="dxa"/>
          </w:tcPr>
          <w:p>
            <w:pPr>
              <w:spacing w:before="100" w:beforeAutospacing="1" w:after="100" w:afterAutospacing="1" w:line="240" w:lineRule="exact"/>
              <w:rPr>
                <w:rFonts w:ascii="仿宋_GB2312" w:eastAsia="仿宋_GB2312"/>
                <w:color w:val="0C0C0C" w:themeColor="text1" w:themeTint="F2"/>
                <w:sz w:val="16"/>
                <w:szCs w:val="16"/>
              </w:rPr>
            </w:pPr>
          </w:p>
        </w:tc>
        <w:tc>
          <w:tcPr>
            <w:tcW w:w="298"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3"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284" w:type="dxa"/>
            <w:vAlign w:val="center"/>
          </w:tcPr>
          <w:p>
            <w:pPr>
              <w:spacing w:before="100" w:beforeAutospacing="1" w:after="100" w:afterAutospacing="1" w:line="240" w:lineRule="exact"/>
              <w:rPr>
                <w:rFonts w:ascii="仿宋_GB2312" w:eastAsia="仿宋_GB2312"/>
                <w:color w:val="0C0C0C" w:themeColor="text1" w:themeTint="F2"/>
                <w:sz w:val="16"/>
                <w:szCs w:val="16"/>
              </w:rPr>
            </w:pPr>
          </w:p>
        </w:tc>
        <w:tc>
          <w:tcPr>
            <w:tcW w:w="391" w:type="dxa"/>
          </w:tcPr>
          <w:p>
            <w:pPr>
              <w:spacing w:before="100" w:beforeAutospacing="1" w:after="100" w:afterAutospacing="1" w:line="240" w:lineRule="exact"/>
              <w:rPr>
                <w:rFonts w:ascii="仿宋_GB2312" w:eastAsia="仿宋_GB2312"/>
                <w:color w:val="0C0C0C" w:themeColor="text1" w:themeTint="F2"/>
                <w:sz w:val="16"/>
                <w:szCs w:val="16"/>
              </w:rPr>
            </w:pPr>
          </w:p>
        </w:tc>
      </w:tr>
    </w:tbl>
    <w:p>
      <w:pPr>
        <w:spacing w:line="360" w:lineRule="auto"/>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 xml:space="preserve">附表3               </w:t>
      </w:r>
    </w:p>
    <w:p>
      <w:pPr>
        <w:spacing w:line="360" w:lineRule="auto"/>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2020年采供血机构国家随机监督抽查工作计划表</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559"/>
        <w:gridCol w:w="737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序号</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监督检查对象</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抽检比例</w:t>
            </w:r>
          </w:p>
        </w:tc>
        <w:tc>
          <w:tcPr>
            <w:tcW w:w="7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检查内容</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一般血站</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73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r>
              <w:rPr>
                <w:rFonts w:hint="eastAsia" w:ascii="仿宋_GB2312" w:eastAsia="仿宋_GB2312"/>
                <w:color w:val="0C0C0C" w:themeColor="text1" w:themeTint="F2"/>
                <w:sz w:val="24"/>
                <w:szCs w:val="24"/>
              </w:rPr>
              <w:t>资质管理：按照许可范围开展工作；从业人员取得相关岗位执业资格或者执业注册而从事血液安全工作；使用符合国家规定的耗材；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2.</w:t>
            </w:r>
            <w:r>
              <w:rPr>
                <w:rFonts w:hint="eastAsia" w:ascii="仿宋_GB2312" w:eastAsia="仿宋_GB2312"/>
                <w:color w:val="0C0C0C" w:themeColor="text1" w:themeTint="F2"/>
                <w:sz w:val="24"/>
                <w:szCs w:val="24"/>
              </w:rPr>
              <w:t>血源管理：按规定对献血者、供血浆者进行身份核实、健康征询和体检；按要求检测新浆员和间隔</w:t>
            </w:r>
            <w:r>
              <w:rPr>
                <w:rFonts w:hint="eastAsia" w:ascii="仿宋_GB2312" w:eastAsia="仿宋_GB2312" w:cs="??_GB2312"/>
                <w:color w:val="0C0C0C" w:themeColor="text1" w:themeTint="F2"/>
                <w:sz w:val="24"/>
                <w:szCs w:val="24"/>
              </w:rPr>
              <w:t xml:space="preserve">180 </w:t>
            </w:r>
            <w:r>
              <w:rPr>
                <w:rFonts w:hint="eastAsia" w:ascii="仿宋_GB2312" w:eastAsia="仿宋_GB2312"/>
                <w:color w:val="0C0C0C" w:themeColor="text1" w:themeTint="F2"/>
                <w:sz w:val="24"/>
                <w:szCs w:val="24"/>
              </w:rPr>
              <w:t>天的浆员的血浆；未超量、频繁采集血液（浆）；未采集冒名顶替者、健康检查不合格者血液（血浆）；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3.</w:t>
            </w:r>
            <w:r>
              <w:rPr>
                <w:rFonts w:hint="eastAsia" w:ascii="仿宋_GB2312" w:eastAsia="仿宋_GB2312"/>
                <w:color w:val="0C0C0C" w:themeColor="text1" w:themeTint="F2"/>
                <w:sz w:val="24"/>
                <w:szCs w:val="24"/>
              </w:rPr>
              <w:t>血液检测：血液（浆）检测项目齐全；按规定保存血液标本；按规定保存工作记录；对检测不合格或者报废的血液（浆），按有关规定处理；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4.</w:t>
            </w:r>
            <w:r>
              <w:rPr>
                <w:rFonts w:hint="eastAsia" w:ascii="仿宋_GB2312" w:eastAsia="仿宋_GB2312"/>
                <w:color w:val="0C0C0C" w:themeColor="text1" w:themeTint="F2"/>
                <w:sz w:val="24"/>
                <w:szCs w:val="24"/>
              </w:rPr>
              <w:t>包装储存运输：包装、储存、运输符合国家规定的卫生标准和要求；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5.</w:t>
            </w:r>
            <w:r>
              <w:rPr>
                <w:rFonts w:hint="eastAsia" w:ascii="仿宋_GB2312" w:eastAsia="仿宋_GB2312"/>
                <w:color w:val="0C0C0C" w:themeColor="text1" w:themeTint="F2"/>
                <w:sz w:val="24"/>
                <w:szCs w:val="24"/>
              </w:rPr>
              <w:t>其它：未非法采集、供应、倒卖血液、血浆。</w:t>
            </w:r>
          </w:p>
        </w:tc>
        <w:tc>
          <w:tcPr>
            <w:tcW w:w="15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2</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特殊血站</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73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15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3</w:t>
            </w:r>
          </w:p>
        </w:tc>
        <w:tc>
          <w:tcPr>
            <w:tcW w:w="26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单采血浆站</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73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c>
          <w:tcPr>
            <w:tcW w:w="159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color w:val="0C0C0C" w:themeColor="text1" w:themeTint="F2"/>
              </w:rPr>
            </w:pPr>
          </w:p>
        </w:tc>
      </w:tr>
    </w:tbl>
    <w:p>
      <w:pPr>
        <w:spacing w:line="360" w:lineRule="auto"/>
        <w:rPr>
          <w:rFonts w:ascii="仿宋_GB2312" w:eastAsia="仿宋_GB2312"/>
          <w:color w:val="0C0C0C" w:themeColor="text1" w:themeTint="F2"/>
          <w:sz w:val="22"/>
          <w:szCs w:val="22"/>
        </w:rPr>
      </w:pPr>
    </w:p>
    <w:p>
      <w:pPr>
        <w:spacing w:line="360" w:lineRule="auto"/>
        <w:rPr>
          <w:rFonts w:ascii="仿宋_GB2312" w:eastAsia="仿宋_GB2312"/>
          <w:color w:val="0C0C0C" w:themeColor="text1" w:themeTint="F2"/>
          <w:sz w:val="22"/>
          <w:szCs w:val="22"/>
        </w:rPr>
      </w:pPr>
    </w:p>
    <w:p>
      <w:pPr>
        <w:widowControl/>
        <w:spacing w:line="360" w:lineRule="auto"/>
        <w:jc w:val="left"/>
        <w:rPr>
          <w:rFonts w:ascii="仿宋_GB2312" w:eastAsia="仿宋_GB2312"/>
          <w:color w:val="0C0C0C" w:themeColor="text1" w:themeTint="F2"/>
          <w:sz w:val="22"/>
          <w:szCs w:val="22"/>
        </w:rPr>
      </w:pPr>
    </w:p>
    <w:p>
      <w:pPr>
        <w:widowControl/>
        <w:spacing w:line="360" w:lineRule="auto"/>
        <w:jc w:val="left"/>
        <w:rPr>
          <w:rFonts w:ascii="仿宋_GB2312" w:eastAsia="仿宋_GB2312"/>
          <w:color w:val="0C0C0C" w:themeColor="text1" w:themeTint="F2"/>
          <w:sz w:val="22"/>
          <w:szCs w:val="22"/>
        </w:rPr>
      </w:pPr>
    </w:p>
    <w:p>
      <w:pPr>
        <w:widowControl/>
        <w:spacing w:line="360" w:lineRule="auto"/>
        <w:jc w:val="left"/>
        <w:rPr>
          <w:rFonts w:ascii="仿宋_GB2312" w:eastAsia="仿宋_GB2312"/>
          <w:color w:val="0C0C0C" w:themeColor="text1" w:themeTint="F2"/>
          <w:sz w:val="22"/>
          <w:szCs w:val="2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附表4</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仿宋_GB2312" w:eastAsia="仿宋_GB2312"/>
          <w:b/>
          <w:bCs/>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2020年采供血机构国家随机监督抽查汇总表</w:t>
      </w:r>
    </w:p>
    <w:tbl>
      <w:tblPr>
        <w:tblStyle w:val="7"/>
        <w:tblpPr w:leftFromText="180" w:rightFromText="180" w:vertAnchor="text" w:horzAnchor="margin" w:tblpXSpec="center" w:tblpY="195"/>
        <w:tblW w:w="15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72" w:type="dxa"/>
            <w:vMerge w:val="restart"/>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单位类别</w:t>
            </w:r>
          </w:p>
        </w:tc>
        <w:tc>
          <w:tcPr>
            <w:tcW w:w="642" w:type="dxa"/>
            <w:vMerge w:val="restart"/>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辖区内单位总数</w:t>
            </w:r>
          </w:p>
        </w:tc>
        <w:tc>
          <w:tcPr>
            <w:tcW w:w="645" w:type="dxa"/>
            <w:vMerge w:val="restart"/>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检查单位数</w:t>
            </w:r>
          </w:p>
        </w:tc>
        <w:tc>
          <w:tcPr>
            <w:tcW w:w="11045" w:type="dxa"/>
            <w:gridSpan w:val="13"/>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不合格情况</w:t>
            </w:r>
          </w:p>
        </w:tc>
        <w:tc>
          <w:tcPr>
            <w:tcW w:w="1366" w:type="dxa"/>
            <w:gridSpan w:val="2"/>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72" w:type="dxa"/>
            <w:vMerge w:val="continue"/>
            <w:vAlign w:val="center"/>
          </w:tcPr>
          <w:p>
            <w:pPr>
              <w:rPr>
                <w:color w:val="0C0C0C" w:themeColor="text1" w:themeTint="F2"/>
              </w:rPr>
            </w:pPr>
          </w:p>
        </w:tc>
        <w:tc>
          <w:tcPr>
            <w:tcW w:w="642" w:type="dxa"/>
            <w:vMerge w:val="continue"/>
            <w:vAlign w:val="center"/>
          </w:tcPr>
          <w:p>
            <w:pPr>
              <w:rPr>
                <w:color w:val="0C0C0C" w:themeColor="text1" w:themeTint="F2"/>
              </w:rPr>
            </w:pPr>
          </w:p>
        </w:tc>
        <w:tc>
          <w:tcPr>
            <w:tcW w:w="645" w:type="dxa"/>
            <w:vMerge w:val="continue"/>
            <w:vAlign w:val="center"/>
          </w:tcPr>
          <w:p>
            <w:pPr>
              <w:rPr>
                <w:color w:val="0C0C0C" w:themeColor="text1" w:themeTint="F2"/>
              </w:rPr>
            </w:pPr>
          </w:p>
        </w:tc>
        <w:tc>
          <w:tcPr>
            <w:tcW w:w="2069" w:type="dxa"/>
            <w:gridSpan w:val="3"/>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资质管理</w:t>
            </w:r>
          </w:p>
        </w:tc>
        <w:tc>
          <w:tcPr>
            <w:tcW w:w="3702" w:type="dxa"/>
            <w:gridSpan w:val="4"/>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血源管理</w:t>
            </w:r>
          </w:p>
        </w:tc>
        <w:tc>
          <w:tcPr>
            <w:tcW w:w="3674" w:type="dxa"/>
            <w:gridSpan w:val="4"/>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血液检测</w:t>
            </w:r>
          </w:p>
        </w:tc>
        <w:tc>
          <w:tcPr>
            <w:tcW w:w="800"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包装储存运输</w:t>
            </w:r>
          </w:p>
        </w:tc>
        <w:tc>
          <w:tcPr>
            <w:tcW w:w="800"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其他</w:t>
            </w:r>
          </w:p>
        </w:tc>
        <w:tc>
          <w:tcPr>
            <w:tcW w:w="645" w:type="dxa"/>
            <w:vMerge w:val="restart"/>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案件查处数</w:t>
            </w:r>
          </w:p>
        </w:tc>
        <w:tc>
          <w:tcPr>
            <w:tcW w:w="721" w:type="dxa"/>
            <w:vMerge w:val="restart"/>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vAlign w:val="center"/>
          </w:tcPr>
          <w:p>
            <w:pPr>
              <w:rPr>
                <w:color w:val="0C0C0C" w:themeColor="text1" w:themeTint="F2"/>
              </w:rPr>
            </w:pPr>
          </w:p>
        </w:tc>
        <w:tc>
          <w:tcPr>
            <w:tcW w:w="642" w:type="dxa"/>
            <w:vMerge w:val="continue"/>
            <w:vAlign w:val="center"/>
          </w:tcPr>
          <w:p>
            <w:pPr>
              <w:rPr>
                <w:color w:val="0C0C0C" w:themeColor="text1" w:themeTint="F2"/>
              </w:rPr>
            </w:pPr>
          </w:p>
        </w:tc>
        <w:tc>
          <w:tcPr>
            <w:tcW w:w="645" w:type="dxa"/>
            <w:vMerge w:val="continue"/>
            <w:vAlign w:val="center"/>
          </w:tcPr>
          <w:p>
            <w:pPr>
              <w:rPr>
                <w:color w:val="0C0C0C" w:themeColor="text1" w:themeTint="F2"/>
              </w:rPr>
            </w:pPr>
          </w:p>
        </w:tc>
        <w:tc>
          <w:tcPr>
            <w:tcW w:w="534"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未按照许可范围开展工作单位数</w:t>
            </w:r>
          </w:p>
        </w:tc>
        <w:tc>
          <w:tcPr>
            <w:tcW w:w="1028"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从业人员未取得相关岗位执业资格或者执业注册而从事血液安全工作单位数</w:t>
            </w:r>
          </w:p>
        </w:tc>
        <w:tc>
          <w:tcPr>
            <w:tcW w:w="507"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使用不符合国家规定的耗材单位数</w:t>
            </w:r>
          </w:p>
        </w:tc>
        <w:tc>
          <w:tcPr>
            <w:tcW w:w="880"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未按规定对献血者、供血浆者进行身份核实、健康征询和体检单位数</w:t>
            </w:r>
          </w:p>
        </w:tc>
        <w:tc>
          <w:tcPr>
            <w:tcW w:w="728"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未按要求检测新浆员和间隔</w:t>
            </w:r>
            <w:r>
              <w:rPr>
                <w:rFonts w:hint="eastAsia" w:ascii="仿宋_GB2312" w:eastAsia="仿宋_GB2312" w:cs="??_GB2312"/>
                <w:color w:val="0C0C0C" w:themeColor="text1" w:themeTint="F2"/>
                <w:sz w:val="24"/>
                <w:szCs w:val="24"/>
              </w:rPr>
              <w:t>180</w:t>
            </w:r>
            <w:r>
              <w:rPr>
                <w:rFonts w:hint="eastAsia" w:ascii="仿宋_GB2312" w:eastAsia="仿宋_GB2312"/>
                <w:color w:val="0C0C0C" w:themeColor="text1" w:themeTint="F2"/>
                <w:sz w:val="24"/>
                <w:szCs w:val="24"/>
              </w:rPr>
              <w:t>天的浆员的血浆单位数</w:t>
            </w:r>
          </w:p>
        </w:tc>
        <w:tc>
          <w:tcPr>
            <w:tcW w:w="1211"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超量、频繁采集血液（浆）的单位数</w:t>
            </w:r>
          </w:p>
        </w:tc>
        <w:tc>
          <w:tcPr>
            <w:tcW w:w="883"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采集冒名顶替者、健康检查不合格者血液（血浆）单位数</w:t>
            </w:r>
          </w:p>
        </w:tc>
        <w:tc>
          <w:tcPr>
            <w:tcW w:w="1089"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血液（浆）检测项目不齐全单位数</w:t>
            </w:r>
          </w:p>
        </w:tc>
        <w:tc>
          <w:tcPr>
            <w:tcW w:w="676"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未按规定保存血液标本的单位数</w:t>
            </w:r>
          </w:p>
        </w:tc>
        <w:tc>
          <w:tcPr>
            <w:tcW w:w="676"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未按规定保存工作记录的单位数</w:t>
            </w:r>
          </w:p>
        </w:tc>
        <w:tc>
          <w:tcPr>
            <w:tcW w:w="1233"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对检测不合格或者报废的血液（浆），未按有关规定处理单位数</w:t>
            </w:r>
          </w:p>
        </w:tc>
        <w:tc>
          <w:tcPr>
            <w:tcW w:w="800"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包装、储存、运输不符合国家规定的卫生标准和要求单位数</w:t>
            </w:r>
          </w:p>
        </w:tc>
        <w:tc>
          <w:tcPr>
            <w:tcW w:w="800"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非法采集、供应、倒卖血液、血浆单位数</w:t>
            </w:r>
          </w:p>
        </w:tc>
        <w:tc>
          <w:tcPr>
            <w:tcW w:w="645" w:type="dxa"/>
            <w:vMerge w:val="continue"/>
            <w:vAlign w:val="center"/>
          </w:tcPr>
          <w:p>
            <w:pPr>
              <w:rPr>
                <w:color w:val="0C0C0C" w:themeColor="text1" w:themeTint="F2"/>
              </w:rPr>
            </w:pPr>
          </w:p>
        </w:tc>
        <w:tc>
          <w:tcPr>
            <w:tcW w:w="721" w:type="dxa"/>
            <w:vMerge w:val="continue"/>
            <w:vAlign w:val="center"/>
          </w:tcPr>
          <w:p>
            <w:pP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一般血站</w:t>
            </w:r>
          </w:p>
        </w:tc>
        <w:tc>
          <w:tcPr>
            <w:tcW w:w="642"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534" w:type="dxa"/>
            <w:vAlign w:val="center"/>
          </w:tcPr>
          <w:p>
            <w:pPr>
              <w:spacing w:line="240" w:lineRule="exact"/>
              <w:jc w:val="center"/>
              <w:rPr>
                <w:rFonts w:ascii="仿宋_GB2312" w:eastAsia="仿宋_GB2312"/>
                <w:color w:val="0C0C0C" w:themeColor="text1" w:themeTint="F2"/>
                <w:sz w:val="24"/>
                <w:szCs w:val="24"/>
              </w:rPr>
            </w:pPr>
          </w:p>
        </w:tc>
        <w:tc>
          <w:tcPr>
            <w:tcW w:w="1028" w:type="dxa"/>
            <w:vAlign w:val="center"/>
          </w:tcPr>
          <w:p>
            <w:pPr>
              <w:spacing w:line="240" w:lineRule="exact"/>
              <w:jc w:val="center"/>
              <w:rPr>
                <w:rFonts w:ascii="仿宋_GB2312" w:eastAsia="仿宋_GB2312"/>
                <w:color w:val="0C0C0C" w:themeColor="text1" w:themeTint="F2"/>
                <w:sz w:val="24"/>
                <w:szCs w:val="24"/>
              </w:rPr>
            </w:pPr>
          </w:p>
        </w:tc>
        <w:tc>
          <w:tcPr>
            <w:tcW w:w="507" w:type="dxa"/>
            <w:vAlign w:val="center"/>
          </w:tcPr>
          <w:p>
            <w:pPr>
              <w:spacing w:line="240" w:lineRule="exact"/>
              <w:jc w:val="center"/>
              <w:rPr>
                <w:rFonts w:ascii="仿宋_GB2312" w:eastAsia="仿宋_GB2312"/>
                <w:color w:val="0C0C0C" w:themeColor="text1" w:themeTint="F2"/>
                <w:sz w:val="24"/>
                <w:szCs w:val="24"/>
              </w:rPr>
            </w:pPr>
          </w:p>
        </w:tc>
        <w:tc>
          <w:tcPr>
            <w:tcW w:w="880" w:type="dxa"/>
            <w:vAlign w:val="center"/>
          </w:tcPr>
          <w:p>
            <w:pPr>
              <w:spacing w:line="240" w:lineRule="exact"/>
              <w:jc w:val="center"/>
              <w:rPr>
                <w:rFonts w:ascii="仿宋_GB2312" w:eastAsia="仿宋_GB2312"/>
                <w:color w:val="0C0C0C" w:themeColor="text1" w:themeTint="F2"/>
                <w:sz w:val="24"/>
                <w:szCs w:val="24"/>
              </w:rPr>
            </w:pPr>
          </w:p>
        </w:tc>
        <w:tc>
          <w:tcPr>
            <w:tcW w:w="728" w:type="dxa"/>
            <w:vAlign w:val="center"/>
          </w:tcPr>
          <w:p>
            <w:pPr>
              <w:spacing w:line="240" w:lineRule="exact"/>
              <w:jc w:val="center"/>
              <w:rPr>
                <w:rFonts w:ascii="仿宋_GB2312" w:eastAsia="仿宋_GB2312"/>
                <w:color w:val="0C0C0C" w:themeColor="text1" w:themeTint="F2"/>
                <w:sz w:val="24"/>
                <w:szCs w:val="24"/>
              </w:rPr>
            </w:pPr>
          </w:p>
        </w:tc>
        <w:tc>
          <w:tcPr>
            <w:tcW w:w="1211" w:type="dxa"/>
            <w:vAlign w:val="center"/>
          </w:tcPr>
          <w:p>
            <w:pPr>
              <w:spacing w:line="240" w:lineRule="exact"/>
              <w:jc w:val="center"/>
              <w:rPr>
                <w:rFonts w:ascii="仿宋_GB2312" w:eastAsia="仿宋_GB2312"/>
                <w:color w:val="0C0C0C" w:themeColor="text1" w:themeTint="F2"/>
                <w:sz w:val="24"/>
                <w:szCs w:val="24"/>
              </w:rPr>
            </w:pPr>
          </w:p>
        </w:tc>
        <w:tc>
          <w:tcPr>
            <w:tcW w:w="883" w:type="dxa"/>
            <w:vAlign w:val="center"/>
          </w:tcPr>
          <w:p>
            <w:pPr>
              <w:spacing w:line="240" w:lineRule="exact"/>
              <w:jc w:val="center"/>
              <w:rPr>
                <w:rFonts w:ascii="仿宋_GB2312" w:eastAsia="仿宋_GB2312"/>
                <w:color w:val="0C0C0C" w:themeColor="text1" w:themeTint="F2"/>
                <w:sz w:val="24"/>
                <w:szCs w:val="24"/>
              </w:rPr>
            </w:pPr>
          </w:p>
        </w:tc>
        <w:tc>
          <w:tcPr>
            <w:tcW w:w="1089" w:type="dxa"/>
            <w:vAlign w:val="center"/>
          </w:tcPr>
          <w:p>
            <w:pPr>
              <w:spacing w:line="240" w:lineRule="exact"/>
              <w:jc w:val="center"/>
              <w:rPr>
                <w:rFonts w:ascii="仿宋_GB2312" w:eastAsia="仿宋_GB2312"/>
                <w:color w:val="0C0C0C" w:themeColor="text1" w:themeTint="F2"/>
                <w:sz w:val="24"/>
                <w:szCs w:val="24"/>
              </w:rPr>
            </w:pPr>
          </w:p>
        </w:tc>
        <w:tc>
          <w:tcPr>
            <w:tcW w:w="676" w:type="dxa"/>
            <w:vAlign w:val="center"/>
          </w:tcPr>
          <w:p>
            <w:pPr>
              <w:spacing w:line="240" w:lineRule="exact"/>
              <w:jc w:val="center"/>
              <w:rPr>
                <w:rFonts w:ascii="仿宋_GB2312" w:eastAsia="仿宋_GB2312"/>
                <w:color w:val="0C0C0C" w:themeColor="text1" w:themeTint="F2"/>
                <w:sz w:val="24"/>
                <w:szCs w:val="24"/>
              </w:rPr>
            </w:pPr>
          </w:p>
        </w:tc>
        <w:tc>
          <w:tcPr>
            <w:tcW w:w="676" w:type="dxa"/>
            <w:vAlign w:val="center"/>
          </w:tcPr>
          <w:p>
            <w:pPr>
              <w:spacing w:line="240" w:lineRule="exact"/>
              <w:jc w:val="center"/>
              <w:rPr>
                <w:rFonts w:ascii="仿宋_GB2312" w:eastAsia="仿宋_GB2312"/>
                <w:color w:val="0C0C0C" w:themeColor="text1" w:themeTint="F2"/>
                <w:sz w:val="24"/>
                <w:szCs w:val="24"/>
              </w:rPr>
            </w:pPr>
          </w:p>
        </w:tc>
        <w:tc>
          <w:tcPr>
            <w:tcW w:w="1233" w:type="dxa"/>
            <w:vAlign w:val="center"/>
          </w:tcPr>
          <w:p>
            <w:pPr>
              <w:spacing w:line="240" w:lineRule="exact"/>
              <w:jc w:val="center"/>
              <w:rPr>
                <w:rFonts w:ascii="仿宋_GB2312" w:eastAsia="仿宋_GB2312"/>
                <w:color w:val="0C0C0C" w:themeColor="text1" w:themeTint="F2"/>
                <w:sz w:val="24"/>
                <w:szCs w:val="24"/>
              </w:rPr>
            </w:pPr>
          </w:p>
        </w:tc>
        <w:tc>
          <w:tcPr>
            <w:tcW w:w="800" w:type="dxa"/>
            <w:vAlign w:val="center"/>
          </w:tcPr>
          <w:p>
            <w:pPr>
              <w:spacing w:line="240" w:lineRule="exact"/>
              <w:jc w:val="center"/>
              <w:rPr>
                <w:rFonts w:ascii="仿宋_GB2312" w:eastAsia="仿宋_GB2312"/>
                <w:color w:val="0C0C0C" w:themeColor="text1" w:themeTint="F2"/>
                <w:sz w:val="24"/>
                <w:szCs w:val="24"/>
              </w:rPr>
            </w:pPr>
          </w:p>
        </w:tc>
        <w:tc>
          <w:tcPr>
            <w:tcW w:w="800"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721" w:type="dxa"/>
            <w:vAlign w:val="center"/>
          </w:tcPr>
          <w:p>
            <w:pPr>
              <w:spacing w:line="240" w:lineRule="exact"/>
              <w:jc w:val="center"/>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特殊血站</w:t>
            </w:r>
          </w:p>
        </w:tc>
        <w:tc>
          <w:tcPr>
            <w:tcW w:w="642"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534" w:type="dxa"/>
            <w:vAlign w:val="center"/>
          </w:tcPr>
          <w:p>
            <w:pPr>
              <w:spacing w:line="240" w:lineRule="exact"/>
              <w:jc w:val="center"/>
              <w:rPr>
                <w:rFonts w:ascii="仿宋_GB2312" w:eastAsia="仿宋_GB2312"/>
                <w:color w:val="0C0C0C" w:themeColor="text1" w:themeTint="F2"/>
                <w:sz w:val="24"/>
                <w:szCs w:val="24"/>
              </w:rPr>
            </w:pPr>
          </w:p>
        </w:tc>
        <w:tc>
          <w:tcPr>
            <w:tcW w:w="1028" w:type="dxa"/>
            <w:vAlign w:val="center"/>
          </w:tcPr>
          <w:p>
            <w:pPr>
              <w:spacing w:line="240" w:lineRule="exact"/>
              <w:jc w:val="center"/>
              <w:rPr>
                <w:rFonts w:ascii="仿宋_GB2312" w:eastAsia="仿宋_GB2312"/>
                <w:color w:val="0C0C0C" w:themeColor="text1" w:themeTint="F2"/>
                <w:sz w:val="24"/>
                <w:szCs w:val="24"/>
              </w:rPr>
            </w:pPr>
          </w:p>
        </w:tc>
        <w:tc>
          <w:tcPr>
            <w:tcW w:w="507" w:type="dxa"/>
            <w:vAlign w:val="center"/>
          </w:tcPr>
          <w:p>
            <w:pPr>
              <w:spacing w:line="240" w:lineRule="exact"/>
              <w:jc w:val="center"/>
              <w:rPr>
                <w:rFonts w:ascii="仿宋_GB2312" w:eastAsia="仿宋_GB2312"/>
                <w:color w:val="0C0C0C" w:themeColor="text1" w:themeTint="F2"/>
                <w:sz w:val="24"/>
                <w:szCs w:val="24"/>
              </w:rPr>
            </w:pPr>
          </w:p>
        </w:tc>
        <w:tc>
          <w:tcPr>
            <w:tcW w:w="880" w:type="dxa"/>
            <w:vAlign w:val="center"/>
          </w:tcPr>
          <w:p>
            <w:pPr>
              <w:spacing w:line="240" w:lineRule="exact"/>
              <w:jc w:val="center"/>
              <w:rPr>
                <w:rFonts w:ascii="仿宋_GB2312" w:eastAsia="仿宋_GB2312"/>
                <w:color w:val="0C0C0C" w:themeColor="text1" w:themeTint="F2"/>
                <w:sz w:val="24"/>
                <w:szCs w:val="24"/>
              </w:rPr>
            </w:pPr>
          </w:p>
        </w:tc>
        <w:tc>
          <w:tcPr>
            <w:tcW w:w="728" w:type="dxa"/>
            <w:vAlign w:val="center"/>
          </w:tcPr>
          <w:p>
            <w:pPr>
              <w:spacing w:line="240" w:lineRule="exact"/>
              <w:jc w:val="center"/>
              <w:rPr>
                <w:rFonts w:ascii="仿宋_GB2312" w:eastAsia="仿宋_GB2312" w:cs="??_GB2312"/>
                <w:color w:val="0C0C0C" w:themeColor="text1" w:themeTint="F2"/>
                <w:sz w:val="24"/>
                <w:szCs w:val="24"/>
              </w:rPr>
            </w:pPr>
            <w:r>
              <w:rPr>
                <w:rFonts w:hint="eastAsia" w:ascii="仿宋_GB2312" w:eastAsia="仿宋_GB2312" w:cs="??_GB2312"/>
                <w:color w:val="0C0C0C" w:themeColor="text1" w:themeTint="F2"/>
                <w:sz w:val="24"/>
                <w:szCs w:val="24"/>
              </w:rPr>
              <w:t>-</w:t>
            </w:r>
          </w:p>
        </w:tc>
        <w:tc>
          <w:tcPr>
            <w:tcW w:w="1211" w:type="dxa"/>
            <w:vAlign w:val="center"/>
          </w:tcPr>
          <w:p>
            <w:pPr>
              <w:spacing w:line="240" w:lineRule="exact"/>
              <w:jc w:val="center"/>
              <w:rPr>
                <w:rFonts w:ascii="仿宋_GB2312" w:eastAsia="仿宋_GB2312" w:cs="??_GB2312"/>
                <w:color w:val="0C0C0C" w:themeColor="text1" w:themeTint="F2"/>
                <w:sz w:val="24"/>
                <w:szCs w:val="24"/>
              </w:rPr>
            </w:pPr>
          </w:p>
        </w:tc>
        <w:tc>
          <w:tcPr>
            <w:tcW w:w="883" w:type="dxa"/>
            <w:vAlign w:val="center"/>
          </w:tcPr>
          <w:p>
            <w:pPr>
              <w:spacing w:line="240" w:lineRule="exact"/>
              <w:jc w:val="center"/>
              <w:rPr>
                <w:rFonts w:ascii="仿宋_GB2312" w:eastAsia="仿宋_GB2312" w:cs="??_GB2312"/>
                <w:color w:val="0C0C0C" w:themeColor="text1" w:themeTint="F2"/>
                <w:sz w:val="24"/>
                <w:szCs w:val="24"/>
              </w:rPr>
            </w:pPr>
          </w:p>
        </w:tc>
        <w:tc>
          <w:tcPr>
            <w:tcW w:w="1089" w:type="dxa"/>
            <w:vAlign w:val="center"/>
          </w:tcPr>
          <w:p>
            <w:pPr>
              <w:spacing w:line="240" w:lineRule="exact"/>
              <w:jc w:val="center"/>
              <w:rPr>
                <w:rFonts w:ascii="仿宋_GB2312" w:eastAsia="仿宋_GB2312" w:cs="??_GB2312"/>
                <w:color w:val="0C0C0C" w:themeColor="text1" w:themeTint="F2"/>
                <w:sz w:val="24"/>
                <w:szCs w:val="24"/>
              </w:rPr>
            </w:pPr>
          </w:p>
        </w:tc>
        <w:tc>
          <w:tcPr>
            <w:tcW w:w="676" w:type="dxa"/>
            <w:vAlign w:val="center"/>
          </w:tcPr>
          <w:p>
            <w:pPr>
              <w:spacing w:line="240" w:lineRule="exact"/>
              <w:jc w:val="center"/>
              <w:rPr>
                <w:rFonts w:ascii="仿宋_GB2312" w:eastAsia="仿宋_GB2312" w:cs="??_GB2312"/>
                <w:color w:val="0C0C0C" w:themeColor="text1" w:themeTint="F2"/>
                <w:sz w:val="24"/>
                <w:szCs w:val="24"/>
              </w:rPr>
            </w:pPr>
          </w:p>
        </w:tc>
        <w:tc>
          <w:tcPr>
            <w:tcW w:w="676" w:type="dxa"/>
            <w:vAlign w:val="center"/>
          </w:tcPr>
          <w:p>
            <w:pPr>
              <w:spacing w:line="240" w:lineRule="exact"/>
              <w:jc w:val="center"/>
              <w:rPr>
                <w:rFonts w:ascii="仿宋_GB2312" w:eastAsia="仿宋_GB2312" w:cs="??_GB2312"/>
                <w:color w:val="0C0C0C" w:themeColor="text1" w:themeTint="F2"/>
                <w:sz w:val="24"/>
                <w:szCs w:val="24"/>
              </w:rPr>
            </w:pPr>
          </w:p>
        </w:tc>
        <w:tc>
          <w:tcPr>
            <w:tcW w:w="1233" w:type="dxa"/>
            <w:vAlign w:val="center"/>
          </w:tcPr>
          <w:p>
            <w:pPr>
              <w:spacing w:line="240" w:lineRule="exact"/>
              <w:jc w:val="center"/>
              <w:rPr>
                <w:rFonts w:ascii="仿宋_GB2312" w:eastAsia="仿宋_GB2312" w:cs="??_GB2312"/>
                <w:color w:val="0C0C0C" w:themeColor="text1" w:themeTint="F2"/>
                <w:sz w:val="24"/>
                <w:szCs w:val="24"/>
              </w:rPr>
            </w:pPr>
          </w:p>
        </w:tc>
        <w:tc>
          <w:tcPr>
            <w:tcW w:w="800" w:type="dxa"/>
            <w:vAlign w:val="center"/>
          </w:tcPr>
          <w:p>
            <w:pPr>
              <w:spacing w:line="240" w:lineRule="exact"/>
              <w:jc w:val="center"/>
              <w:rPr>
                <w:rFonts w:ascii="仿宋_GB2312" w:eastAsia="仿宋_GB2312" w:cs="??_GB2312"/>
                <w:color w:val="0C0C0C" w:themeColor="text1" w:themeTint="F2"/>
                <w:sz w:val="24"/>
                <w:szCs w:val="24"/>
              </w:rPr>
            </w:pPr>
          </w:p>
        </w:tc>
        <w:tc>
          <w:tcPr>
            <w:tcW w:w="800" w:type="dxa"/>
            <w:vAlign w:val="center"/>
          </w:tcPr>
          <w:p>
            <w:pPr>
              <w:spacing w:line="240" w:lineRule="exact"/>
              <w:jc w:val="center"/>
              <w:rPr>
                <w:rFonts w:ascii="仿宋_GB2312" w:eastAsia="仿宋_GB2312" w:cs="??_GB2312"/>
                <w:color w:val="0C0C0C" w:themeColor="text1" w:themeTint="F2"/>
                <w:sz w:val="24"/>
                <w:szCs w:val="24"/>
              </w:rPr>
            </w:pPr>
          </w:p>
        </w:tc>
        <w:tc>
          <w:tcPr>
            <w:tcW w:w="645" w:type="dxa"/>
            <w:vAlign w:val="center"/>
          </w:tcPr>
          <w:p>
            <w:pPr>
              <w:spacing w:line="240" w:lineRule="exact"/>
              <w:jc w:val="center"/>
              <w:rPr>
                <w:rFonts w:ascii="仿宋_GB2312" w:eastAsia="仿宋_GB2312" w:cs="??_GB2312"/>
                <w:color w:val="0C0C0C" w:themeColor="text1" w:themeTint="F2"/>
                <w:sz w:val="24"/>
                <w:szCs w:val="24"/>
              </w:rPr>
            </w:pPr>
          </w:p>
        </w:tc>
        <w:tc>
          <w:tcPr>
            <w:tcW w:w="721" w:type="dxa"/>
            <w:vAlign w:val="center"/>
          </w:tcPr>
          <w:p>
            <w:pPr>
              <w:spacing w:line="240" w:lineRule="exact"/>
              <w:jc w:val="center"/>
              <w:rPr>
                <w:rFonts w:ascii="仿宋_GB2312" w:eastAsia="仿宋_GB2312" w:cs="??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单采血浆站</w:t>
            </w:r>
          </w:p>
        </w:tc>
        <w:tc>
          <w:tcPr>
            <w:tcW w:w="642"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534" w:type="dxa"/>
            <w:vAlign w:val="center"/>
          </w:tcPr>
          <w:p>
            <w:pPr>
              <w:spacing w:line="240" w:lineRule="exact"/>
              <w:jc w:val="center"/>
              <w:rPr>
                <w:rFonts w:ascii="仿宋_GB2312" w:eastAsia="仿宋_GB2312"/>
                <w:color w:val="0C0C0C" w:themeColor="text1" w:themeTint="F2"/>
                <w:sz w:val="24"/>
                <w:szCs w:val="24"/>
              </w:rPr>
            </w:pPr>
          </w:p>
        </w:tc>
        <w:tc>
          <w:tcPr>
            <w:tcW w:w="1028" w:type="dxa"/>
            <w:vAlign w:val="center"/>
          </w:tcPr>
          <w:p>
            <w:pPr>
              <w:spacing w:line="240" w:lineRule="exact"/>
              <w:jc w:val="center"/>
              <w:rPr>
                <w:rFonts w:ascii="仿宋_GB2312" w:eastAsia="仿宋_GB2312"/>
                <w:color w:val="0C0C0C" w:themeColor="text1" w:themeTint="F2"/>
                <w:sz w:val="24"/>
                <w:szCs w:val="24"/>
              </w:rPr>
            </w:pPr>
          </w:p>
        </w:tc>
        <w:tc>
          <w:tcPr>
            <w:tcW w:w="507" w:type="dxa"/>
            <w:vAlign w:val="center"/>
          </w:tcPr>
          <w:p>
            <w:pPr>
              <w:spacing w:line="240" w:lineRule="exact"/>
              <w:jc w:val="center"/>
              <w:rPr>
                <w:rFonts w:ascii="仿宋_GB2312" w:eastAsia="仿宋_GB2312"/>
                <w:color w:val="0C0C0C" w:themeColor="text1" w:themeTint="F2"/>
                <w:sz w:val="24"/>
                <w:szCs w:val="24"/>
              </w:rPr>
            </w:pPr>
          </w:p>
        </w:tc>
        <w:tc>
          <w:tcPr>
            <w:tcW w:w="880" w:type="dxa"/>
            <w:vAlign w:val="center"/>
          </w:tcPr>
          <w:p>
            <w:pPr>
              <w:spacing w:line="240" w:lineRule="exact"/>
              <w:jc w:val="center"/>
              <w:rPr>
                <w:rFonts w:ascii="仿宋_GB2312" w:eastAsia="仿宋_GB2312"/>
                <w:color w:val="0C0C0C" w:themeColor="text1" w:themeTint="F2"/>
                <w:sz w:val="24"/>
                <w:szCs w:val="24"/>
              </w:rPr>
            </w:pPr>
          </w:p>
        </w:tc>
        <w:tc>
          <w:tcPr>
            <w:tcW w:w="728" w:type="dxa"/>
            <w:vAlign w:val="center"/>
          </w:tcPr>
          <w:p>
            <w:pPr>
              <w:spacing w:line="240" w:lineRule="exact"/>
              <w:jc w:val="center"/>
              <w:rPr>
                <w:rFonts w:ascii="仿宋_GB2312" w:eastAsia="仿宋_GB2312"/>
                <w:color w:val="0C0C0C" w:themeColor="text1" w:themeTint="F2"/>
                <w:sz w:val="24"/>
                <w:szCs w:val="24"/>
              </w:rPr>
            </w:pPr>
          </w:p>
        </w:tc>
        <w:tc>
          <w:tcPr>
            <w:tcW w:w="1211" w:type="dxa"/>
            <w:vAlign w:val="center"/>
          </w:tcPr>
          <w:p>
            <w:pPr>
              <w:spacing w:line="240" w:lineRule="exact"/>
              <w:jc w:val="center"/>
              <w:rPr>
                <w:rFonts w:ascii="仿宋_GB2312" w:eastAsia="仿宋_GB2312"/>
                <w:color w:val="0C0C0C" w:themeColor="text1" w:themeTint="F2"/>
                <w:sz w:val="24"/>
                <w:szCs w:val="24"/>
              </w:rPr>
            </w:pPr>
          </w:p>
        </w:tc>
        <w:tc>
          <w:tcPr>
            <w:tcW w:w="883" w:type="dxa"/>
            <w:vAlign w:val="center"/>
          </w:tcPr>
          <w:p>
            <w:pPr>
              <w:spacing w:line="240" w:lineRule="exact"/>
              <w:jc w:val="center"/>
              <w:rPr>
                <w:rFonts w:ascii="仿宋_GB2312" w:eastAsia="仿宋_GB2312"/>
                <w:color w:val="0C0C0C" w:themeColor="text1" w:themeTint="F2"/>
                <w:sz w:val="24"/>
                <w:szCs w:val="24"/>
              </w:rPr>
            </w:pPr>
          </w:p>
        </w:tc>
        <w:tc>
          <w:tcPr>
            <w:tcW w:w="1089" w:type="dxa"/>
            <w:vAlign w:val="center"/>
          </w:tcPr>
          <w:p>
            <w:pPr>
              <w:spacing w:line="240" w:lineRule="exact"/>
              <w:jc w:val="center"/>
              <w:rPr>
                <w:rFonts w:ascii="仿宋_GB2312" w:eastAsia="仿宋_GB2312"/>
                <w:color w:val="0C0C0C" w:themeColor="text1" w:themeTint="F2"/>
                <w:sz w:val="24"/>
                <w:szCs w:val="24"/>
              </w:rPr>
            </w:pPr>
          </w:p>
        </w:tc>
        <w:tc>
          <w:tcPr>
            <w:tcW w:w="676" w:type="dxa"/>
            <w:vAlign w:val="center"/>
          </w:tcPr>
          <w:p>
            <w:pPr>
              <w:spacing w:line="240" w:lineRule="exact"/>
              <w:jc w:val="center"/>
              <w:rPr>
                <w:rFonts w:ascii="仿宋_GB2312" w:eastAsia="仿宋_GB2312"/>
                <w:color w:val="0C0C0C" w:themeColor="text1" w:themeTint="F2"/>
                <w:sz w:val="24"/>
                <w:szCs w:val="24"/>
              </w:rPr>
            </w:pPr>
          </w:p>
        </w:tc>
        <w:tc>
          <w:tcPr>
            <w:tcW w:w="676" w:type="dxa"/>
            <w:vAlign w:val="center"/>
          </w:tcPr>
          <w:p>
            <w:pPr>
              <w:spacing w:line="240" w:lineRule="exact"/>
              <w:jc w:val="center"/>
              <w:rPr>
                <w:rFonts w:ascii="仿宋_GB2312" w:eastAsia="仿宋_GB2312"/>
                <w:color w:val="0C0C0C" w:themeColor="text1" w:themeTint="F2"/>
                <w:sz w:val="24"/>
                <w:szCs w:val="24"/>
              </w:rPr>
            </w:pPr>
          </w:p>
        </w:tc>
        <w:tc>
          <w:tcPr>
            <w:tcW w:w="1233" w:type="dxa"/>
            <w:vAlign w:val="center"/>
          </w:tcPr>
          <w:p>
            <w:pPr>
              <w:spacing w:line="240" w:lineRule="exact"/>
              <w:jc w:val="center"/>
              <w:rPr>
                <w:rFonts w:ascii="仿宋_GB2312" w:eastAsia="仿宋_GB2312"/>
                <w:color w:val="0C0C0C" w:themeColor="text1" w:themeTint="F2"/>
                <w:sz w:val="24"/>
                <w:szCs w:val="24"/>
              </w:rPr>
            </w:pPr>
          </w:p>
        </w:tc>
        <w:tc>
          <w:tcPr>
            <w:tcW w:w="800" w:type="dxa"/>
            <w:vAlign w:val="center"/>
          </w:tcPr>
          <w:p>
            <w:pPr>
              <w:spacing w:line="240" w:lineRule="exact"/>
              <w:jc w:val="center"/>
              <w:rPr>
                <w:rFonts w:ascii="仿宋_GB2312" w:eastAsia="仿宋_GB2312"/>
                <w:color w:val="0C0C0C" w:themeColor="text1" w:themeTint="F2"/>
                <w:sz w:val="24"/>
                <w:szCs w:val="24"/>
              </w:rPr>
            </w:pPr>
          </w:p>
        </w:tc>
        <w:tc>
          <w:tcPr>
            <w:tcW w:w="800"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721" w:type="dxa"/>
            <w:vAlign w:val="center"/>
          </w:tcPr>
          <w:p>
            <w:pPr>
              <w:spacing w:line="240" w:lineRule="exact"/>
              <w:jc w:val="center"/>
              <w:rPr>
                <w:rFonts w:ascii="仿宋_GB2312" w:eastAsia="仿宋_GB2312"/>
                <w:color w:val="0C0C0C" w:themeColor="text1" w:themeTint="F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合计</w:t>
            </w:r>
          </w:p>
        </w:tc>
        <w:tc>
          <w:tcPr>
            <w:tcW w:w="642"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534" w:type="dxa"/>
            <w:vAlign w:val="center"/>
          </w:tcPr>
          <w:p>
            <w:pPr>
              <w:spacing w:line="240" w:lineRule="exact"/>
              <w:jc w:val="center"/>
              <w:rPr>
                <w:rFonts w:ascii="仿宋_GB2312" w:eastAsia="仿宋_GB2312"/>
                <w:color w:val="0C0C0C" w:themeColor="text1" w:themeTint="F2"/>
                <w:sz w:val="24"/>
                <w:szCs w:val="24"/>
              </w:rPr>
            </w:pPr>
          </w:p>
        </w:tc>
        <w:tc>
          <w:tcPr>
            <w:tcW w:w="1028" w:type="dxa"/>
            <w:vAlign w:val="center"/>
          </w:tcPr>
          <w:p>
            <w:pPr>
              <w:spacing w:line="240" w:lineRule="exact"/>
              <w:jc w:val="center"/>
              <w:rPr>
                <w:rFonts w:ascii="仿宋_GB2312" w:eastAsia="仿宋_GB2312"/>
                <w:color w:val="0C0C0C" w:themeColor="text1" w:themeTint="F2"/>
                <w:sz w:val="24"/>
                <w:szCs w:val="24"/>
              </w:rPr>
            </w:pPr>
          </w:p>
        </w:tc>
        <w:tc>
          <w:tcPr>
            <w:tcW w:w="507" w:type="dxa"/>
            <w:vAlign w:val="center"/>
          </w:tcPr>
          <w:p>
            <w:pPr>
              <w:spacing w:line="240" w:lineRule="exact"/>
              <w:jc w:val="center"/>
              <w:rPr>
                <w:rFonts w:ascii="仿宋_GB2312" w:eastAsia="仿宋_GB2312"/>
                <w:color w:val="0C0C0C" w:themeColor="text1" w:themeTint="F2"/>
                <w:sz w:val="24"/>
                <w:szCs w:val="24"/>
              </w:rPr>
            </w:pPr>
          </w:p>
        </w:tc>
        <w:tc>
          <w:tcPr>
            <w:tcW w:w="880" w:type="dxa"/>
            <w:vAlign w:val="center"/>
          </w:tcPr>
          <w:p>
            <w:pPr>
              <w:spacing w:line="240" w:lineRule="exact"/>
              <w:jc w:val="center"/>
              <w:rPr>
                <w:rFonts w:ascii="仿宋_GB2312" w:eastAsia="仿宋_GB2312"/>
                <w:color w:val="0C0C0C" w:themeColor="text1" w:themeTint="F2"/>
                <w:sz w:val="24"/>
                <w:szCs w:val="24"/>
              </w:rPr>
            </w:pPr>
          </w:p>
        </w:tc>
        <w:tc>
          <w:tcPr>
            <w:tcW w:w="728" w:type="dxa"/>
            <w:vAlign w:val="center"/>
          </w:tcPr>
          <w:p>
            <w:pPr>
              <w:spacing w:line="240" w:lineRule="exact"/>
              <w:jc w:val="center"/>
              <w:rPr>
                <w:rFonts w:ascii="仿宋_GB2312" w:eastAsia="仿宋_GB2312"/>
                <w:color w:val="0C0C0C" w:themeColor="text1" w:themeTint="F2"/>
                <w:sz w:val="24"/>
                <w:szCs w:val="24"/>
              </w:rPr>
            </w:pPr>
          </w:p>
        </w:tc>
        <w:tc>
          <w:tcPr>
            <w:tcW w:w="1211" w:type="dxa"/>
            <w:vAlign w:val="center"/>
          </w:tcPr>
          <w:p>
            <w:pPr>
              <w:spacing w:line="240" w:lineRule="exact"/>
              <w:jc w:val="center"/>
              <w:rPr>
                <w:rFonts w:ascii="仿宋_GB2312" w:eastAsia="仿宋_GB2312"/>
                <w:color w:val="0C0C0C" w:themeColor="text1" w:themeTint="F2"/>
                <w:sz w:val="24"/>
                <w:szCs w:val="24"/>
              </w:rPr>
            </w:pPr>
          </w:p>
        </w:tc>
        <w:tc>
          <w:tcPr>
            <w:tcW w:w="883" w:type="dxa"/>
            <w:vAlign w:val="center"/>
          </w:tcPr>
          <w:p>
            <w:pPr>
              <w:spacing w:line="240" w:lineRule="exact"/>
              <w:jc w:val="center"/>
              <w:rPr>
                <w:rFonts w:ascii="仿宋_GB2312" w:eastAsia="仿宋_GB2312"/>
                <w:color w:val="0C0C0C" w:themeColor="text1" w:themeTint="F2"/>
                <w:sz w:val="24"/>
                <w:szCs w:val="24"/>
              </w:rPr>
            </w:pPr>
          </w:p>
        </w:tc>
        <w:tc>
          <w:tcPr>
            <w:tcW w:w="1089" w:type="dxa"/>
            <w:vAlign w:val="center"/>
          </w:tcPr>
          <w:p>
            <w:pPr>
              <w:spacing w:line="240" w:lineRule="exact"/>
              <w:jc w:val="center"/>
              <w:rPr>
                <w:rFonts w:ascii="仿宋_GB2312" w:eastAsia="仿宋_GB2312"/>
                <w:color w:val="0C0C0C" w:themeColor="text1" w:themeTint="F2"/>
                <w:sz w:val="24"/>
                <w:szCs w:val="24"/>
              </w:rPr>
            </w:pPr>
          </w:p>
        </w:tc>
        <w:tc>
          <w:tcPr>
            <w:tcW w:w="676" w:type="dxa"/>
            <w:vAlign w:val="center"/>
          </w:tcPr>
          <w:p>
            <w:pPr>
              <w:spacing w:line="240" w:lineRule="exact"/>
              <w:jc w:val="center"/>
              <w:rPr>
                <w:rFonts w:ascii="仿宋_GB2312" w:eastAsia="仿宋_GB2312"/>
                <w:color w:val="0C0C0C" w:themeColor="text1" w:themeTint="F2"/>
                <w:sz w:val="24"/>
                <w:szCs w:val="24"/>
              </w:rPr>
            </w:pPr>
          </w:p>
        </w:tc>
        <w:tc>
          <w:tcPr>
            <w:tcW w:w="676" w:type="dxa"/>
            <w:vAlign w:val="center"/>
          </w:tcPr>
          <w:p>
            <w:pPr>
              <w:spacing w:line="240" w:lineRule="exact"/>
              <w:jc w:val="center"/>
              <w:rPr>
                <w:rFonts w:ascii="仿宋_GB2312" w:eastAsia="仿宋_GB2312"/>
                <w:color w:val="0C0C0C" w:themeColor="text1" w:themeTint="F2"/>
                <w:sz w:val="24"/>
                <w:szCs w:val="24"/>
              </w:rPr>
            </w:pPr>
          </w:p>
        </w:tc>
        <w:tc>
          <w:tcPr>
            <w:tcW w:w="1233" w:type="dxa"/>
            <w:vAlign w:val="center"/>
          </w:tcPr>
          <w:p>
            <w:pPr>
              <w:spacing w:line="240" w:lineRule="exact"/>
              <w:jc w:val="center"/>
              <w:rPr>
                <w:rFonts w:ascii="仿宋_GB2312" w:eastAsia="仿宋_GB2312"/>
                <w:color w:val="0C0C0C" w:themeColor="text1" w:themeTint="F2"/>
                <w:sz w:val="24"/>
                <w:szCs w:val="24"/>
              </w:rPr>
            </w:pPr>
          </w:p>
        </w:tc>
        <w:tc>
          <w:tcPr>
            <w:tcW w:w="800" w:type="dxa"/>
            <w:vAlign w:val="center"/>
          </w:tcPr>
          <w:p>
            <w:pPr>
              <w:spacing w:line="240" w:lineRule="exact"/>
              <w:jc w:val="center"/>
              <w:rPr>
                <w:rFonts w:ascii="仿宋_GB2312" w:eastAsia="仿宋_GB2312"/>
                <w:color w:val="0C0C0C" w:themeColor="text1" w:themeTint="F2"/>
                <w:sz w:val="24"/>
                <w:szCs w:val="24"/>
              </w:rPr>
            </w:pPr>
          </w:p>
        </w:tc>
        <w:tc>
          <w:tcPr>
            <w:tcW w:w="800" w:type="dxa"/>
            <w:vAlign w:val="center"/>
          </w:tcPr>
          <w:p>
            <w:pPr>
              <w:spacing w:line="240" w:lineRule="exact"/>
              <w:jc w:val="center"/>
              <w:rPr>
                <w:rFonts w:ascii="仿宋_GB2312" w:eastAsia="仿宋_GB2312"/>
                <w:color w:val="0C0C0C" w:themeColor="text1" w:themeTint="F2"/>
                <w:sz w:val="24"/>
                <w:szCs w:val="24"/>
              </w:rPr>
            </w:pPr>
          </w:p>
        </w:tc>
        <w:tc>
          <w:tcPr>
            <w:tcW w:w="645" w:type="dxa"/>
            <w:vAlign w:val="center"/>
          </w:tcPr>
          <w:p>
            <w:pPr>
              <w:spacing w:line="240" w:lineRule="exact"/>
              <w:jc w:val="center"/>
              <w:rPr>
                <w:rFonts w:ascii="仿宋_GB2312" w:eastAsia="仿宋_GB2312"/>
                <w:color w:val="0C0C0C" w:themeColor="text1" w:themeTint="F2"/>
                <w:sz w:val="24"/>
                <w:szCs w:val="24"/>
              </w:rPr>
            </w:pPr>
          </w:p>
        </w:tc>
        <w:tc>
          <w:tcPr>
            <w:tcW w:w="721" w:type="dxa"/>
            <w:vAlign w:val="center"/>
          </w:tcPr>
          <w:p>
            <w:pPr>
              <w:spacing w:line="240" w:lineRule="exact"/>
              <w:jc w:val="center"/>
              <w:rPr>
                <w:rFonts w:ascii="仿宋_GB2312" w:eastAsia="仿宋_GB2312"/>
                <w:color w:val="0C0C0C" w:themeColor="text1" w:themeTint="F2"/>
                <w:sz w:val="24"/>
                <w:szCs w:val="24"/>
              </w:rPr>
            </w:pPr>
          </w:p>
        </w:tc>
      </w:tr>
    </w:tbl>
    <w:p>
      <w:pPr>
        <w:adjustRightInd w:val="0"/>
        <w:snapToGrid w:val="0"/>
        <w:spacing w:line="560" w:lineRule="exact"/>
        <w:ind w:firstLine="640" w:firstLineChars="200"/>
        <w:rPr>
          <w:rFonts w:ascii="仿宋_GB2312" w:eastAsia="仿宋_GB2312"/>
          <w:color w:val="0C0C0C" w:themeColor="text1" w:themeTint="F2"/>
          <w:sz w:val="32"/>
          <w:szCs w:val="32"/>
        </w:rPr>
      </w:pPr>
    </w:p>
    <w:p>
      <w:pPr>
        <w:adjustRightInd w:val="0"/>
        <w:snapToGrid w:val="0"/>
        <w:spacing w:line="560" w:lineRule="exact"/>
        <w:ind w:firstLine="640" w:firstLineChars="200"/>
        <w:rPr>
          <w:rFonts w:ascii="仿宋_GB2312" w:eastAsia="仿宋_GB2312"/>
          <w:color w:val="0C0C0C" w:themeColor="text1" w:themeTint="F2"/>
          <w:sz w:val="32"/>
          <w:szCs w:val="32"/>
        </w:rPr>
        <w:sectPr>
          <w:pgSz w:w="16838" w:h="11906" w:orient="landscape"/>
          <w:pgMar w:top="1701" w:right="1418" w:bottom="1417" w:left="1418"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eastAsia="黑体"/>
          <w:color w:val="0C0C0C" w:themeColor="text1" w:themeTint="F2"/>
          <w:sz w:val="32"/>
          <w:szCs w:val="32"/>
        </w:rPr>
      </w:pPr>
      <w:r>
        <w:rPr>
          <w:rFonts w:hint="eastAsia" w:ascii="黑体" w:eastAsia="黑体" w:cs="黑体"/>
          <w:color w:val="0C0C0C" w:themeColor="text1" w:themeTint="F2"/>
          <w:sz w:val="32"/>
          <w:szCs w:val="32"/>
        </w:rPr>
        <w:t>六、学校卫生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抽查学校教学和生活环境、传染病防控、学校饮用水以及学校内游泳场所的卫生管理情况，抽查教室采光照明、人均面积和水质。开展学校卫生综合评价。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（二）结果报送要求。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rPr>
        <w:t>1.</w:t>
      </w:r>
      <w:r>
        <w:rPr>
          <w:rFonts w:hint="eastAsia" w:ascii="仿宋_GB2312" w:eastAsia="仿宋_GB2312"/>
          <w:color w:val="0C0C0C" w:themeColor="text1" w:themeTint="F2"/>
          <w:sz w:val="32"/>
          <w:szCs w:val="32"/>
        </w:rPr>
        <w:t>各地要切实加强对数据信息的审核工作，学校卫生综合监督评价上报数据信息将作为评估各地落实“十三五”相关规划任务的重要依据。</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rPr>
        <w:t>2.</w:t>
      </w:r>
      <w:r>
        <w:rPr>
          <w:rFonts w:hint="eastAsia" w:ascii="仿宋_GB2312" w:eastAsia="仿宋_GB2312"/>
          <w:color w:val="0C0C0C" w:themeColor="text1" w:themeTint="F2"/>
          <w:sz w:val="32"/>
          <w:szCs w:val="32"/>
        </w:rPr>
        <w:t>各地要将完成本抽查计划中的学校采光和照明抽检任务，作为贯彻落实《综合防控儿童青少年近视实施方案》的一项重要内容，会同辖区教育行政部门做好抽检、记录和公布工作。</w:t>
      </w:r>
    </w:p>
    <w:p>
      <w:pPr>
        <w:keepNext w:val="0"/>
        <w:keepLines w:val="0"/>
        <w:pageBreakBefore w:val="0"/>
        <w:widowControl w:val="0"/>
        <w:kinsoku/>
        <w:wordWrap/>
        <w:overflowPunct/>
        <w:topLinePunct w:val="0"/>
        <w:autoSpaceDE/>
        <w:autoSpaceDN/>
        <w:bidi w:val="0"/>
        <w:spacing w:line="560" w:lineRule="exact"/>
        <w:ind w:firstLine="64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3.各地要在2020年6月1日前完成30%以上学校抽查任务的结果报送。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_GB2312"/>
          <w:color w:val="0C0C0C" w:themeColor="text1" w:themeTint="F2"/>
          <w:sz w:val="32"/>
          <w:szCs w:val="32"/>
        </w:rPr>
        <w:t>4.</w:t>
      </w:r>
      <w:r>
        <w:rPr>
          <w:rFonts w:hint="eastAsia" w:ascii="仿宋_GB2312" w:eastAsia="仿宋_GB2312"/>
          <w:color w:val="0C0C0C" w:themeColor="text1" w:themeTint="F2"/>
          <w:sz w:val="32"/>
          <w:szCs w:val="32"/>
        </w:rPr>
        <w:t>对监督检查中发现的饮用水供水、学校教学和生活环境及传染病防控等方面长期存在的突出问题，各地要强化处理措施，相关情况及时向当地政府主管部门通报，促进问题切实得以整治解决。监督检查中发现的相关问题信息，要及时向相关方面通报、组织协查。重大案件信息要及时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联</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系</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 xml:space="preserve">人：自治区卫生监督所监督五科 </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曹蓉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联系电话：</w:t>
      </w:r>
      <w:r>
        <w:rPr>
          <w:rFonts w:hint="eastAsia" w:ascii="仿宋_GB2312" w:eastAsia="仿宋_GB2312" w:cs="??_GB2312"/>
          <w:color w:val="0C0C0C" w:themeColor="text1" w:themeTint="F2"/>
          <w:sz w:val="32"/>
          <w:szCs w:val="32"/>
        </w:rPr>
        <w:t xml:space="preserve">0771-5311055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C0C0C" w:themeColor="text1" w:themeTint="F2"/>
          <w:sz w:val="32"/>
          <w:szCs w:val="32"/>
        </w:rPr>
      </w:pPr>
      <w:r>
        <w:rPr>
          <w:rFonts w:hint="eastAsia" w:ascii="仿宋_GB2312" w:eastAsia="仿宋_GB2312"/>
          <w:color w:val="0C0C0C" w:themeColor="text1" w:themeTint="F2"/>
          <w:sz w:val="32"/>
          <w:szCs w:val="32"/>
        </w:rPr>
        <w:t>邮    箱：</w:t>
      </w:r>
      <w:r>
        <w:rPr>
          <w:rFonts w:hint="default" w:ascii="Times New Roman" w:hAnsi="Times New Roman" w:eastAsia="仿宋_GB2312" w:cs="Times New Roman"/>
          <w:color w:val="0C0C0C" w:themeColor="text1" w:themeTint="F2"/>
          <w:sz w:val="32"/>
          <w:szCs w:val="32"/>
        </w:rPr>
        <w:t>gxjd5k@163.com</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_GB2312"/>
          <w:color w:val="0C0C0C" w:themeColor="text1" w:themeTint="F2"/>
          <w:sz w:val="32"/>
          <w:szCs w:val="32"/>
        </w:rPr>
      </w:pPr>
    </w:p>
    <w:p>
      <w:pPr>
        <w:keepNext w:val="0"/>
        <w:keepLines w:val="0"/>
        <w:pageBreakBefore w:val="0"/>
        <w:widowControl w:val="0"/>
        <w:tabs>
          <w:tab w:val="left" w:pos="1480"/>
          <w:tab w:val="left" w:pos="1701"/>
        </w:tabs>
        <w:kinsoku/>
        <w:wordWrap/>
        <w:overflowPunct/>
        <w:topLinePunct w:val="0"/>
        <w:autoSpaceDE/>
        <w:autoSpaceDN/>
        <w:bidi w:val="0"/>
        <w:spacing w:line="560" w:lineRule="exact"/>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附表：</w:t>
      </w:r>
      <w:r>
        <w:rPr>
          <w:rFonts w:hint="eastAsia" w:ascii="仿宋_GB2312" w:eastAsia="仿宋_GB2312" w:cs="??_GB2312"/>
          <w:color w:val="0C0C0C" w:themeColor="text1" w:themeTint="F2"/>
          <w:sz w:val="32"/>
          <w:szCs w:val="32"/>
        </w:rPr>
        <w:t>1.</w:t>
      </w:r>
      <w:r>
        <w:rPr>
          <w:rFonts w:hint="eastAsia" w:ascii="仿宋_GB2312" w:eastAsia="仿宋_GB2312" w:cs="仿宋"/>
          <w:color w:val="0C0C0C" w:themeColor="text1" w:themeTint="F2"/>
          <w:sz w:val="32"/>
          <w:szCs w:val="32"/>
        </w:rPr>
        <w:t>2020年学校卫生国家随机监督抽查工作计划表</w:t>
      </w:r>
    </w:p>
    <w:p>
      <w:pPr>
        <w:keepNext w:val="0"/>
        <w:keepLines w:val="0"/>
        <w:pageBreakBefore w:val="0"/>
        <w:widowControl w:val="0"/>
        <w:kinsoku/>
        <w:wordWrap/>
        <w:overflowPunct/>
        <w:topLinePunct w:val="0"/>
        <w:autoSpaceDE/>
        <w:autoSpaceDN/>
        <w:bidi w:val="0"/>
        <w:spacing w:line="560" w:lineRule="exact"/>
        <w:textAlignment w:val="auto"/>
        <w:outlineLvl w:val="0"/>
        <w:rPr>
          <w:rFonts w:hint="eastAsia" w:ascii="仿宋_GB2312" w:eastAsia="仿宋_GB2312" w:cs="仿宋"/>
          <w:color w:val="0C0C0C" w:themeColor="text1" w:themeTint="F2"/>
          <w:sz w:val="32"/>
          <w:szCs w:val="32"/>
        </w:rPr>
      </w:pPr>
      <w:r>
        <w:rPr>
          <w:rFonts w:hint="eastAsia" w:ascii="仿宋_GB2312" w:eastAsia="仿宋_GB2312" w:cs="??_GB2312"/>
          <w:color w:val="0C0C0C" w:themeColor="text1" w:themeTint="F2"/>
          <w:sz w:val="32"/>
          <w:szCs w:val="32"/>
          <w:lang w:eastAsia="zh-CN"/>
        </w:rPr>
        <w:t>　　　　　</w:t>
      </w:r>
      <w:r>
        <w:rPr>
          <w:rFonts w:hint="eastAsia" w:ascii="仿宋_GB2312" w:eastAsia="仿宋_GB2312" w:cs="??_GB2312"/>
          <w:color w:val="0C0C0C" w:themeColor="text1" w:themeTint="F2"/>
          <w:sz w:val="32"/>
          <w:szCs w:val="32"/>
        </w:rPr>
        <w:t>2.</w:t>
      </w:r>
      <w:r>
        <w:rPr>
          <w:rFonts w:hint="eastAsia" w:ascii="仿宋_GB2312" w:eastAsia="仿宋_GB2312" w:cs="仿宋"/>
          <w:color w:val="0C0C0C" w:themeColor="text1" w:themeTint="F2"/>
          <w:sz w:val="32"/>
          <w:szCs w:val="32"/>
        </w:rPr>
        <w:t>2020年学校卫生综合监督评价及监督协管服务</w:t>
      </w:r>
    </w:p>
    <w:p>
      <w:pPr>
        <w:keepNext w:val="0"/>
        <w:keepLines w:val="0"/>
        <w:pageBreakBefore w:val="0"/>
        <w:widowControl w:val="0"/>
        <w:kinsoku/>
        <w:wordWrap/>
        <w:overflowPunct/>
        <w:topLinePunct w:val="0"/>
        <w:autoSpaceDE/>
        <w:autoSpaceDN/>
        <w:bidi w:val="0"/>
        <w:spacing w:line="560" w:lineRule="exact"/>
        <w:textAlignment w:val="auto"/>
        <w:outlineLvl w:val="0"/>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信息汇总表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olor w:val="0C0C0C" w:themeColor="text1" w:themeTint="F2"/>
          <w:sz w:val="32"/>
          <w:szCs w:val="32"/>
        </w:rPr>
        <w:sectPr>
          <w:pgSz w:w="11906" w:h="16838"/>
          <w:pgMar w:top="1701" w:right="1418" w:bottom="1417" w:left="1701"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2020年学校卫生国家随机监督抽查工作计划表</w:t>
      </w:r>
    </w:p>
    <w:tbl>
      <w:tblPr>
        <w:tblStyle w:val="7"/>
        <w:tblW w:w="139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8" w:type="dxa"/>
            <w:vAlign w:val="center"/>
          </w:tcPr>
          <w:p>
            <w:pPr>
              <w:jc w:val="center"/>
              <w:rPr>
                <w:rFonts w:hint="eastAsia" w:ascii="黑体" w:hAnsi="黑体" w:eastAsia="黑体" w:cs="黑体"/>
                <w:color w:val="0C0C0C" w:themeColor="text1" w:themeTint="F2"/>
              </w:rPr>
            </w:pPr>
            <w:r>
              <w:rPr>
                <w:rFonts w:hint="eastAsia" w:ascii="黑体" w:hAnsi="黑体" w:eastAsia="黑体" w:cs="黑体"/>
                <w:color w:val="0C0C0C" w:themeColor="text1" w:themeTint="F2"/>
              </w:rPr>
              <w:t>监督检查对象</w:t>
            </w:r>
          </w:p>
        </w:tc>
        <w:tc>
          <w:tcPr>
            <w:tcW w:w="2127" w:type="dxa"/>
            <w:vAlign w:val="center"/>
          </w:tcPr>
          <w:p>
            <w:pPr>
              <w:keepNext/>
              <w:keepLines/>
              <w:widowControl/>
              <w:spacing w:beforeLines="30" w:afterLines="30" w:line="260" w:lineRule="exact"/>
              <w:jc w:val="center"/>
              <w:rPr>
                <w:rFonts w:hint="eastAsia" w:ascii="黑体" w:hAnsi="黑体" w:eastAsia="黑体" w:cs="黑体"/>
                <w:color w:val="0C0C0C" w:themeColor="text1" w:themeTint="F2"/>
              </w:rPr>
            </w:pPr>
            <w:r>
              <w:rPr>
                <w:rFonts w:hint="eastAsia" w:ascii="黑体" w:hAnsi="黑体" w:eastAsia="黑体" w:cs="黑体"/>
                <w:color w:val="0C0C0C" w:themeColor="text1" w:themeTint="F2"/>
              </w:rPr>
              <w:t>范围和数量</w:t>
            </w:r>
          </w:p>
        </w:tc>
        <w:tc>
          <w:tcPr>
            <w:tcW w:w="5705" w:type="dxa"/>
            <w:vAlign w:val="center"/>
          </w:tcPr>
          <w:p>
            <w:pPr>
              <w:keepNext/>
              <w:keepLines/>
              <w:widowControl/>
              <w:spacing w:beforeLines="30" w:afterLines="30" w:line="260" w:lineRule="exact"/>
              <w:jc w:val="center"/>
              <w:rPr>
                <w:rFonts w:hint="eastAsia" w:ascii="黑体" w:hAnsi="黑体" w:eastAsia="黑体" w:cs="黑体"/>
                <w:color w:val="0C0C0C" w:themeColor="text1" w:themeTint="F2"/>
                <w:sz w:val="18"/>
                <w:szCs w:val="18"/>
              </w:rPr>
            </w:pPr>
            <w:r>
              <w:rPr>
                <w:rFonts w:hint="eastAsia" w:ascii="黑体" w:hAnsi="黑体" w:eastAsia="黑体" w:cs="黑体"/>
                <w:color w:val="0C0C0C" w:themeColor="text1" w:themeTint="F2"/>
              </w:rPr>
              <w:t>检查内容</w:t>
            </w:r>
          </w:p>
        </w:tc>
        <w:tc>
          <w:tcPr>
            <w:tcW w:w="4433" w:type="dxa"/>
            <w:vAlign w:val="center"/>
          </w:tcPr>
          <w:p>
            <w:pPr>
              <w:keepNext/>
              <w:keepLines/>
              <w:widowControl/>
              <w:spacing w:beforeLines="30" w:afterLines="30" w:line="260" w:lineRule="exact"/>
              <w:jc w:val="center"/>
              <w:rPr>
                <w:rFonts w:hint="eastAsia" w:ascii="黑体" w:hAnsi="黑体" w:eastAsia="黑体" w:cs="黑体"/>
                <w:color w:val="0C0C0C" w:themeColor="text1" w:themeTint="F2"/>
                <w:sz w:val="18"/>
                <w:szCs w:val="18"/>
              </w:rPr>
            </w:pPr>
            <w:r>
              <w:rPr>
                <w:rFonts w:hint="eastAsia" w:ascii="黑体" w:hAnsi="黑体" w:eastAsia="黑体" w:cs="黑体"/>
                <w:color w:val="0C0C0C" w:themeColor="text1" w:themeTint="F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vAlign w:val="center"/>
          </w:tcPr>
          <w:p>
            <w:pPr>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中小学校及高校</w:t>
            </w:r>
          </w:p>
        </w:tc>
        <w:tc>
          <w:tcPr>
            <w:tcW w:w="2127" w:type="dxa"/>
            <w:vAlign w:val="center"/>
          </w:tcPr>
          <w:p>
            <w:pPr>
              <w:keepNext/>
              <w:keepLines/>
              <w:widowControl/>
              <w:spacing w:beforeLines="30" w:afterLines="30" w:line="260" w:lineRule="exact"/>
              <w:rPr>
                <w:rFonts w:ascii="仿宋_GB2312" w:eastAsia="仿宋_GB2312" w:cs="华文仿宋"/>
                <w:color w:val="0C0C0C" w:themeColor="text1" w:themeTint="F2"/>
                <w:sz w:val="21"/>
                <w:szCs w:val="21"/>
              </w:rPr>
            </w:pPr>
            <w:r>
              <w:rPr>
                <w:rFonts w:hint="eastAsia" w:ascii="仿宋_GB2312" w:eastAsia="仿宋_GB2312" w:cs="华文仿宋"/>
                <w:color w:val="0C0C0C" w:themeColor="text1" w:themeTint="F2"/>
                <w:sz w:val="21"/>
                <w:szCs w:val="21"/>
              </w:rPr>
              <w:t>辖区学校总数的20%</w:t>
            </w:r>
          </w:p>
        </w:tc>
        <w:tc>
          <w:tcPr>
            <w:tcW w:w="5705" w:type="dxa"/>
            <w:vAlign w:val="center"/>
          </w:tcPr>
          <w:p>
            <w:pPr>
              <w:keepNext/>
              <w:keepLines/>
              <w:widowControl/>
              <w:spacing w:beforeLines="50" w:line="240" w:lineRule="exact"/>
              <w:rPr>
                <w:rFonts w:ascii="仿宋_GB2312" w:hAnsi="Calibri" w:eastAsia="仿宋_GB2312" w:cs="Calibri"/>
                <w:color w:val="0C0C0C" w:themeColor="text1" w:themeTint="F2"/>
                <w:sz w:val="21"/>
                <w:szCs w:val="21"/>
              </w:rPr>
            </w:pPr>
            <w:r>
              <w:rPr>
                <w:rFonts w:hint="eastAsia" w:ascii="仿宋_GB2312" w:eastAsia="仿宋_GB2312" w:cs="华文仿宋"/>
                <w:color w:val="0C0C0C" w:themeColor="text1" w:themeTint="F2"/>
                <w:sz w:val="21"/>
                <w:szCs w:val="21"/>
              </w:rPr>
              <w:t>1.学校落实教学和生活环境卫生要求情况，包括教室课桌椅配备</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vertAlign w:val="superscript"/>
              </w:rPr>
              <w:t>a</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rPr>
              <w:t>、教室采光和照明</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vertAlign w:val="superscript"/>
              </w:rPr>
              <w:t>b</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rPr>
              <w:t>、教室人均面积、教室和宿舍通风设施、教学楼厕所及洗手设施设置等情况</w:t>
            </w:r>
          </w:p>
          <w:p>
            <w:pPr>
              <w:keepNext/>
              <w:keepLines/>
              <w:widowControl/>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2.学校落实传染病和常见病防控要求情况，包括专人负责疫情报告、传染病防控“一案八制”</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vertAlign w:val="superscript"/>
              </w:rPr>
              <w:t>c</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rPr>
              <w:t>、晨检记录和因病缺勤病因追查与登记记录、复课证明查验、新生入学接种证查验登记、每年按规定实施学生健康体检等情况</w:t>
            </w:r>
          </w:p>
          <w:p>
            <w:pPr>
              <w:keepNext/>
              <w:keepLines/>
              <w:widowControl/>
              <w:spacing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Lines="50" w:line="240" w:lineRule="exact"/>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4.学校纳入卫生监督协管服务情况</w:t>
            </w:r>
          </w:p>
        </w:tc>
        <w:tc>
          <w:tcPr>
            <w:tcW w:w="4433" w:type="dxa"/>
            <w:vAlign w:val="center"/>
          </w:tcPr>
          <w:p>
            <w:pPr>
              <w:keepNext/>
              <w:keepLines/>
              <w:widowControl/>
              <w:spacing w:beforeLines="50" w:line="240" w:lineRule="exact"/>
              <w:rPr>
                <w:rFonts w:ascii="仿宋_GB2312" w:hAnsi="Calibri" w:eastAsia="仿宋_GB2312" w:cs="Calibri"/>
                <w:color w:val="0C0C0C" w:themeColor="text1" w:themeTint="F2"/>
                <w:sz w:val="21"/>
                <w:szCs w:val="21"/>
              </w:rPr>
            </w:pPr>
            <w:r>
              <w:rPr>
                <w:rFonts w:hint="eastAsia" w:ascii="仿宋_GB2312" w:eastAsia="仿宋_GB2312" w:cs="华文仿宋"/>
                <w:color w:val="0C0C0C" w:themeColor="text1" w:themeTint="F2"/>
                <w:sz w:val="21"/>
                <w:szCs w:val="21"/>
              </w:rPr>
              <w:t>1.教室采光、照明及教室人均面积</w:t>
            </w:r>
          </w:p>
          <w:p>
            <w:pPr>
              <w:keepNext/>
              <w:keepLines/>
              <w:widowControl/>
              <w:spacing w:afterLines="50" w:line="240" w:lineRule="exact"/>
              <w:rPr>
                <w:rFonts w:ascii="仿宋_GB2312" w:hAnsi="Calibri" w:eastAsia="仿宋_GB2312" w:cs="Calibri"/>
                <w:color w:val="0C0C0C" w:themeColor="text1" w:themeTint="F2"/>
                <w:sz w:val="21"/>
                <w:szCs w:val="21"/>
              </w:rPr>
            </w:pPr>
            <w:r>
              <w:rPr>
                <w:rFonts w:hint="eastAsia" w:ascii="仿宋_GB2312" w:eastAsia="仿宋_GB2312" w:cs="华文仿宋"/>
                <w:color w:val="0C0C0C" w:themeColor="text1" w:themeTint="F2"/>
                <w:sz w:val="21"/>
                <w:szCs w:val="21"/>
              </w:rPr>
              <w:t>2.学校自建设施集中式供水和二次供水水质色度、浑浊度、臭和味、肉眼可见物、pH和消毒剂余量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08" w:type="dxa"/>
            <w:vAlign w:val="center"/>
          </w:tcPr>
          <w:p>
            <w:pPr>
              <w:jc w:val="center"/>
              <w:rPr>
                <w:rFonts w:ascii="仿宋_GB2312" w:eastAsia="仿宋_GB2312"/>
                <w:color w:val="0C0C0C" w:themeColor="text1" w:themeTint="F2"/>
                <w:sz w:val="21"/>
                <w:szCs w:val="21"/>
              </w:rPr>
            </w:pPr>
            <w:r>
              <w:rPr>
                <w:rFonts w:hint="eastAsia" w:ascii="仿宋_GB2312" w:eastAsia="仿宋_GB2312" w:cs="华文仿宋"/>
                <w:color w:val="0C0C0C" w:themeColor="text1" w:themeTint="F2"/>
                <w:sz w:val="21"/>
                <w:szCs w:val="21"/>
              </w:rPr>
              <w:t>中小学校</w:t>
            </w:r>
          </w:p>
        </w:tc>
        <w:tc>
          <w:tcPr>
            <w:tcW w:w="2127" w:type="dxa"/>
            <w:vAlign w:val="center"/>
          </w:tcPr>
          <w:p>
            <w:pPr>
              <w:keepNext/>
              <w:keepLines/>
              <w:widowControl/>
              <w:spacing w:beforeLines="50" w:afterLines="50" w:line="240" w:lineRule="exact"/>
              <w:rPr>
                <w:rFonts w:hint="eastAsia" w:ascii="仿宋_GB2312" w:eastAsia="仿宋_GB2312"/>
                <w:color w:val="0C0C0C" w:themeColor="text1" w:themeTint="F2"/>
                <w:sz w:val="21"/>
                <w:szCs w:val="21"/>
                <w:lang w:eastAsia="zh-CN"/>
              </w:rPr>
            </w:pPr>
            <w:r>
              <w:rPr>
                <w:rFonts w:hint="eastAsia" w:ascii="仿宋_GB2312" w:eastAsia="仿宋_GB2312" w:cs="华文仿宋"/>
                <w:color w:val="0C0C0C" w:themeColor="text1" w:themeTint="F2"/>
                <w:sz w:val="21"/>
                <w:szCs w:val="21"/>
              </w:rPr>
              <w:t>2014年以来没有开展过学校卫生综合评价的全部学校</w:t>
            </w:r>
            <w:r>
              <w:rPr>
                <w:rFonts w:hint="eastAsia" w:ascii="仿宋_GB2312" w:eastAsia="仿宋_GB2312" w:cs="华文仿宋"/>
                <w:color w:val="0C0C0C" w:themeColor="text1" w:themeTint="F2"/>
                <w:sz w:val="21"/>
                <w:szCs w:val="21"/>
                <w:vertAlign w:val="superscript"/>
                <w:lang w:eastAsia="zh-CN"/>
              </w:rPr>
              <w:t>（</w:t>
            </w:r>
            <w:r>
              <w:rPr>
                <w:rFonts w:hint="eastAsia" w:ascii="仿宋_GB2312" w:eastAsia="仿宋_GB2312" w:cs="华文仿宋"/>
                <w:color w:val="0C0C0C" w:themeColor="text1" w:themeTint="F2"/>
                <w:sz w:val="21"/>
                <w:szCs w:val="21"/>
                <w:vertAlign w:val="superscript"/>
              </w:rPr>
              <w:t>d</w:t>
            </w:r>
            <w:r>
              <w:rPr>
                <w:rFonts w:hint="eastAsia" w:ascii="仿宋_GB2312" w:eastAsia="仿宋_GB2312" w:cs="华文仿宋"/>
                <w:color w:val="0C0C0C" w:themeColor="text1" w:themeTint="F2"/>
                <w:sz w:val="21"/>
                <w:szCs w:val="21"/>
                <w:vertAlign w:val="superscript"/>
                <w:lang w:eastAsia="zh-CN"/>
              </w:rPr>
              <w:t>）</w:t>
            </w:r>
          </w:p>
        </w:tc>
        <w:tc>
          <w:tcPr>
            <w:tcW w:w="5705" w:type="dxa"/>
            <w:vAlign w:val="center"/>
          </w:tcPr>
          <w:p>
            <w:pPr>
              <w:keepNext/>
              <w:keepLines/>
              <w:widowControl/>
              <w:spacing w:beforeLines="50" w:afterLines="50" w:line="240" w:lineRule="exact"/>
              <w:rPr>
                <w:rFonts w:ascii="仿宋_GB2312" w:hAnsi="Calibri" w:eastAsia="仿宋_GB2312" w:cs="Calibri"/>
                <w:color w:val="0C0C0C" w:themeColor="text1" w:themeTint="F2"/>
                <w:sz w:val="21"/>
                <w:szCs w:val="21"/>
              </w:rPr>
            </w:pPr>
            <w:r>
              <w:rPr>
                <w:rFonts w:hint="eastAsia" w:ascii="仿宋_GB2312" w:eastAsia="仿宋_GB2312" w:cs="华文仿宋"/>
                <w:color w:val="0C0C0C" w:themeColor="text1" w:themeTint="F2"/>
                <w:sz w:val="21"/>
                <w:szCs w:val="21"/>
              </w:rPr>
              <w:t>检查《学校卫生综合评价》（GB/T18205）所列学校传染病防控、常见病与多发病防治、生活饮用水、教室和生活环境、公共场所及突发公共卫生事件卫生管理等方面情况。</w:t>
            </w:r>
          </w:p>
        </w:tc>
        <w:tc>
          <w:tcPr>
            <w:tcW w:w="4433" w:type="dxa"/>
            <w:vAlign w:val="center"/>
          </w:tcPr>
          <w:p>
            <w:pPr>
              <w:keepNext/>
              <w:keepLines/>
              <w:widowControl/>
              <w:spacing w:beforeLines="30" w:afterLines="30" w:line="260" w:lineRule="exact"/>
              <w:rPr>
                <w:rFonts w:ascii="仿宋_GB2312" w:hAnsi="Calibri" w:eastAsia="仿宋_GB2312" w:cs="华文仿宋"/>
                <w:color w:val="0C0C0C" w:themeColor="text1" w:themeTint="F2"/>
                <w:sz w:val="21"/>
                <w:szCs w:val="21"/>
              </w:rPr>
            </w:pPr>
            <w:r>
              <w:rPr>
                <w:rFonts w:hint="eastAsia" w:ascii="仿宋_GB2312" w:eastAsia="仿宋_GB2312" w:cs="华文仿宋"/>
                <w:color w:val="0C0C0C" w:themeColor="text1" w:themeTint="F2"/>
                <w:sz w:val="21"/>
                <w:szCs w:val="21"/>
              </w:rPr>
              <w:t>----</w:t>
            </w:r>
          </w:p>
        </w:tc>
      </w:tr>
    </w:tbl>
    <w:p>
      <w:pPr>
        <w:pStyle w:val="12"/>
        <w:snapToGrid w:val="0"/>
        <w:spacing w:beforeLines="50" w:line="240" w:lineRule="exact"/>
        <w:ind w:firstLine="0" w:firstLineChars="0"/>
        <w:jc w:val="left"/>
        <w:rPr>
          <w:rFonts w:ascii="仿宋_GB2312" w:eastAsia="仿宋_GB2312" w:cs="Times New Roman"/>
          <w:color w:val="0C0C0C" w:themeColor="text1" w:themeTint="F2"/>
          <w:sz w:val="21"/>
          <w:szCs w:val="21"/>
        </w:rPr>
      </w:pPr>
      <w:r>
        <w:rPr>
          <w:rFonts w:hint="eastAsia" w:ascii="仿宋_GB2312" w:eastAsia="仿宋_GB2312" w:cs="华文仿宋"/>
          <w:color w:val="0C0C0C" w:themeColor="text1" w:themeTint="F2"/>
          <w:sz w:val="21"/>
          <w:szCs w:val="21"/>
        </w:rPr>
        <w:t xml:space="preserve">    a.指每间教室至少设有2种不同高低型号的课桌椅，且每人一席。</w:t>
      </w:r>
    </w:p>
    <w:p>
      <w:pPr>
        <w:pStyle w:val="12"/>
        <w:snapToGrid w:val="0"/>
        <w:spacing w:line="240" w:lineRule="exact"/>
        <w:ind w:left="420" w:leftChars="200" w:firstLine="0" w:firstLineChars="0"/>
        <w:jc w:val="left"/>
        <w:rPr>
          <w:rFonts w:ascii="仿宋_GB2312" w:eastAsia="仿宋_GB2312" w:cs="Times New Roman"/>
          <w:color w:val="0C0C0C" w:themeColor="text1" w:themeTint="F2"/>
          <w:sz w:val="21"/>
          <w:szCs w:val="21"/>
        </w:rPr>
      </w:pPr>
      <w:r>
        <w:rPr>
          <w:rFonts w:hint="eastAsia" w:ascii="仿宋_GB2312" w:eastAsia="仿宋_GB2312" w:cs="华文仿宋"/>
          <w:color w:val="0C0C0C" w:themeColor="text1" w:themeTint="F2"/>
          <w:sz w:val="21"/>
          <w:szCs w:val="21"/>
        </w:rPr>
        <w:t>b.教室采光和照明检查项目含窗地面积比、采光方向、防眩光措施、装设人工照明、黑板局部照明灯设置、课桌面照度及均匀度、黑板照度及均匀度，按照</w:t>
      </w:r>
      <w:r>
        <w:rPr>
          <w:rFonts w:hint="eastAsia" w:ascii="仿宋_GB2312" w:eastAsia="仿宋_GB2312" w:cs="华文仿宋"/>
          <w:color w:val="0C0C0C" w:themeColor="text1" w:themeTint="F2"/>
          <w:kern w:val="0"/>
          <w:sz w:val="21"/>
          <w:szCs w:val="21"/>
        </w:rPr>
        <w:t>《中小学校教室采光和照明卫生标准》（GB7793）的规定进行达标判定</w:t>
      </w:r>
      <w:r>
        <w:rPr>
          <w:rFonts w:hint="eastAsia" w:ascii="仿宋_GB2312" w:eastAsia="仿宋_GB2312" w:cs="华文仿宋"/>
          <w:color w:val="0C0C0C" w:themeColor="text1" w:themeTint="F2"/>
          <w:sz w:val="21"/>
          <w:szCs w:val="21"/>
        </w:rPr>
        <w:t>。</w:t>
      </w:r>
    </w:p>
    <w:p>
      <w:pPr>
        <w:pStyle w:val="12"/>
        <w:snapToGrid w:val="0"/>
        <w:spacing w:line="240" w:lineRule="exact"/>
        <w:ind w:firstLine="420" w:firstLineChars="0"/>
        <w:jc w:val="left"/>
        <w:rPr>
          <w:rFonts w:ascii="仿宋_GB2312" w:eastAsia="仿宋_GB2312" w:cs="Times New Roman"/>
          <w:color w:val="0C0C0C" w:themeColor="text1" w:themeTint="F2"/>
          <w:sz w:val="21"/>
          <w:szCs w:val="21"/>
        </w:rPr>
      </w:pPr>
      <w:r>
        <w:rPr>
          <w:rFonts w:hint="eastAsia" w:ascii="仿宋_GB2312" w:eastAsia="仿宋_GB2312" w:cs="华文仿宋"/>
          <w:color w:val="0C0C0C" w:themeColor="text1" w:themeTint="F2"/>
          <w:sz w:val="21"/>
          <w:szCs w:val="21"/>
        </w:rPr>
        <w:t>c.指《中小学校传染病预防控制工作管理规范》（GB28932）第4.8条规定的传染病预防控制应急预案和相关制度。</w:t>
      </w:r>
    </w:p>
    <w:p>
      <w:pPr>
        <w:pStyle w:val="12"/>
        <w:snapToGrid w:val="0"/>
        <w:spacing w:line="240" w:lineRule="exact"/>
        <w:ind w:firstLine="420" w:firstLineChars="0"/>
        <w:jc w:val="left"/>
        <w:rPr>
          <w:rFonts w:ascii="仿宋_GB2312" w:eastAsia="仿宋_GB2312" w:cs="Times New Roman"/>
          <w:color w:val="0C0C0C" w:themeColor="text1" w:themeTint="F2"/>
        </w:rPr>
      </w:pPr>
      <w:r>
        <w:rPr>
          <w:rFonts w:hint="eastAsia" w:ascii="仿宋_GB2312" w:eastAsia="仿宋_GB2312" w:cs="华文仿宋"/>
          <w:color w:val="0C0C0C" w:themeColor="text1" w:themeTint="F2"/>
          <w:sz w:val="21"/>
          <w:szCs w:val="21"/>
        </w:rPr>
        <w:t>d.学校卫生综合评价工作的范围和数量不纳入双随机抽查机制，各地根据当地实际确定学校。</w:t>
      </w:r>
    </w:p>
    <w:p>
      <w:pPr>
        <w:pStyle w:val="12"/>
        <w:snapToGrid w:val="0"/>
        <w:spacing w:line="240" w:lineRule="exact"/>
        <w:ind w:left="360" w:firstLine="0" w:firstLineChars="0"/>
        <w:jc w:val="left"/>
        <w:rPr>
          <w:rFonts w:ascii="仿宋_GB2312" w:eastAsia="仿宋_GB2312" w:cs="Times New Roman"/>
          <w:color w:val="0C0C0C" w:themeColor="text1" w:themeTint="F2"/>
        </w:rPr>
      </w:pPr>
    </w:p>
    <w:p>
      <w:pPr>
        <w:pStyle w:val="12"/>
        <w:snapToGrid w:val="0"/>
        <w:spacing w:line="240" w:lineRule="exact"/>
        <w:ind w:left="360" w:firstLine="0" w:firstLineChars="0"/>
        <w:jc w:val="left"/>
        <w:rPr>
          <w:rFonts w:ascii="仿宋_GB2312" w:eastAsia="仿宋_GB2312" w:cs="Times New Roman"/>
          <w:color w:val="0C0C0C" w:themeColor="text1" w:themeTint="F2"/>
        </w:rPr>
      </w:pPr>
    </w:p>
    <w:p>
      <w:pPr>
        <w:adjustRightInd w:val="0"/>
        <w:snapToGrid w:val="0"/>
        <w:spacing w:line="560" w:lineRule="exact"/>
        <w:rPr>
          <w:rFonts w:ascii="仿宋_GB2312" w:eastAsia="仿宋_GB2312"/>
          <w:color w:val="0C0C0C" w:themeColor="text1" w:themeTint="F2"/>
          <w:sz w:val="32"/>
          <w:szCs w:val="32"/>
        </w:rPr>
        <w:sectPr>
          <w:pgSz w:w="16838" w:h="11906" w:orient="landscape"/>
          <w:pgMar w:top="1701" w:right="1418" w:bottom="1417" w:left="1418" w:header="851" w:footer="992" w:gutter="0"/>
          <w:pgNumType w:fmt="decimal"/>
          <w:cols w:space="0" w:num="1"/>
          <w:rtlGutter w:val="0"/>
          <w:docGrid w:type="lines" w:linePitch="312" w:charSpace="0"/>
        </w:sectPr>
      </w:pPr>
    </w:p>
    <w:p>
      <w:pPr>
        <w:snapToGrid w:val="0"/>
        <w:spacing w:afterLines="50"/>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附表2</w:t>
      </w:r>
    </w:p>
    <w:p>
      <w:pPr>
        <w:spacing w:beforeLines="5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2020年学校卫生综合监督评价及监督协管服务信息汇总表</w:t>
      </w:r>
    </w:p>
    <w:tbl>
      <w:tblPr>
        <w:tblStyle w:val="7"/>
        <w:tblW w:w="13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077"/>
        <w:gridCol w:w="2827"/>
        <w:gridCol w:w="1776"/>
        <w:gridCol w:w="1776"/>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37" w:type="dxa"/>
            <w:vMerge w:val="restart"/>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辖区中小学校总数</w:t>
            </w:r>
          </w:p>
        </w:tc>
        <w:tc>
          <w:tcPr>
            <w:tcW w:w="2077" w:type="dxa"/>
            <w:vMerge w:val="restart"/>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纳入卫生监督协管服务学校数</w:t>
            </w:r>
          </w:p>
        </w:tc>
        <w:tc>
          <w:tcPr>
            <w:tcW w:w="2827" w:type="dxa"/>
            <w:vMerge w:val="restart"/>
            <w:vAlign w:val="center"/>
          </w:tcPr>
          <w:p>
            <w:pPr>
              <w:spacing w:line="240" w:lineRule="exact"/>
              <w:jc w:val="center"/>
              <w:rPr>
                <w:rFonts w:hint="eastAsia" w:ascii="黑体" w:hAnsi="黑体" w:eastAsia="黑体" w:cs="黑体"/>
                <w:color w:val="0C0C0C" w:themeColor="text1" w:themeTint="F2"/>
                <w:sz w:val="21"/>
                <w:szCs w:val="21"/>
                <w:lang w:eastAsia="zh-CN"/>
              </w:rPr>
            </w:pPr>
            <w:r>
              <w:rPr>
                <w:rFonts w:hint="eastAsia" w:ascii="黑体" w:hAnsi="黑体" w:eastAsia="黑体" w:cs="黑体"/>
                <w:color w:val="0C0C0C" w:themeColor="text1" w:themeTint="F2"/>
                <w:sz w:val="21"/>
                <w:szCs w:val="21"/>
              </w:rPr>
              <w:t>2014年以来已开展过学校卫生综合评价的中小学校数</w:t>
            </w:r>
            <w:r>
              <w:rPr>
                <w:rFonts w:hint="eastAsia" w:ascii="黑体" w:hAnsi="黑体" w:eastAsia="黑体" w:cs="黑体"/>
                <w:color w:val="0C0C0C" w:themeColor="text1" w:themeTint="F2"/>
                <w:sz w:val="21"/>
                <w:szCs w:val="21"/>
                <w:vertAlign w:val="superscript"/>
                <w:lang w:eastAsia="zh-CN"/>
              </w:rPr>
              <w:t>（</w:t>
            </w:r>
            <w:r>
              <w:rPr>
                <w:rFonts w:hint="eastAsia" w:ascii="黑体" w:hAnsi="黑体" w:eastAsia="黑体" w:cs="黑体"/>
                <w:color w:val="0C0C0C" w:themeColor="text1" w:themeTint="F2"/>
                <w:sz w:val="21"/>
                <w:szCs w:val="21"/>
                <w:vertAlign w:val="superscript"/>
              </w:rPr>
              <w:t>a</w:t>
            </w:r>
            <w:r>
              <w:rPr>
                <w:rFonts w:hint="eastAsia" w:ascii="黑体" w:hAnsi="黑体" w:eastAsia="黑体" w:cs="黑体"/>
                <w:color w:val="0C0C0C" w:themeColor="text1" w:themeTint="F2"/>
                <w:sz w:val="21"/>
                <w:szCs w:val="21"/>
                <w:vertAlign w:val="superscript"/>
                <w:lang w:eastAsia="zh-CN"/>
              </w:rPr>
              <w:t>）</w:t>
            </w:r>
          </w:p>
        </w:tc>
        <w:tc>
          <w:tcPr>
            <w:tcW w:w="7104" w:type="dxa"/>
            <w:gridSpan w:val="4"/>
            <w:vAlign w:val="center"/>
          </w:tcPr>
          <w:p>
            <w:pPr>
              <w:spacing w:line="240" w:lineRule="exact"/>
              <w:jc w:val="center"/>
              <w:rPr>
                <w:rFonts w:hint="eastAsia" w:ascii="黑体" w:hAnsi="黑体" w:eastAsia="黑体" w:cs="黑体"/>
                <w:color w:val="0C0C0C" w:themeColor="text1" w:themeTint="F2"/>
                <w:sz w:val="21"/>
                <w:szCs w:val="21"/>
                <w:lang w:eastAsia="zh-CN"/>
              </w:rPr>
            </w:pPr>
            <w:r>
              <w:rPr>
                <w:rFonts w:hint="eastAsia" w:ascii="黑体" w:hAnsi="黑体" w:eastAsia="黑体" w:cs="黑体"/>
                <w:color w:val="0C0C0C" w:themeColor="text1" w:themeTint="F2"/>
                <w:sz w:val="21"/>
                <w:szCs w:val="21"/>
              </w:rPr>
              <w:t>综合评价结果</w:t>
            </w:r>
            <w:r>
              <w:rPr>
                <w:rFonts w:hint="eastAsia" w:ascii="黑体" w:hAnsi="黑体" w:eastAsia="黑体" w:cs="黑体"/>
                <w:color w:val="0C0C0C" w:themeColor="text1" w:themeTint="F2"/>
                <w:sz w:val="21"/>
                <w:szCs w:val="21"/>
                <w:vertAlign w:val="superscript"/>
                <w:lang w:eastAsia="zh-CN"/>
              </w:rPr>
              <w:t>（</w:t>
            </w:r>
            <w:r>
              <w:rPr>
                <w:rFonts w:hint="eastAsia" w:ascii="黑体" w:hAnsi="黑体" w:eastAsia="黑体" w:cs="黑体"/>
                <w:color w:val="0C0C0C" w:themeColor="text1" w:themeTint="F2"/>
                <w:sz w:val="21"/>
                <w:szCs w:val="21"/>
                <w:vertAlign w:val="superscript"/>
              </w:rPr>
              <w:t>b</w:t>
            </w:r>
            <w:r>
              <w:rPr>
                <w:rFonts w:hint="eastAsia" w:ascii="黑体" w:hAnsi="黑体" w:eastAsia="黑体" w:cs="黑体"/>
                <w:color w:val="0C0C0C" w:themeColor="text1" w:themeTint="F2"/>
                <w:sz w:val="21"/>
                <w:szCs w:val="21"/>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37" w:type="dxa"/>
            <w:vMerge w:val="continue"/>
            <w:vAlign w:val="center"/>
          </w:tcPr>
          <w:p>
            <w:pPr>
              <w:rPr>
                <w:rFonts w:hint="eastAsia" w:ascii="黑体" w:hAnsi="黑体" w:eastAsia="黑体" w:cs="黑体"/>
                <w:color w:val="0C0C0C" w:themeColor="text1" w:themeTint="F2"/>
                <w:sz w:val="21"/>
                <w:szCs w:val="21"/>
              </w:rPr>
            </w:pPr>
          </w:p>
        </w:tc>
        <w:tc>
          <w:tcPr>
            <w:tcW w:w="2077" w:type="dxa"/>
            <w:vMerge w:val="continue"/>
          </w:tcPr>
          <w:p>
            <w:pPr>
              <w:rPr>
                <w:rFonts w:hint="eastAsia" w:ascii="黑体" w:hAnsi="黑体" w:eastAsia="黑体" w:cs="黑体"/>
                <w:color w:val="0C0C0C" w:themeColor="text1" w:themeTint="F2"/>
                <w:sz w:val="21"/>
                <w:szCs w:val="21"/>
              </w:rPr>
            </w:pPr>
          </w:p>
        </w:tc>
        <w:tc>
          <w:tcPr>
            <w:tcW w:w="2827" w:type="dxa"/>
            <w:vMerge w:val="continue"/>
            <w:vAlign w:val="center"/>
          </w:tcPr>
          <w:p>
            <w:pPr>
              <w:rPr>
                <w:rFonts w:hint="eastAsia" w:ascii="黑体" w:hAnsi="黑体" w:eastAsia="黑体" w:cs="黑体"/>
                <w:color w:val="0C0C0C" w:themeColor="text1" w:themeTint="F2"/>
                <w:sz w:val="21"/>
                <w:szCs w:val="21"/>
              </w:rPr>
            </w:pPr>
          </w:p>
        </w:tc>
        <w:tc>
          <w:tcPr>
            <w:tcW w:w="1776"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评价学校数</w:t>
            </w:r>
          </w:p>
        </w:tc>
        <w:tc>
          <w:tcPr>
            <w:tcW w:w="1776"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优秀学校数</w:t>
            </w:r>
          </w:p>
        </w:tc>
        <w:tc>
          <w:tcPr>
            <w:tcW w:w="1776"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合格学校数</w:t>
            </w:r>
          </w:p>
        </w:tc>
        <w:tc>
          <w:tcPr>
            <w:tcW w:w="1776" w:type="dxa"/>
            <w:vAlign w:val="center"/>
          </w:tcPr>
          <w:p>
            <w:pPr>
              <w:spacing w:line="240" w:lineRule="exact"/>
              <w:jc w:val="center"/>
              <w:rPr>
                <w:rFonts w:hint="eastAsia" w:ascii="黑体" w:hAnsi="黑体" w:eastAsia="黑体" w:cs="黑体"/>
                <w:color w:val="0C0C0C" w:themeColor="text1" w:themeTint="F2"/>
                <w:sz w:val="21"/>
                <w:szCs w:val="21"/>
              </w:rPr>
            </w:pPr>
            <w:r>
              <w:rPr>
                <w:rFonts w:hint="eastAsia" w:ascii="黑体" w:hAnsi="黑体" w:eastAsia="黑体" w:cs="黑体"/>
                <w:color w:val="0C0C0C" w:themeColor="text1" w:themeTint="F2"/>
                <w:sz w:val="21"/>
                <w:szCs w:val="21"/>
              </w:rPr>
              <w:t>不合格学校数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37" w:type="dxa"/>
            <w:vAlign w:val="center"/>
          </w:tcPr>
          <w:p>
            <w:pPr>
              <w:spacing w:line="240" w:lineRule="exact"/>
              <w:jc w:val="center"/>
              <w:rPr>
                <w:rFonts w:ascii="仿宋_GB2312" w:eastAsia="仿宋_GB2312"/>
                <w:color w:val="0C0C0C" w:themeColor="text1" w:themeTint="F2"/>
                <w:sz w:val="21"/>
                <w:szCs w:val="21"/>
              </w:rPr>
            </w:pPr>
          </w:p>
        </w:tc>
        <w:tc>
          <w:tcPr>
            <w:tcW w:w="2077" w:type="dxa"/>
            <w:vAlign w:val="center"/>
          </w:tcPr>
          <w:p>
            <w:pPr>
              <w:spacing w:line="240" w:lineRule="exact"/>
              <w:jc w:val="center"/>
              <w:rPr>
                <w:rFonts w:ascii="仿宋_GB2312" w:eastAsia="仿宋_GB2312"/>
                <w:color w:val="0C0C0C" w:themeColor="text1" w:themeTint="F2"/>
                <w:sz w:val="21"/>
                <w:szCs w:val="21"/>
              </w:rPr>
            </w:pPr>
          </w:p>
        </w:tc>
        <w:tc>
          <w:tcPr>
            <w:tcW w:w="2827" w:type="dxa"/>
            <w:vAlign w:val="center"/>
          </w:tcPr>
          <w:p>
            <w:pPr>
              <w:spacing w:line="240" w:lineRule="exact"/>
              <w:jc w:val="center"/>
              <w:rPr>
                <w:rFonts w:ascii="仿宋_GB2312" w:eastAsia="仿宋_GB2312"/>
                <w:color w:val="0C0C0C" w:themeColor="text1" w:themeTint="F2"/>
                <w:sz w:val="21"/>
                <w:szCs w:val="21"/>
              </w:rPr>
            </w:pPr>
          </w:p>
        </w:tc>
        <w:tc>
          <w:tcPr>
            <w:tcW w:w="1776" w:type="dxa"/>
            <w:vAlign w:val="center"/>
          </w:tcPr>
          <w:p>
            <w:pPr>
              <w:spacing w:line="240" w:lineRule="exact"/>
              <w:jc w:val="center"/>
              <w:rPr>
                <w:rFonts w:ascii="仿宋_GB2312" w:eastAsia="仿宋_GB2312"/>
                <w:color w:val="0C0C0C" w:themeColor="text1" w:themeTint="F2"/>
                <w:sz w:val="21"/>
                <w:szCs w:val="21"/>
              </w:rPr>
            </w:pPr>
          </w:p>
        </w:tc>
        <w:tc>
          <w:tcPr>
            <w:tcW w:w="1776" w:type="dxa"/>
            <w:vAlign w:val="center"/>
          </w:tcPr>
          <w:p>
            <w:pPr>
              <w:spacing w:line="240" w:lineRule="exact"/>
              <w:jc w:val="center"/>
              <w:rPr>
                <w:rFonts w:ascii="仿宋_GB2312" w:eastAsia="仿宋_GB2312"/>
                <w:color w:val="0C0C0C" w:themeColor="text1" w:themeTint="F2"/>
                <w:sz w:val="21"/>
                <w:szCs w:val="21"/>
              </w:rPr>
            </w:pPr>
          </w:p>
        </w:tc>
        <w:tc>
          <w:tcPr>
            <w:tcW w:w="1776" w:type="dxa"/>
            <w:vAlign w:val="center"/>
          </w:tcPr>
          <w:p>
            <w:pPr>
              <w:spacing w:line="240" w:lineRule="exact"/>
              <w:jc w:val="center"/>
              <w:rPr>
                <w:rFonts w:ascii="仿宋_GB2312" w:eastAsia="仿宋_GB2312"/>
                <w:color w:val="0C0C0C" w:themeColor="text1" w:themeTint="F2"/>
                <w:sz w:val="21"/>
                <w:szCs w:val="21"/>
              </w:rPr>
            </w:pPr>
          </w:p>
        </w:tc>
        <w:tc>
          <w:tcPr>
            <w:tcW w:w="1776" w:type="dxa"/>
            <w:vAlign w:val="center"/>
          </w:tcPr>
          <w:p>
            <w:pPr>
              <w:spacing w:line="240" w:lineRule="exact"/>
              <w:jc w:val="center"/>
              <w:rPr>
                <w:rFonts w:ascii="仿宋_GB2312" w:eastAsia="仿宋_GB2312"/>
                <w:color w:val="0C0C0C" w:themeColor="text1" w:themeTint="F2"/>
                <w:sz w:val="21"/>
                <w:szCs w:val="21"/>
              </w:rPr>
            </w:pPr>
          </w:p>
        </w:tc>
      </w:tr>
    </w:tbl>
    <w:p>
      <w:pPr>
        <w:pStyle w:val="12"/>
        <w:snapToGrid w:val="0"/>
        <w:spacing w:beforeLines="50" w:line="240" w:lineRule="exact"/>
        <w:ind w:left="420" w:firstLine="0" w:firstLineChars="0"/>
        <w:jc w:val="left"/>
        <w:rPr>
          <w:rFonts w:ascii="仿宋_GB2312" w:eastAsia="仿宋_GB2312" w:cs="Times New Roman"/>
          <w:color w:val="0C0C0C" w:themeColor="text1" w:themeTint="F2"/>
          <w:sz w:val="21"/>
          <w:szCs w:val="21"/>
        </w:rPr>
      </w:pPr>
      <w:r>
        <w:rPr>
          <w:rFonts w:hint="eastAsia" w:ascii="仿宋_GB2312" w:eastAsia="仿宋_GB2312" w:cs="华文仿宋"/>
          <w:color w:val="0C0C0C" w:themeColor="text1" w:themeTint="F2"/>
          <w:sz w:val="21"/>
          <w:szCs w:val="21"/>
        </w:rPr>
        <w:t>a.指2014年以来本辖区开展过学校卫生综合评价的学校总数，开展过多次评价的学校不重复计入。</w:t>
      </w:r>
    </w:p>
    <w:p>
      <w:pPr>
        <w:pStyle w:val="12"/>
        <w:snapToGrid w:val="0"/>
        <w:spacing w:line="240" w:lineRule="exact"/>
        <w:ind w:left="420" w:firstLine="0" w:firstLineChars="0"/>
        <w:jc w:val="left"/>
        <w:rPr>
          <w:rFonts w:ascii="仿宋_GB2312" w:eastAsia="仿宋_GB2312" w:cs="Times New Roman"/>
          <w:color w:val="0C0C0C" w:themeColor="text1" w:themeTint="F2"/>
          <w:sz w:val="21"/>
          <w:szCs w:val="21"/>
        </w:rPr>
      </w:pPr>
      <w:r>
        <w:rPr>
          <w:rFonts w:hint="eastAsia" w:ascii="仿宋_GB2312" w:eastAsia="仿宋_GB2312" w:cs="华文仿宋"/>
          <w:color w:val="0C0C0C" w:themeColor="text1" w:themeTint="F2"/>
          <w:sz w:val="21"/>
          <w:szCs w:val="21"/>
        </w:rPr>
        <w:t>b.指2020年度对未开展过评价的学校首次开展的综合评价，2014-2019年已开展过的不再计入。</w:t>
      </w:r>
    </w:p>
    <w:p>
      <w:pPr>
        <w:adjustRightInd w:val="0"/>
        <w:snapToGrid w:val="0"/>
        <w:spacing w:line="560" w:lineRule="exact"/>
        <w:ind w:firstLine="420" w:firstLineChars="200"/>
        <w:rPr>
          <w:rFonts w:ascii="仿宋_GB2312" w:eastAsia="仿宋_GB2312"/>
          <w:color w:val="0C0C0C" w:themeColor="text1" w:themeTint="F2"/>
          <w:sz w:val="21"/>
          <w:szCs w:val="21"/>
        </w:rPr>
        <w:sectPr>
          <w:pgSz w:w="16838" w:h="11906" w:orient="landscape"/>
          <w:pgMar w:top="1701" w:right="1418" w:bottom="1417" w:left="1418"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eastAsia="黑体"/>
          <w:color w:val="0C0C0C" w:themeColor="text1" w:themeTint="F2"/>
          <w:sz w:val="32"/>
          <w:szCs w:val="32"/>
        </w:rPr>
      </w:pPr>
      <w:r>
        <w:rPr>
          <w:rFonts w:hint="eastAsia" w:ascii="黑体" w:eastAsia="黑体" w:cs="黑体"/>
          <w:color w:val="0C0C0C" w:themeColor="text1" w:themeTint="F2"/>
          <w:sz w:val="32"/>
          <w:szCs w:val="32"/>
        </w:rPr>
        <w:t>七、传染病防治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辖区30%二级以上医院、10%一级医院、5%基层医疗机构（社区卫生服务中心/站、诊所、乡镇卫生院、村卫生室等）、40%疾病预防控制机构和采供血机构。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（二）监督检查内容。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预防接种管理情况。接种单位和人员资质情况；公示第一类疫苗的品种和接种方法情况；接种前告知和询问情况；疫苗的接收、购进、分发、供应、使用登记和报告记录情况；购进、接收疫苗时索取相关证明文件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2.传染病疫情报告情况。建立传染病疫情报告工作制度情况；开展疫情报告管理自查情况；传染病疫情登记、报告卡填写情况；是否存在瞒报、缓报、谎报传染病疫情情况。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4.消毒隔离措施落实情况。建立消毒管理组织、制度情况；开展消毒与灭菌效果监测情况；消毒隔离知识培训情况；消毒产品进货检查验收情况；医疗器械一人一用一消毒或灭菌情况。二级以上医院以血液透析和消毒供应中心为检查重点，无相关科室的，可根据情况自行选择重点科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5.医疗废物管理。医疗废物实行分类收集情况；使用专用包装物及容器情况；医疗废物暂时贮存设施建立情况；医疗废物交接、运送、暂存及处置情况。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6.二级病原微生物实验室生物安全管理。二级实验室备案情况；从事实验活动的人员培训、考核情况；实验档案建立情况；实验结束将菌（毒）种或样本销毁或者送交保藏机构保藏情况。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（三）工作要求。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各地要高度重视传染病防治和消毒产品国家监督抽检工作，结合实际制订本辖区的工作方案并按计划、分步骤组织实施。传染病防治监督抽检工作要与推广医疗卫生机构分类监督综合评价工作相结合，抽取的单位均采取分类监督综合评价方式进行检查。抽检过程中发现医疗卫生机构存在违法行为，要依法严肃查处，重大案件及时上报查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2.各地要于11月15日前完成全部抽检任务和数据填报工作。纸质及电子版监督抽检工作总结各市于2020年11月20日前报送自治区卫生监督所，自治区卫生监督所核准后于11月25日前报送自治区卫生健康委综合监督处。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联 系 人：自治区卫生监督所监督五科   黄志明</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 xml:space="preserve">联系电话：0771-5311055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9"/>
        <w:rPr>
          <w:rFonts w:hint="default" w:ascii="Times New Roman" w:hAnsi="Times New Roman" w:eastAsia="仿宋_GB2312" w:cs="Times New Roman"/>
          <w:color w:val="0C0C0C" w:themeColor="text1" w:themeTint="F2"/>
          <w:sz w:val="32"/>
          <w:szCs w:val="32"/>
        </w:rPr>
      </w:pPr>
      <w:r>
        <w:rPr>
          <w:rFonts w:hint="eastAsia" w:ascii="仿宋_GB2312" w:eastAsia="仿宋_GB2312" w:cs="仿宋"/>
          <w:color w:val="0C0C0C" w:themeColor="text1" w:themeTint="F2"/>
          <w:sz w:val="32"/>
          <w:szCs w:val="32"/>
        </w:rPr>
        <w:t>邮    箱：</w:t>
      </w:r>
      <w:r>
        <w:rPr>
          <w:rFonts w:hint="default" w:ascii="Times New Roman" w:hAnsi="Times New Roman" w:eastAsia="仿宋_GB2312" w:cs="Times New Roman"/>
          <w:color w:val="0C0C0C" w:themeColor="text1" w:themeTint="F2"/>
          <w:sz w:val="32"/>
          <w:szCs w:val="32"/>
        </w:rPr>
        <w:t xml:space="preserve">gxjd5k@163.com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outlineLvl w:val="9"/>
        <w:rPr>
          <w:rFonts w:hint="eastAsia" w:ascii="仿宋_GB2312" w:eastAsia="仿宋_GB2312" w:cs="仿宋"/>
          <w:color w:val="0C0C0C" w:themeColor="text1" w:themeTint="F2"/>
          <w:sz w:val="32"/>
          <w:szCs w:val="32"/>
          <w:lang w:eastAsia="zh-CN"/>
        </w:rPr>
      </w:pPr>
      <w:r>
        <w:rPr>
          <w:rFonts w:hint="eastAsia" w:ascii="仿宋_GB2312" w:eastAsia="仿宋_GB2312" w:cs="仿宋"/>
          <w:color w:val="0C0C0C" w:themeColor="text1" w:themeTint="F2"/>
          <w:sz w:val="32"/>
          <w:szCs w:val="32"/>
          <w:lang w:eastAsia="zh-CN"/>
        </w:rPr>
        <w:t>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附表：1.2020年传染病防治国家随机监督抽查汇总表</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color w:val="0C0C0C" w:themeColor="text1" w:themeTint="F2"/>
          <w:spacing w:val="-17"/>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2.</w:t>
      </w:r>
      <w:r>
        <w:rPr>
          <w:rFonts w:hint="eastAsia" w:ascii="仿宋_GB2312" w:eastAsia="仿宋_GB2312" w:cs="仿宋"/>
          <w:color w:val="0C0C0C" w:themeColor="text1" w:themeTint="F2"/>
          <w:spacing w:val="-17"/>
          <w:sz w:val="32"/>
          <w:szCs w:val="32"/>
        </w:rPr>
        <w:t>2020年传染病防治国家随机监督抽查案件查处汇总表</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color w:val="0C0C0C" w:themeColor="text1" w:themeTint="F2"/>
          <w:spacing w:val="-17"/>
          <w:sz w:val="32"/>
          <w:szCs w:val="32"/>
        </w:rPr>
        <w:sectPr>
          <w:footerReference r:id="rId6" w:type="default"/>
          <w:pgSz w:w="11906" w:h="16838"/>
          <w:pgMar w:top="1701" w:right="1417" w:bottom="1417" w:left="1701" w:header="851" w:footer="992" w:gutter="0"/>
          <w:pgNumType w:fmt="decimal"/>
          <w:cols w:space="0" w:num="1"/>
          <w:rtlGutter w:val="0"/>
          <w:docGrid w:linePitch="312" w:charSpace="0"/>
        </w:sectPr>
      </w:pPr>
    </w:p>
    <w:p>
      <w:pPr>
        <w:rPr>
          <w:rFonts w:ascii="宋体" w:cs="宋体"/>
          <w:b/>
          <w:color w:val="0C0C0C" w:themeColor="text1" w:themeTint="F2"/>
          <w:kern w:val="0"/>
          <w:sz w:val="32"/>
          <w:szCs w:val="32"/>
        </w:rPr>
      </w:pPr>
      <w:r>
        <w:rPr>
          <w:rFonts w:hint="eastAsia" w:ascii="黑体" w:eastAsia="黑体" w:cs="宋体"/>
          <w:color w:val="0C0C0C" w:themeColor="text1" w:themeTint="F2"/>
          <w:kern w:val="0"/>
          <w:sz w:val="32"/>
          <w:szCs w:val="32"/>
        </w:rPr>
        <w:t>附表1</w:t>
      </w:r>
      <w:r>
        <w:rPr>
          <w:rFonts w:ascii="黑体" w:eastAsia="黑体" w:cs="宋体"/>
          <w:color w:val="0C0C0C" w:themeColor="text1" w:themeTint="F2"/>
          <w:kern w:val="0"/>
          <w:sz w:val="32"/>
          <w:szCs w:val="32"/>
        </w:rPr>
        <w:t xml:space="preserve">                        </w:t>
      </w:r>
    </w:p>
    <w:p>
      <w:pPr>
        <w:jc w:val="center"/>
        <w:rPr>
          <w:rFonts w:hint="eastAsia" w:ascii="方正小标宋简体" w:hAnsi="方正小标宋简体" w:eastAsia="方正小标宋简体" w:cs="方正小标宋简体"/>
          <w:b w:val="0"/>
          <w:bCs/>
          <w:color w:val="0C0C0C" w:themeColor="text1" w:themeTint="F2"/>
          <w:kern w:val="0"/>
          <w:sz w:val="44"/>
          <w:szCs w:val="44"/>
        </w:rPr>
      </w:pPr>
      <w:r>
        <w:rPr>
          <w:rFonts w:hint="eastAsia" w:ascii="方正小标宋简体" w:hAnsi="方正小标宋简体" w:eastAsia="方正小标宋简体" w:cs="方正小标宋简体"/>
          <w:b w:val="0"/>
          <w:bCs/>
          <w:color w:val="0C0C0C" w:themeColor="text1" w:themeTint="F2"/>
          <w:kern w:val="0"/>
          <w:sz w:val="44"/>
          <w:szCs w:val="44"/>
        </w:rPr>
        <w:t>2020年传染病防治国家随机监督抽查汇总表</w:t>
      </w:r>
    </w:p>
    <w:p>
      <w:pPr>
        <w:keepNext w:val="0"/>
        <w:keepLines w:val="0"/>
        <w:pageBreakBefore w:val="0"/>
        <w:widowControl w:val="0"/>
        <w:kinsoku/>
        <w:wordWrap/>
        <w:overflowPunct/>
        <w:topLinePunct w:val="0"/>
        <w:autoSpaceDE/>
        <w:autoSpaceDN/>
        <w:bidi w:val="0"/>
        <w:adjustRightInd/>
        <w:snapToGrid/>
        <w:spacing w:after="157" w:afterLines="50"/>
        <w:textAlignment w:val="auto"/>
        <w:outlineLvl w:val="9"/>
        <w:rPr>
          <w:rFonts w:ascii="仿宋" w:eastAsia="仿宋" w:cs="仿宋"/>
          <w:bCs/>
          <w:color w:val="0C0C0C" w:themeColor="text1" w:themeTint="F2"/>
          <w:sz w:val="21"/>
          <w:szCs w:val="21"/>
        </w:rPr>
      </w:pPr>
      <w:r>
        <w:rPr>
          <w:rFonts w:hint="eastAsia" w:ascii="仿宋" w:eastAsia="仿宋" w:cs="仿宋"/>
          <w:bCs/>
          <w:color w:val="0C0C0C" w:themeColor="text1" w:themeTint="F2"/>
          <w:u w:val="single"/>
        </w:rPr>
        <w:t xml:space="preserve">   </w:t>
      </w:r>
      <w:r>
        <w:rPr>
          <w:rFonts w:hint="eastAsia" w:ascii="仿宋" w:eastAsia="仿宋" w:cs="仿宋"/>
          <w:bCs/>
          <w:color w:val="0C0C0C" w:themeColor="text1" w:themeTint="F2"/>
          <w:sz w:val="21"/>
          <w:szCs w:val="21"/>
          <w:u w:val="single"/>
        </w:rPr>
        <w:t xml:space="preserve">     </w:t>
      </w:r>
      <w:r>
        <w:rPr>
          <w:rFonts w:ascii="仿宋" w:eastAsia="仿宋" w:cs="仿宋"/>
          <w:bCs/>
          <w:color w:val="0C0C0C" w:themeColor="text1" w:themeTint="F2"/>
          <w:sz w:val="21"/>
          <w:szCs w:val="21"/>
          <w:u w:val="single"/>
        </w:rPr>
        <w:t xml:space="preserve">  </w:t>
      </w:r>
      <w:r>
        <w:rPr>
          <w:rFonts w:hint="eastAsia" w:ascii="仿宋" w:eastAsia="仿宋" w:cs="仿宋"/>
          <w:bCs/>
          <w:color w:val="0C0C0C" w:themeColor="text1" w:themeTint="F2"/>
          <w:sz w:val="21"/>
          <w:szCs w:val="21"/>
          <w:u w:val="single"/>
        </w:rPr>
        <w:t xml:space="preserve">  </w:t>
      </w:r>
      <w:r>
        <w:rPr>
          <w:rFonts w:hint="eastAsia" w:ascii="仿宋" w:eastAsia="仿宋" w:cs="仿宋"/>
          <w:bCs/>
          <w:color w:val="0C0C0C" w:themeColor="text1" w:themeTint="F2"/>
          <w:sz w:val="21"/>
          <w:szCs w:val="21"/>
        </w:rPr>
        <w:t>省（自治区、直辖市）             本辖区预防接种单位数</w:t>
      </w:r>
      <w:r>
        <w:rPr>
          <w:rFonts w:hint="eastAsia" w:ascii="仿宋" w:eastAsia="仿宋" w:cs="仿宋"/>
          <w:bCs/>
          <w:color w:val="0C0C0C" w:themeColor="text1" w:themeTint="F2"/>
          <w:sz w:val="21"/>
          <w:szCs w:val="21"/>
          <w:u w:val="single"/>
        </w:rPr>
        <w:t xml:space="preserve">             </w:t>
      </w:r>
      <w:r>
        <w:rPr>
          <w:rFonts w:hint="eastAsia" w:ascii="仿宋" w:eastAsia="仿宋" w:cs="仿宋"/>
          <w:bCs/>
          <w:color w:val="0C0C0C" w:themeColor="text1" w:themeTint="F2"/>
          <w:sz w:val="21"/>
          <w:szCs w:val="21"/>
        </w:rPr>
        <w:t xml:space="preserve">       二级生物安全实验室备案数</w:t>
      </w:r>
      <w:r>
        <w:rPr>
          <w:rFonts w:hint="eastAsia" w:ascii="仿宋" w:eastAsia="仿宋" w:cs="仿宋"/>
          <w:bCs/>
          <w:color w:val="0C0C0C" w:themeColor="text1" w:themeTint="F2"/>
          <w:sz w:val="21"/>
          <w:szCs w:val="21"/>
          <w:u w:val="single"/>
        </w:rPr>
        <w:t xml:space="preserve">                </w:t>
      </w:r>
      <w:r>
        <w:rPr>
          <w:rFonts w:hint="eastAsia" w:ascii="仿宋" w:eastAsia="仿宋" w:cs="仿宋"/>
          <w:bCs/>
          <w:color w:val="0C0C0C" w:themeColor="text1" w:themeTint="F2"/>
          <w:sz w:val="21"/>
          <w:szCs w:val="21"/>
        </w:rPr>
        <w:t xml:space="preserve"> </w:t>
      </w:r>
    </w:p>
    <w:tbl>
      <w:tblPr>
        <w:tblStyle w:val="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850"/>
        <w:gridCol w:w="713"/>
        <w:gridCol w:w="709"/>
        <w:gridCol w:w="992"/>
        <w:gridCol w:w="1276"/>
        <w:gridCol w:w="992"/>
        <w:gridCol w:w="1276"/>
        <w:gridCol w:w="992"/>
        <w:gridCol w:w="992"/>
        <w:gridCol w:w="1134"/>
        <w:gridCol w:w="709"/>
        <w:gridCol w:w="992"/>
        <w:gridCol w:w="993"/>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38" w:type="dxa"/>
            <w:gridSpan w:val="2"/>
            <w:vMerge w:val="restart"/>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监督对象</w:t>
            </w:r>
          </w:p>
        </w:tc>
        <w:tc>
          <w:tcPr>
            <w:tcW w:w="13612" w:type="dxa"/>
            <w:gridSpan w:val="14"/>
            <w:vAlign w:val="center"/>
          </w:tcPr>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监督检查内容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38" w:type="dxa"/>
            <w:gridSpan w:val="2"/>
            <w:vMerge w:val="continue"/>
            <w:vAlign w:val="center"/>
          </w:tcPr>
          <w:p>
            <w:pPr>
              <w:jc w:val="center"/>
              <w:rPr>
                <w:color w:val="0C0C0C" w:themeColor="text1" w:themeTint="F2"/>
                <w:sz w:val="21"/>
                <w:szCs w:val="21"/>
              </w:rPr>
            </w:pPr>
          </w:p>
        </w:tc>
        <w:tc>
          <w:tcPr>
            <w:tcW w:w="9076" w:type="dxa"/>
            <w:gridSpan w:val="9"/>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预防接种合格机构数</w:t>
            </w:r>
          </w:p>
        </w:tc>
        <w:tc>
          <w:tcPr>
            <w:tcW w:w="4536" w:type="dxa"/>
            <w:gridSpan w:val="5"/>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疫情报告合格机构数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gridSpan w:val="2"/>
            <w:vMerge w:val="continue"/>
            <w:vAlign w:val="center"/>
          </w:tcPr>
          <w:p>
            <w:pPr>
              <w:jc w:val="center"/>
              <w:rPr>
                <w:color w:val="0C0C0C" w:themeColor="text1" w:themeTint="F2"/>
                <w:sz w:val="21"/>
                <w:szCs w:val="21"/>
              </w:rPr>
            </w:pPr>
          </w:p>
        </w:tc>
        <w:tc>
          <w:tcPr>
            <w:tcW w:w="713"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检查预防接种单位数</w:t>
            </w:r>
          </w:p>
        </w:tc>
        <w:tc>
          <w:tcPr>
            <w:tcW w:w="709"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经卫生健康行政部门指定或备案</w:t>
            </w:r>
          </w:p>
        </w:tc>
        <w:tc>
          <w:tcPr>
            <w:tcW w:w="992"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工作人员经预防接种专业培训和考核</w:t>
            </w:r>
          </w:p>
        </w:tc>
        <w:tc>
          <w:tcPr>
            <w:tcW w:w="1276"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sz w:val="21"/>
                <w:szCs w:val="21"/>
              </w:rPr>
              <w:t>疫苗接收、购进、储存、配送、供应、接种、处置记录</w:t>
            </w:r>
          </w:p>
        </w:tc>
        <w:tc>
          <w:tcPr>
            <w:tcW w:w="992"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ascii="仿宋" w:eastAsia="仿宋" w:cs="仿宋"/>
                <w:color w:val="0C0C0C" w:themeColor="text1" w:themeTint="F2"/>
                <w:kern w:val="0"/>
                <w:sz w:val="21"/>
                <w:szCs w:val="21"/>
              </w:rPr>
              <w:t>接种疫苗公示情况</w:t>
            </w:r>
          </w:p>
        </w:tc>
        <w:tc>
          <w:tcPr>
            <w:tcW w:w="1276"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接种前</w:t>
            </w:r>
            <w:r>
              <w:rPr>
                <w:rFonts w:ascii="仿宋" w:eastAsia="仿宋" w:cs="仿宋"/>
                <w:color w:val="0C0C0C" w:themeColor="text1" w:themeTint="F2"/>
                <w:kern w:val="0"/>
                <w:sz w:val="21"/>
                <w:szCs w:val="21"/>
              </w:rPr>
              <w:t>告知、</w:t>
            </w:r>
            <w:r>
              <w:rPr>
                <w:rFonts w:hint="eastAsia" w:ascii="仿宋" w:eastAsia="仿宋" w:cs="仿宋"/>
                <w:color w:val="0C0C0C" w:themeColor="text1" w:themeTint="F2"/>
                <w:kern w:val="0"/>
                <w:sz w:val="21"/>
                <w:szCs w:val="21"/>
              </w:rPr>
              <w:t>询问</w:t>
            </w:r>
            <w:r>
              <w:rPr>
                <w:rFonts w:ascii="仿宋" w:eastAsia="仿宋" w:cs="仿宋"/>
                <w:color w:val="0C0C0C" w:themeColor="text1" w:themeTint="F2"/>
                <w:kern w:val="0"/>
                <w:sz w:val="21"/>
                <w:szCs w:val="21"/>
              </w:rPr>
              <w:t>受种者或监护人有关情况</w:t>
            </w:r>
          </w:p>
        </w:tc>
        <w:tc>
          <w:tcPr>
            <w:tcW w:w="992"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执行“三查七对”和“一验证”情况</w:t>
            </w:r>
          </w:p>
        </w:tc>
        <w:tc>
          <w:tcPr>
            <w:tcW w:w="992"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购进、接收疫苗时索取疫苗生产企业的证明文件</w:t>
            </w:r>
          </w:p>
        </w:tc>
        <w:tc>
          <w:tcPr>
            <w:tcW w:w="1134"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预防接种各项内容合格数</w:t>
            </w:r>
          </w:p>
        </w:tc>
        <w:tc>
          <w:tcPr>
            <w:tcW w:w="709"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建立传染病疫情报告制度</w:t>
            </w:r>
          </w:p>
        </w:tc>
        <w:tc>
          <w:tcPr>
            <w:tcW w:w="992"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开展疫情报告管理自查</w:t>
            </w:r>
          </w:p>
        </w:tc>
        <w:tc>
          <w:tcPr>
            <w:tcW w:w="993"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传染病疫情登记、报告卡填写符合要求</w:t>
            </w: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未瞒报、缓报和谎报传染病疫情</w:t>
            </w:r>
          </w:p>
        </w:tc>
        <w:tc>
          <w:tcPr>
            <w:tcW w:w="992"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疫情报告各项内容合格数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restart"/>
            <w:vAlign w:val="center"/>
          </w:tcPr>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疾</w:t>
            </w:r>
          </w:p>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控</w:t>
            </w:r>
          </w:p>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机</w:t>
            </w:r>
          </w:p>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构</w:t>
            </w: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省级</w:t>
            </w:r>
          </w:p>
        </w:tc>
        <w:tc>
          <w:tcPr>
            <w:tcW w:w="713"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709"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tcPr>
          <w:p>
            <w:pPr>
              <w:spacing w:line="240" w:lineRule="exact"/>
              <w:jc w:val="center"/>
              <w:rPr>
                <w:rFonts w:ascii="仿宋" w:eastAsia="仿宋" w:cs="仿宋"/>
                <w:bCs/>
                <w:color w:val="0C0C0C" w:themeColor="text1" w:themeTint="F2"/>
                <w:sz w:val="21"/>
                <w:szCs w:val="21"/>
              </w:rPr>
            </w:pP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市级</w:t>
            </w:r>
          </w:p>
        </w:tc>
        <w:tc>
          <w:tcPr>
            <w:tcW w:w="713"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709"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tcPr>
          <w:p>
            <w:pPr>
              <w:spacing w:line="240" w:lineRule="exact"/>
              <w:jc w:val="center"/>
              <w:rPr>
                <w:rFonts w:ascii="仿宋" w:eastAsia="仿宋" w:cs="仿宋"/>
                <w:bCs/>
                <w:color w:val="0C0C0C" w:themeColor="text1" w:themeTint="F2"/>
                <w:sz w:val="21"/>
                <w:szCs w:val="21"/>
              </w:rPr>
            </w:pP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县级</w:t>
            </w:r>
          </w:p>
        </w:tc>
        <w:tc>
          <w:tcPr>
            <w:tcW w:w="713"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709"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tcPr>
          <w:p>
            <w:pPr>
              <w:spacing w:line="240" w:lineRule="exact"/>
              <w:jc w:val="center"/>
              <w:rPr>
                <w:rFonts w:ascii="仿宋" w:eastAsia="仿宋" w:cs="仿宋"/>
                <w:bCs/>
                <w:color w:val="0C0C0C" w:themeColor="text1" w:themeTint="F2"/>
                <w:sz w:val="21"/>
                <w:szCs w:val="21"/>
              </w:rPr>
            </w:pP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累计</w:t>
            </w:r>
          </w:p>
        </w:tc>
        <w:tc>
          <w:tcPr>
            <w:tcW w:w="713"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709"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tcPr>
          <w:p>
            <w:pPr>
              <w:spacing w:line="240" w:lineRule="exact"/>
              <w:jc w:val="center"/>
              <w:rPr>
                <w:rFonts w:ascii="仿宋" w:eastAsia="仿宋" w:cs="仿宋"/>
                <w:bCs/>
                <w:color w:val="0C0C0C" w:themeColor="text1" w:themeTint="F2"/>
                <w:sz w:val="21"/>
                <w:szCs w:val="21"/>
              </w:rPr>
            </w:pP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restart"/>
            <w:vAlign w:val="center"/>
          </w:tcPr>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医</w:t>
            </w:r>
          </w:p>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疗</w:t>
            </w:r>
          </w:p>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机</w:t>
            </w:r>
          </w:p>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构</w:t>
            </w: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三级</w:t>
            </w:r>
          </w:p>
        </w:tc>
        <w:tc>
          <w:tcPr>
            <w:tcW w:w="713"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二级</w:t>
            </w:r>
          </w:p>
        </w:tc>
        <w:tc>
          <w:tcPr>
            <w:tcW w:w="713"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一级</w:t>
            </w:r>
          </w:p>
        </w:tc>
        <w:tc>
          <w:tcPr>
            <w:tcW w:w="713"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其他</w:t>
            </w:r>
          </w:p>
        </w:tc>
        <w:tc>
          <w:tcPr>
            <w:tcW w:w="713"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dxa"/>
            <w:vMerge w:val="continue"/>
            <w:vAlign w:val="center"/>
          </w:tcPr>
          <w:p>
            <w:pPr>
              <w:jc w:val="center"/>
              <w:rPr>
                <w:color w:val="0C0C0C" w:themeColor="text1" w:themeTint="F2"/>
                <w:sz w:val="21"/>
                <w:szCs w:val="21"/>
              </w:rPr>
            </w:pPr>
          </w:p>
        </w:tc>
        <w:tc>
          <w:tcPr>
            <w:tcW w:w="850" w:type="dxa"/>
            <w:vAlign w:val="center"/>
          </w:tcPr>
          <w:p>
            <w:pPr>
              <w:widowControl/>
              <w:spacing w:line="240" w:lineRule="exact"/>
              <w:jc w:val="center"/>
              <w:textAlignment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累计</w:t>
            </w:r>
          </w:p>
        </w:tc>
        <w:tc>
          <w:tcPr>
            <w:tcW w:w="713"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gridSpan w:val="2"/>
            <w:vAlign w:val="center"/>
          </w:tcPr>
          <w:p>
            <w:pPr>
              <w:spacing w:line="240" w:lineRule="exact"/>
              <w:jc w:val="center"/>
              <w:rPr>
                <w:rFonts w:ascii="仿宋" w:eastAsia="仿宋" w:cs="仿宋"/>
                <w:color w:val="0C0C0C" w:themeColor="text1" w:themeTint="F2"/>
                <w:kern w:val="0"/>
                <w:sz w:val="21"/>
                <w:szCs w:val="21"/>
              </w:rPr>
            </w:pPr>
            <w:r>
              <w:rPr>
                <w:rFonts w:hint="eastAsia" w:ascii="仿宋" w:eastAsia="仿宋" w:cs="仿宋"/>
                <w:color w:val="0C0C0C" w:themeColor="text1" w:themeTint="F2"/>
                <w:kern w:val="0"/>
                <w:sz w:val="21"/>
                <w:szCs w:val="21"/>
              </w:rPr>
              <w:t>采供血</w:t>
            </w:r>
          </w:p>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机构</w:t>
            </w:r>
          </w:p>
        </w:tc>
        <w:tc>
          <w:tcPr>
            <w:tcW w:w="713"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709"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276"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992"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1134" w:type="dxa"/>
            <w:vAlign w:val="center"/>
          </w:tcPr>
          <w:p>
            <w:pPr>
              <w:spacing w:line="240" w:lineRule="exact"/>
              <w:jc w:val="center"/>
              <w:rPr>
                <w:rFonts w:ascii="仿宋" w:eastAsia="仿宋" w:cs="仿宋"/>
                <w:bCs/>
                <w:color w:val="0C0C0C" w:themeColor="text1" w:themeTint="F2"/>
                <w:sz w:val="21"/>
                <w:szCs w:val="21"/>
              </w:rPr>
            </w:pPr>
            <w:r>
              <w:rPr>
                <w:rFonts w:hint="eastAsia" w:ascii="仿宋" w:eastAsia="仿宋" w:cs="仿宋"/>
                <w:color w:val="0C0C0C" w:themeColor="text1" w:themeTint="F2"/>
                <w:kern w:val="0"/>
                <w:sz w:val="21"/>
                <w:szCs w:val="21"/>
              </w:rPr>
              <w:t>-</w:t>
            </w: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gridSpan w:val="2"/>
            <w:vAlign w:val="center"/>
          </w:tcPr>
          <w:p>
            <w:pPr>
              <w:spacing w:line="240" w:lineRule="exact"/>
              <w:jc w:val="center"/>
              <w:rPr>
                <w:rFonts w:ascii="仿宋" w:eastAsia="仿宋" w:cs="仿宋"/>
                <w:b/>
                <w:bCs/>
                <w:color w:val="0C0C0C" w:themeColor="text1" w:themeTint="F2"/>
                <w:sz w:val="21"/>
                <w:szCs w:val="21"/>
              </w:rPr>
            </w:pPr>
            <w:r>
              <w:rPr>
                <w:rFonts w:hint="eastAsia" w:ascii="仿宋" w:eastAsia="仿宋" w:cs="仿宋"/>
                <w:color w:val="0C0C0C" w:themeColor="text1" w:themeTint="F2"/>
                <w:kern w:val="0"/>
                <w:sz w:val="21"/>
                <w:szCs w:val="21"/>
              </w:rPr>
              <w:t>总计</w:t>
            </w:r>
          </w:p>
        </w:tc>
        <w:tc>
          <w:tcPr>
            <w:tcW w:w="713"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276"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1134" w:type="dxa"/>
          </w:tcPr>
          <w:p>
            <w:pPr>
              <w:spacing w:line="240" w:lineRule="exact"/>
              <w:jc w:val="center"/>
              <w:rPr>
                <w:rFonts w:ascii="仿宋" w:eastAsia="仿宋" w:cs="仿宋"/>
                <w:bCs/>
                <w:color w:val="0C0C0C" w:themeColor="text1" w:themeTint="F2"/>
                <w:sz w:val="21"/>
                <w:szCs w:val="21"/>
              </w:rPr>
            </w:pPr>
          </w:p>
        </w:tc>
        <w:tc>
          <w:tcPr>
            <w:tcW w:w="709"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c>
          <w:tcPr>
            <w:tcW w:w="993" w:type="dxa"/>
          </w:tcPr>
          <w:p>
            <w:pPr>
              <w:spacing w:line="240" w:lineRule="exact"/>
              <w:jc w:val="center"/>
              <w:rPr>
                <w:rFonts w:ascii="仿宋" w:eastAsia="仿宋" w:cs="仿宋"/>
                <w:bCs/>
                <w:color w:val="0C0C0C" w:themeColor="text1" w:themeTint="F2"/>
                <w:sz w:val="21"/>
                <w:szCs w:val="21"/>
              </w:rPr>
            </w:pPr>
          </w:p>
        </w:tc>
        <w:tc>
          <w:tcPr>
            <w:tcW w:w="850" w:type="dxa"/>
          </w:tcPr>
          <w:p>
            <w:pPr>
              <w:spacing w:line="240" w:lineRule="exact"/>
              <w:jc w:val="center"/>
              <w:rPr>
                <w:rFonts w:ascii="仿宋" w:eastAsia="仿宋" w:cs="仿宋"/>
                <w:bCs/>
                <w:color w:val="0C0C0C" w:themeColor="text1" w:themeTint="F2"/>
                <w:sz w:val="21"/>
                <w:szCs w:val="21"/>
              </w:rPr>
            </w:pPr>
          </w:p>
        </w:tc>
        <w:tc>
          <w:tcPr>
            <w:tcW w:w="992" w:type="dxa"/>
          </w:tcPr>
          <w:p>
            <w:pPr>
              <w:spacing w:line="240" w:lineRule="exact"/>
              <w:jc w:val="center"/>
              <w:rPr>
                <w:rFonts w:ascii="仿宋" w:eastAsia="仿宋" w:cs="仿宋"/>
                <w:bCs/>
                <w:color w:val="0C0C0C" w:themeColor="text1" w:themeTint="F2"/>
                <w:sz w:val="21"/>
                <w:szCs w:val="21"/>
              </w:rPr>
            </w:pPr>
          </w:p>
        </w:tc>
      </w:tr>
    </w:tbl>
    <w:p>
      <w:pPr>
        <w:rPr>
          <w:rFonts w:ascii="仿宋" w:eastAsia="仿宋" w:cs="仿宋"/>
          <w:bCs/>
          <w:color w:val="0C0C0C" w:themeColor="text1" w:themeTint="F2"/>
          <w:sz w:val="21"/>
          <w:szCs w:val="21"/>
        </w:rPr>
      </w:pPr>
      <w:r>
        <w:rPr>
          <w:rFonts w:hint="eastAsia" w:ascii="仿宋" w:eastAsia="仿宋" w:cs="仿宋"/>
          <w:bCs/>
          <w:color w:val="0C0C0C" w:themeColor="text1" w:themeTint="F2"/>
          <w:sz w:val="21"/>
          <w:szCs w:val="21"/>
        </w:rPr>
        <w:t>填表人：　      　　　　 联系电话：                   填表日期：              审核人：</w:t>
      </w:r>
    </w:p>
    <w:p>
      <w:pPr>
        <w:rPr>
          <w:rFonts w:ascii="黑体" w:eastAsia="黑体" w:cs="宋体"/>
          <w:color w:val="0C0C0C" w:themeColor="text1" w:themeTint="F2"/>
          <w:kern w:val="0"/>
          <w:sz w:val="21"/>
          <w:szCs w:val="21"/>
        </w:rPr>
      </w:pPr>
    </w:p>
    <w:p>
      <w:pPr>
        <w:rPr>
          <w:rFonts w:ascii="黑体" w:eastAsia="黑体" w:cs="宋体"/>
          <w:color w:val="0C0C0C" w:themeColor="text1" w:themeTint="F2"/>
          <w:kern w:val="0"/>
          <w:sz w:val="32"/>
          <w:szCs w:val="32"/>
        </w:rPr>
      </w:pPr>
      <w:r>
        <w:rPr>
          <w:rFonts w:hint="eastAsia" w:ascii="黑体" w:eastAsia="黑体" w:cs="宋体"/>
          <w:color w:val="0C0C0C" w:themeColor="text1" w:themeTint="F2"/>
          <w:kern w:val="0"/>
          <w:sz w:val="32"/>
          <w:szCs w:val="32"/>
        </w:rPr>
        <w:t>附表1</w:t>
      </w:r>
      <w:r>
        <w:rPr>
          <w:rFonts w:ascii="黑体" w:eastAsia="黑体" w:cs="宋体"/>
          <w:color w:val="0C0C0C" w:themeColor="text1" w:themeTint="F2"/>
          <w:kern w:val="0"/>
          <w:sz w:val="32"/>
          <w:szCs w:val="32"/>
        </w:rPr>
        <w:t xml:space="preserve"> </w:t>
      </w:r>
      <w:r>
        <w:rPr>
          <w:rFonts w:hint="eastAsia" w:ascii="黑体" w:eastAsia="黑体" w:cs="宋体"/>
          <w:color w:val="0C0C0C" w:themeColor="text1" w:themeTint="F2"/>
          <w:kern w:val="0"/>
          <w:sz w:val="32"/>
          <w:szCs w:val="32"/>
        </w:rPr>
        <w:t>续1</w:t>
      </w:r>
    </w:p>
    <w:p>
      <w:pPr>
        <w:jc w:val="center"/>
        <w:rPr>
          <w:rFonts w:hint="eastAsia" w:ascii="方正小标宋简体" w:hAnsi="方正小标宋简体" w:eastAsia="方正小标宋简体" w:cs="方正小标宋简体"/>
          <w:b w:val="0"/>
          <w:bCs/>
          <w:color w:val="0C0C0C" w:themeColor="text1" w:themeTint="F2"/>
          <w:kern w:val="0"/>
          <w:sz w:val="44"/>
          <w:szCs w:val="44"/>
        </w:rPr>
      </w:pPr>
      <w:r>
        <w:rPr>
          <w:rFonts w:hint="eastAsia" w:ascii="方正小标宋简体" w:hAnsi="方正小标宋简体" w:eastAsia="方正小标宋简体" w:cs="方正小标宋简体"/>
          <w:b w:val="0"/>
          <w:bCs/>
          <w:color w:val="0C0C0C" w:themeColor="text1" w:themeTint="F2"/>
          <w:kern w:val="0"/>
          <w:sz w:val="44"/>
          <w:szCs w:val="44"/>
        </w:rPr>
        <w:t>2020年传染病防治国家随机监督抽查汇总表</w:t>
      </w:r>
    </w:p>
    <w:tbl>
      <w:tblPr>
        <w:tblStyle w:val="7"/>
        <w:tblW w:w="16060" w:type="dxa"/>
        <w:jc w:val="center"/>
        <w:tblLayout w:type="fixed"/>
        <w:tblCellMar>
          <w:top w:w="0" w:type="dxa"/>
          <w:left w:w="108" w:type="dxa"/>
          <w:bottom w:w="0" w:type="dxa"/>
          <w:right w:w="108" w:type="dxa"/>
        </w:tblCellMar>
      </w:tblPr>
      <w:tblGrid>
        <w:gridCol w:w="636"/>
        <w:gridCol w:w="1125"/>
        <w:gridCol w:w="950"/>
        <w:gridCol w:w="969"/>
        <w:gridCol w:w="1049"/>
        <w:gridCol w:w="1116"/>
        <w:gridCol w:w="1212"/>
        <w:gridCol w:w="977"/>
        <w:gridCol w:w="1057"/>
        <w:gridCol w:w="1152"/>
        <w:gridCol w:w="1316"/>
        <w:gridCol w:w="1125"/>
        <w:gridCol w:w="1125"/>
        <w:gridCol w:w="1125"/>
        <w:gridCol w:w="1126"/>
      </w:tblGrid>
      <w:tr>
        <w:tblPrEx>
          <w:tblCellMar>
            <w:top w:w="0" w:type="dxa"/>
            <w:left w:w="108" w:type="dxa"/>
            <w:bottom w:w="0" w:type="dxa"/>
            <w:right w:w="108" w:type="dxa"/>
          </w:tblCellMar>
        </w:tblPrEx>
        <w:trPr>
          <w:trHeight w:val="484" w:hRule="atLeast"/>
          <w:jc w:val="center"/>
        </w:trPr>
        <w:tc>
          <w:tcPr>
            <w:tcW w:w="176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监督对象</w:t>
            </w:r>
          </w:p>
        </w:tc>
        <w:tc>
          <w:tcPr>
            <w:tcW w:w="14299" w:type="dxa"/>
            <w:gridSpan w:val="13"/>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监督检查内容</w:t>
            </w:r>
          </w:p>
        </w:tc>
      </w:tr>
      <w:tr>
        <w:tblPrEx>
          <w:tblCellMar>
            <w:top w:w="0" w:type="dxa"/>
            <w:left w:w="108" w:type="dxa"/>
            <w:bottom w:w="0" w:type="dxa"/>
            <w:right w:w="108" w:type="dxa"/>
          </w:tblCellMar>
        </w:tblPrEx>
        <w:trPr>
          <w:trHeight w:val="484"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C0C0C" w:themeColor="text1" w:themeTint="F2"/>
              </w:rPr>
            </w:pPr>
          </w:p>
        </w:tc>
        <w:tc>
          <w:tcPr>
            <w:tcW w:w="6273" w:type="dxa"/>
            <w:gridSpan w:val="6"/>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消毒隔离</w:t>
            </w:r>
            <w:r>
              <w:rPr>
                <w:rStyle w:val="10"/>
                <w:rFonts w:hint="eastAsia" w:ascii="仿宋" w:eastAsia="仿宋" w:cs="仿宋"/>
                <w:color w:val="0C0C0C" w:themeColor="text1" w:themeTint="F2"/>
                <w:sz w:val="21"/>
                <w:szCs w:val="21"/>
              </w:rPr>
              <w:t>合格机构数</w:t>
            </w:r>
          </w:p>
        </w:tc>
        <w:tc>
          <w:tcPr>
            <w:tcW w:w="8026" w:type="dxa"/>
            <w:gridSpan w:val="7"/>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疫情控制</w:t>
            </w:r>
            <w:r>
              <w:rPr>
                <w:rStyle w:val="10"/>
                <w:rFonts w:hint="eastAsia" w:ascii="仿宋" w:eastAsia="仿宋" w:cs="仿宋"/>
                <w:color w:val="0C0C0C" w:themeColor="text1" w:themeTint="F2"/>
                <w:sz w:val="21"/>
                <w:szCs w:val="21"/>
              </w:rPr>
              <w:t>合格机构数</w:t>
            </w:r>
          </w:p>
        </w:tc>
      </w:tr>
      <w:tr>
        <w:tblPrEx>
          <w:tblCellMar>
            <w:top w:w="0" w:type="dxa"/>
            <w:left w:w="108" w:type="dxa"/>
            <w:bottom w:w="0" w:type="dxa"/>
            <w:right w:w="108" w:type="dxa"/>
          </w:tblCellMar>
        </w:tblPrEx>
        <w:trPr>
          <w:trHeight w:val="2183" w:hRule="atLeast"/>
          <w:jc w:val="center"/>
        </w:trPr>
        <w:tc>
          <w:tcPr>
            <w:tcW w:w="176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C0C0C" w:themeColor="text1" w:themeTint="F2"/>
              </w:rPr>
            </w:pPr>
          </w:p>
        </w:tc>
        <w:tc>
          <w:tcPr>
            <w:tcW w:w="950" w:type="dxa"/>
            <w:tcBorders>
              <w:top w:val="single" w:color="auto" w:sz="4" w:space="0"/>
              <w:left w:val="nil"/>
              <w:bottom w:val="single" w:color="auto" w:sz="4" w:space="0"/>
              <w:right w:val="nil"/>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建立消毒隔离组织、制度</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开展消毒与灭菌效果监测</w:t>
            </w:r>
          </w:p>
        </w:tc>
        <w:tc>
          <w:tcPr>
            <w:tcW w:w="1049"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消毒隔离知识培训</w:t>
            </w:r>
          </w:p>
        </w:tc>
        <w:tc>
          <w:tcPr>
            <w:tcW w:w="1116"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消毒产品进货检查验收</w:t>
            </w:r>
          </w:p>
        </w:tc>
        <w:tc>
          <w:tcPr>
            <w:tcW w:w="1212"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医疗器械一人一用一消毒或灭菌</w:t>
            </w:r>
          </w:p>
        </w:tc>
        <w:tc>
          <w:tcPr>
            <w:tcW w:w="97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消毒隔离各项内容合格数</w:t>
            </w:r>
          </w:p>
        </w:tc>
        <w:tc>
          <w:tcPr>
            <w:tcW w:w="1057"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建立预检、分诊制度</w:t>
            </w:r>
          </w:p>
        </w:tc>
        <w:tc>
          <w:tcPr>
            <w:tcW w:w="1152"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按规定为传染病病人、疑似病人提供诊疗</w:t>
            </w:r>
          </w:p>
        </w:tc>
        <w:tc>
          <w:tcPr>
            <w:tcW w:w="1316"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b/>
                <w:color w:val="0C0C0C" w:themeColor="text1" w:themeTint="F2"/>
                <w:kern w:val="0"/>
              </w:rPr>
            </w:pPr>
            <w:r>
              <w:rPr>
                <w:rFonts w:hint="eastAsia" w:ascii="仿宋" w:eastAsia="仿宋" w:cs="仿宋"/>
                <w:color w:val="0C0C0C" w:themeColor="text1" w:themeTint="F2"/>
                <w:kern w:val="0"/>
              </w:rPr>
              <w:t>设置传染病病人或疑似病人隔离控制场所、设备设施并有使用记录</w:t>
            </w:r>
          </w:p>
        </w:tc>
        <w:tc>
          <w:tcPr>
            <w:tcW w:w="112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消毒处理传染病病原体污染的场所、物品、污水和医疗废物</w:t>
            </w:r>
          </w:p>
        </w:tc>
        <w:tc>
          <w:tcPr>
            <w:tcW w:w="112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top"/>
              <w:rPr>
                <w:rFonts w:ascii="仿宋" w:eastAsia="仿宋" w:cs="仿宋"/>
                <w:color w:val="0C0C0C" w:themeColor="text1" w:themeTint="F2"/>
              </w:rPr>
            </w:pPr>
            <w:r>
              <w:rPr>
                <w:rFonts w:hint="eastAsia" w:ascii="仿宋" w:eastAsia="仿宋" w:cs="仿宋"/>
                <w:color w:val="0C0C0C" w:themeColor="text1" w:themeTint="F2"/>
                <w:kern w:val="0"/>
              </w:rPr>
              <w:t>依法履行传染病监测职责情况</w:t>
            </w:r>
          </w:p>
        </w:tc>
        <w:tc>
          <w:tcPr>
            <w:tcW w:w="112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top"/>
              <w:rPr>
                <w:rFonts w:ascii="仿宋" w:eastAsia="仿宋" w:cs="仿宋"/>
                <w:color w:val="0C0C0C" w:themeColor="text1" w:themeTint="F2"/>
              </w:rPr>
            </w:pPr>
            <w:r>
              <w:rPr>
                <w:rFonts w:hint="eastAsia" w:ascii="仿宋" w:eastAsia="仿宋" w:cs="仿宋"/>
                <w:color w:val="0C0C0C" w:themeColor="text1" w:themeTint="F2"/>
                <w:kern w:val="0"/>
              </w:rPr>
              <w:t>发现传染病疫情时，采取传染病控制措施</w:t>
            </w:r>
          </w:p>
        </w:tc>
        <w:tc>
          <w:tcPr>
            <w:tcW w:w="1126"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top"/>
              <w:rPr>
                <w:rFonts w:ascii="仿宋" w:eastAsia="仿宋" w:cs="仿宋"/>
                <w:color w:val="0C0C0C" w:themeColor="text1" w:themeTint="F2"/>
              </w:rPr>
            </w:pPr>
            <w:r>
              <w:rPr>
                <w:rFonts w:hint="eastAsia" w:ascii="仿宋" w:eastAsia="仿宋" w:cs="仿宋"/>
                <w:color w:val="0C0C0C" w:themeColor="text1" w:themeTint="F2"/>
                <w:kern w:val="0"/>
              </w:rPr>
              <w:t>疫情控制各项内容合格数</w:t>
            </w:r>
          </w:p>
        </w:tc>
      </w:tr>
      <w:tr>
        <w:tblPrEx>
          <w:tblCellMar>
            <w:top w:w="0" w:type="dxa"/>
            <w:left w:w="108" w:type="dxa"/>
            <w:bottom w:w="0" w:type="dxa"/>
            <w:right w:w="108" w:type="dxa"/>
          </w:tblCellMar>
        </w:tblPrEx>
        <w:trPr>
          <w:trHeight w:val="273" w:hRule="exact"/>
          <w:jc w:val="center"/>
        </w:trPr>
        <w:tc>
          <w:tcPr>
            <w:tcW w:w="63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疾控机构</w:t>
            </w: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省级</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r>
      <w:tr>
        <w:tblPrEx>
          <w:tblCellMar>
            <w:top w:w="0" w:type="dxa"/>
            <w:left w:w="108" w:type="dxa"/>
            <w:bottom w:w="0" w:type="dxa"/>
            <w:right w:w="108" w:type="dxa"/>
          </w:tblCellMar>
        </w:tblPrEx>
        <w:trPr>
          <w:trHeight w:val="297" w:hRule="exact"/>
          <w:jc w:val="center"/>
        </w:trPr>
        <w:tc>
          <w:tcPr>
            <w:tcW w:w="6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市级</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r>
      <w:tr>
        <w:tblPrEx>
          <w:tblCellMar>
            <w:top w:w="0" w:type="dxa"/>
            <w:left w:w="108" w:type="dxa"/>
            <w:bottom w:w="0" w:type="dxa"/>
            <w:right w:w="108" w:type="dxa"/>
          </w:tblCellMar>
        </w:tblPrEx>
        <w:trPr>
          <w:trHeight w:val="285" w:hRule="exact"/>
          <w:jc w:val="center"/>
        </w:trPr>
        <w:tc>
          <w:tcPr>
            <w:tcW w:w="6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县级</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r>
      <w:tr>
        <w:tblPrEx>
          <w:tblCellMar>
            <w:top w:w="0" w:type="dxa"/>
            <w:left w:w="108" w:type="dxa"/>
            <w:bottom w:w="0" w:type="dxa"/>
            <w:right w:w="108" w:type="dxa"/>
          </w:tblCellMar>
        </w:tblPrEx>
        <w:trPr>
          <w:trHeight w:val="312" w:hRule="exact"/>
          <w:jc w:val="center"/>
        </w:trPr>
        <w:tc>
          <w:tcPr>
            <w:tcW w:w="6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累计</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r>
      <w:tr>
        <w:tblPrEx>
          <w:tblCellMar>
            <w:top w:w="0" w:type="dxa"/>
            <w:left w:w="108" w:type="dxa"/>
            <w:bottom w:w="0" w:type="dxa"/>
            <w:right w:w="108" w:type="dxa"/>
          </w:tblCellMar>
        </w:tblPrEx>
        <w:trPr>
          <w:trHeight w:val="308" w:hRule="exact"/>
          <w:jc w:val="center"/>
        </w:trPr>
        <w:tc>
          <w:tcPr>
            <w:tcW w:w="636" w:type="dxa"/>
            <w:vMerge w:val="restart"/>
            <w:tcBorders>
              <w:top w:val="nil"/>
              <w:left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医疗机构</w:t>
            </w: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三级</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295" w:hRule="exact"/>
          <w:jc w:val="center"/>
        </w:trPr>
        <w:tc>
          <w:tcPr>
            <w:tcW w:w="636" w:type="dxa"/>
            <w:vMerge w:val="continue"/>
            <w:tcBorders>
              <w:left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二级</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332" w:hRule="exact"/>
          <w:jc w:val="center"/>
        </w:trPr>
        <w:tc>
          <w:tcPr>
            <w:tcW w:w="636" w:type="dxa"/>
            <w:vMerge w:val="continue"/>
            <w:tcBorders>
              <w:left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一级</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383" w:hRule="exact"/>
          <w:jc w:val="center"/>
        </w:trPr>
        <w:tc>
          <w:tcPr>
            <w:tcW w:w="636" w:type="dxa"/>
            <w:vMerge w:val="continue"/>
            <w:tcBorders>
              <w:left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口腔诊所</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r>
      <w:tr>
        <w:tblPrEx>
          <w:tblCellMar>
            <w:top w:w="0" w:type="dxa"/>
            <w:left w:w="108" w:type="dxa"/>
            <w:bottom w:w="0" w:type="dxa"/>
            <w:right w:w="108" w:type="dxa"/>
          </w:tblCellMar>
        </w:tblPrEx>
        <w:trPr>
          <w:trHeight w:val="357" w:hRule="exact"/>
          <w:jc w:val="center"/>
        </w:trPr>
        <w:tc>
          <w:tcPr>
            <w:tcW w:w="636" w:type="dxa"/>
            <w:vMerge w:val="continue"/>
            <w:tcBorders>
              <w:left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其他</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310" w:hRule="exact"/>
          <w:jc w:val="center"/>
        </w:trPr>
        <w:tc>
          <w:tcPr>
            <w:tcW w:w="636" w:type="dxa"/>
            <w:vMerge w:val="continue"/>
            <w:tcBorders>
              <w:left w:val="single" w:color="auto" w:sz="4" w:space="0"/>
              <w:bottom w:val="single" w:color="auto" w:sz="4" w:space="0"/>
              <w:right w:val="single" w:color="auto" w:sz="4" w:space="0"/>
            </w:tcBorders>
            <w:vAlign w:val="center"/>
          </w:tcPr>
          <w:p>
            <w:pPr>
              <w:rPr>
                <w:color w:val="0C0C0C" w:themeColor="text1" w:themeTint="F2"/>
              </w:rPr>
            </w:pPr>
          </w:p>
        </w:tc>
        <w:tc>
          <w:tcPr>
            <w:tcW w:w="1125"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累计</w:t>
            </w:r>
          </w:p>
        </w:tc>
        <w:tc>
          <w:tcPr>
            <w:tcW w:w="9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31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6"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325" w:hRule="exact"/>
          <w:jc w:val="center"/>
        </w:trPr>
        <w:tc>
          <w:tcPr>
            <w:tcW w:w="176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采供血机构</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c>
          <w:tcPr>
            <w:tcW w:w="1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r>
              <w:rPr>
                <w:rFonts w:hint="eastAsia" w:ascii="仿宋" w:eastAsia="仿宋" w:cs="仿宋"/>
                <w:color w:val="0C0C0C" w:themeColor="text1" w:themeTint="F2"/>
                <w:kern w:val="0"/>
              </w:rPr>
              <w:t>-</w:t>
            </w:r>
          </w:p>
        </w:tc>
      </w:tr>
      <w:tr>
        <w:tblPrEx>
          <w:tblCellMar>
            <w:top w:w="0" w:type="dxa"/>
            <w:left w:w="108" w:type="dxa"/>
            <w:bottom w:w="0" w:type="dxa"/>
            <w:right w:w="108" w:type="dxa"/>
          </w:tblCellMar>
        </w:tblPrEx>
        <w:trPr>
          <w:trHeight w:val="351" w:hRule="exact"/>
          <w:jc w:val="center"/>
        </w:trPr>
        <w:tc>
          <w:tcPr>
            <w:tcW w:w="176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总计</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黑体" w:eastAsia="黑体" w:cs="黑体"/>
          <w:color w:val="0C0C0C" w:themeColor="text1" w:themeTint="F2"/>
          <w:kern w:val="0"/>
          <w:sz w:val="32"/>
          <w:szCs w:val="32"/>
        </w:rPr>
      </w:pPr>
      <w:r>
        <w:rPr>
          <w:rFonts w:hint="eastAsia" w:ascii="黑体" w:eastAsia="黑体" w:cs="黑体"/>
          <w:color w:val="0C0C0C" w:themeColor="text1" w:themeTint="F2"/>
          <w:kern w:val="0"/>
          <w:sz w:val="32"/>
          <w:szCs w:val="32"/>
        </w:rPr>
        <w:t>附表1 续2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C0C0C" w:themeColor="text1" w:themeTint="F2"/>
          <w:kern w:val="0"/>
          <w:sz w:val="44"/>
          <w:szCs w:val="44"/>
        </w:rPr>
      </w:pPr>
      <w:r>
        <w:rPr>
          <w:rFonts w:hint="eastAsia" w:ascii="方正小标宋简体" w:hAnsi="方正小标宋简体" w:eastAsia="方正小标宋简体" w:cs="方正小标宋简体"/>
          <w:b w:val="0"/>
          <w:bCs/>
          <w:color w:val="0C0C0C" w:themeColor="text1" w:themeTint="F2"/>
          <w:kern w:val="0"/>
          <w:sz w:val="44"/>
          <w:szCs w:val="44"/>
        </w:rPr>
        <w:t>2020年传染病防治国家随机监督抽查汇总表</w:t>
      </w:r>
    </w:p>
    <w:tbl>
      <w:tblPr>
        <w:tblStyle w:val="7"/>
        <w:tblpPr w:leftFromText="180" w:rightFromText="180" w:vertAnchor="text" w:horzAnchor="page" w:tblpXSpec="center" w:tblpY="292"/>
        <w:tblOverlap w:val="never"/>
        <w:tblW w:w="16040" w:type="dxa"/>
        <w:tblInd w:w="0" w:type="dxa"/>
        <w:tblLayout w:type="fixed"/>
        <w:tblCellMar>
          <w:top w:w="0" w:type="dxa"/>
          <w:left w:w="108" w:type="dxa"/>
          <w:bottom w:w="0" w:type="dxa"/>
          <w:right w:w="108" w:type="dxa"/>
        </w:tblCellMar>
      </w:tblPr>
      <w:tblGrid>
        <w:gridCol w:w="536"/>
        <w:gridCol w:w="764"/>
        <w:gridCol w:w="793"/>
        <w:gridCol w:w="881"/>
        <w:gridCol w:w="952"/>
        <w:gridCol w:w="951"/>
        <w:gridCol w:w="951"/>
        <w:gridCol w:w="951"/>
        <w:gridCol w:w="951"/>
        <w:gridCol w:w="951"/>
        <w:gridCol w:w="951"/>
        <w:gridCol w:w="952"/>
        <w:gridCol w:w="951"/>
        <w:gridCol w:w="820"/>
        <w:gridCol w:w="1083"/>
        <w:gridCol w:w="952"/>
        <w:gridCol w:w="549"/>
        <w:gridCol w:w="550"/>
        <w:gridCol w:w="551"/>
      </w:tblGrid>
      <w:tr>
        <w:tblPrEx>
          <w:tblCellMar>
            <w:top w:w="0" w:type="dxa"/>
            <w:left w:w="108" w:type="dxa"/>
            <w:bottom w:w="0" w:type="dxa"/>
            <w:right w:w="108" w:type="dxa"/>
          </w:tblCellMar>
        </w:tblPrEx>
        <w:trPr>
          <w:trHeight w:val="296" w:hRule="atLeast"/>
        </w:trPr>
        <w:tc>
          <w:tcPr>
            <w:tcW w:w="13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监督类别</w:t>
            </w:r>
          </w:p>
        </w:tc>
        <w:tc>
          <w:tcPr>
            <w:tcW w:w="13090" w:type="dxa"/>
            <w:gridSpan w:val="14"/>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监督检查内容</w:t>
            </w:r>
          </w:p>
        </w:tc>
        <w:tc>
          <w:tcPr>
            <w:tcW w:w="1650" w:type="dxa"/>
            <w:gridSpan w:val="3"/>
            <w:vMerge w:val="restart"/>
            <w:tcBorders>
              <w:top w:val="single" w:color="auto" w:sz="4" w:space="0"/>
              <w:left w:val="nil"/>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综合评价结果</w:t>
            </w:r>
          </w:p>
        </w:tc>
      </w:tr>
      <w:tr>
        <w:tblPrEx>
          <w:tblCellMar>
            <w:top w:w="0" w:type="dxa"/>
            <w:left w:w="108" w:type="dxa"/>
            <w:bottom w:w="0" w:type="dxa"/>
            <w:right w:w="108" w:type="dxa"/>
          </w:tblCellMar>
        </w:tblPrEx>
        <w:trPr>
          <w:trHeight w:val="296" w:hRule="atLeast"/>
        </w:trPr>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C0C0C" w:themeColor="text1" w:themeTint="F2"/>
              </w:rPr>
            </w:pPr>
          </w:p>
        </w:tc>
        <w:tc>
          <w:tcPr>
            <w:tcW w:w="7381" w:type="dxa"/>
            <w:gridSpan w:val="8"/>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医疗废物合格机构数</w:t>
            </w:r>
          </w:p>
        </w:tc>
        <w:tc>
          <w:tcPr>
            <w:tcW w:w="570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二级病原微生物实验室生物安全合格机构数</w:t>
            </w:r>
          </w:p>
        </w:tc>
        <w:tc>
          <w:tcPr>
            <w:tcW w:w="1650" w:type="dxa"/>
            <w:gridSpan w:val="3"/>
            <w:vMerge w:val="continue"/>
            <w:tcBorders>
              <w:left w:val="nil"/>
              <w:bottom w:val="single" w:color="auto" w:sz="4" w:space="0"/>
              <w:right w:val="single" w:color="auto" w:sz="4" w:space="0"/>
            </w:tcBorders>
            <w:vAlign w:val="center"/>
          </w:tcPr>
          <w:p>
            <w:pPr>
              <w:rPr>
                <w:color w:val="0C0C0C" w:themeColor="text1" w:themeTint="F2"/>
              </w:rPr>
            </w:pPr>
          </w:p>
        </w:tc>
      </w:tr>
      <w:tr>
        <w:tblPrEx>
          <w:tblCellMar>
            <w:top w:w="0" w:type="dxa"/>
            <w:left w:w="108" w:type="dxa"/>
            <w:bottom w:w="0" w:type="dxa"/>
            <w:right w:w="108" w:type="dxa"/>
          </w:tblCellMar>
        </w:tblPrEx>
        <w:trPr>
          <w:trHeight w:val="2428" w:hRule="atLeast"/>
        </w:trPr>
        <w:tc>
          <w:tcPr>
            <w:tcW w:w="1300" w:type="dxa"/>
            <w:gridSpan w:val="2"/>
            <w:vMerge w:val="continue"/>
            <w:tcBorders>
              <w:top w:val="single" w:color="auto" w:sz="4" w:space="0"/>
              <w:left w:val="single" w:color="auto" w:sz="4" w:space="0"/>
              <w:bottom w:val="single" w:color="auto" w:sz="4" w:space="0"/>
              <w:right w:val="single" w:color="auto" w:sz="4" w:space="0"/>
            </w:tcBorders>
            <w:vAlign w:val="center"/>
          </w:tcPr>
          <w:p>
            <w:pPr>
              <w:rPr>
                <w:color w:val="0C0C0C" w:themeColor="text1" w:themeTint="F2"/>
              </w:rPr>
            </w:pPr>
          </w:p>
        </w:tc>
        <w:tc>
          <w:tcPr>
            <w:tcW w:w="793" w:type="dxa"/>
            <w:tcBorders>
              <w:top w:val="single" w:color="auto" w:sz="4" w:space="0"/>
              <w:left w:val="nil"/>
              <w:bottom w:val="single" w:color="auto" w:sz="4" w:space="0"/>
              <w:right w:val="nil"/>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医疗废物分类收集</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医疗废物交接运送、暂存及处置登记完整</w:t>
            </w:r>
          </w:p>
        </w:tc>
        <w:tc>
          <w:tcPr>
            <w:tcW w:w="952"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使用专用包装物及容器</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建立医疗废物暂时贮存设施并符合要求</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未在院内丢弃或在非贮存地点堆放医疗废物</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医疗废物交由有资质的机构集中处置</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自建医疗废物处置设施及时焚烧处理</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医疗废物各项内容</w:t>
            </w:r>
            <w:r>
              <w:rPr>
                <w:rStyle w:val="11"/>
                <w:rFonts w:hint="eastAsia" w:ascii="仿宋" w:eastAsia="仿宋" w:cs="仿宋"/>
                <w:color w:val="0C0C0C" w:themeColor="text1" w:themeTint="F2"/>
              </w:rPr>
              <w:t>合格数</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检查二级实验室机构数</w:t>
            </w:r>
          </w:p>
        </w:tc>
        <w:tc>
          <w:tcPr>
            <w:tcW w:w="952"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二级实验室备案证明</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从业人员定期培训并考核</w:t>
            </w:r>
          </w:p>
        </w:tc>
        <w:tc>
          <w:tcPr>
            <w:tcW w:w="820"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建立实验档案</w:t>
            </w:r>
          </w:p>
        </w:tc>
        <w:tc>
          <w:tcPr>
            <w:tcW w:w="1083"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实验活动结束将菌（毒）种或样本就地销毁或者送交保藏机构保藏</w:t>
            </w:r>
          </w:p>
        </w:tc>
        <w:tc>
          <w:tcPr>
            <w:tcW w:w="952"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病原微生物实验室生物安全各项内容</w:t>
            </w:r>
            <w:r>
              <w:rPr>
                <w:rStyle w:val="11"/>
                <w:rFonts w:hint="eastAsia" w:ascii="仿宋" w:eastAsia="仿宋" w:cs="仿宋"/>
                <w:color w:val="0C0C0C" w:themeColor="text1" w:themeTint="F2"/>
              </w:rPr>
              <w:t>合格数</w:t>
            </w:r>
          </w:p>
        </w:tc>
        <w:tc>
          <w:tcPr>
            <w:tcW w:w="549"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优秀单位数</w:t>
            </w:r>
          </w:p>
        </w:tc>
        <w:tc>
          <w:tcPr>
            <w:tcW w:w="550"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合格单位数</w:t>
            </w:r>
          </w:p>
        </w:tc>
        <w:tc>
          <w:tcPr>
            <w:tcW w:w="551"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rPr>
            </w:pPr>
            <w:r>
              <w:rPr>
                <w:rFonts w:hint="eastAsia" w:ascii="仿宋" w:eastAsia="仿宋" w:cs="仿宋"/>
                <w:color w:val="0C0C0C" w:themeColor="text1" w:themeTint="F2"/>
                <w:kern w:val="0"/>
              </w:rPr>
              <w:t>重点监督单位数</w:t>
            </w:r>
          </w:p>
        </w:tc>
      </w:tr>
      <w:tr>
        <w:tblPrEx>
          <w:tblCellMar>
            <w:top w:w="0" w:type="dxa"/>
            <w:left w:w="108" w:type="dxa"/>
            <w:bottom w:w="0" w:type="dxa"/>
            <w:right w:w="108" w:type="dxa"/>
          </w:tblCellMar>
        </w:tblPrEx>
        <w:trPr>
          <w:trHeight w:val="422" w:hRule="exact"/>
        </w:trPr>
        <w:tc>
          <w:tcPr>
            <w:tcW w:w="53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疾控机构</w:t>
            </w: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省级</w:t>
            </w:r>
          </w:p>
        </w:tc>
        <w:tc>
          <w:tcPr>
            <w:tcW w:w="793"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市级</w:t>
            </w:r>
          </w:p>
        </w:tc>
        <w:tc>
          <w:tcPr>
            <w:tcW w:w="793"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县级</w:t>
            </w:r>
          </w:p>
        </w:tc>
        <w:tc>
          <w:tcPr>
            <w:tcW w:w="793"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累计</w:t>
            </w:r>
          </w:p>
        </w:tc>
        <w:tc>
          <w:tcPr>
            <w:tcW w:w="793"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医疗机构</w:t>
            </w: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三级</w:t>
            </w:r>
          </w:p>
        </w:tc>
        <w:tc>
          <w:tcPr>
            <w:tcW w:w="793"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二级</w:t>
            </w:r>
          </w:p>
        </w:tc>
        <w:tc>
          <w:tcPr>
            <w:tcW w:w="793"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一级</w:t>
            </w:r>
          </w:p>
        </w:tc>
        <w:tc>
          <w:tcPr>
            <w:tcW w:w="793"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53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764"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其他</w:t>
            </w:r>
          </w:p>
        </w:tc>
        <w:tc>
          <w:tcPr>
            <w:tcW w:w="793"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nil"/>
              <w:left w:val="nil"/>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nil"/>
              <w:left w:val="nil"/>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22" w:hRule="exact"/>
        </w:trPr>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采供血机构</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r>
      <w:tr>
        <w:tblPrEx>
          <w:tblCellMar>
            <w:top w:w="0" w:type="dxa"/>
            <w:left w:w="108" w:type="dxa"/>
            <w:bottom w:w="0" w:type="dxa"/>
            <w:right w:w="108" w:type="dxa"/>
          </w:tblCellMar>
        </w:tblPrEx>
        <w:trPr>
          <w:trHeight w:val="461" w:hRule="exact"/>
        </w:trPr>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 w:eastAsia="仿宋" w:cs="仿宋"/>
                <w:color w:val="0C0C0C" w:themeColor="text1" w:themeTint="F2"/>
                <w:kern w:val="0"/>
              </w:rPr>
            </w:pPr>
            <w:r>
              <w:rPr>
                <w:rFonts w:hint="eastAsia" w:ascii="仿宋" w:eastAsia="仿宋" w:cs="仿宋"/>
                <w:color w:val="0C0C0C" w:themeColor="text1" w:themeTint="F2"/>
                <w:kern w:val="0"/>
              </w:rPr>
              <w:t>总计</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b/>
                <w:bCs/>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eastAsia="仿宋" w:cs="仿宋"/>
                <w:color w:val="0C0C0C" w:themeColor="text1" w:themeTint="F2"/>
                <w:kern w:val="0"/>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eastAsia="仿宋" w:cs="仿宋"/>
                <w:color w:val="0C0C0C" w:themeColor="text1" w:themeTint="F2"/>
                <w:kern w:val="0"/>
              </w:rPr>
            </w:pPr>
          </w:p>
        </w:tc>
      </w:tr>
    </w:tbl>
    <w:p>
      <w:pPr>
        <w:spacing w:afterLines="100"/>
        <w:jc w:val="left"/>
        <w:rPr>
          <w:rFonts w:ascii="黑体" w:eastAsia="黑体"/>
          <w:color w:val="0C0C0C" w:themeColor="text1" w:themeTint="F2"/>
          <w:sz w:val="32"/>
          <w:szCs w:val="32"/>
        </w:rPr>
      </w:pPr>
      <w:r>
        <w:rPr>
          <w:rFonts w:hint="eastAsia" w:ascii="黑体" w:eastAsia="黑体"/>
          <w:color w:val="0C0C0C" w:themeColor="text1" w:themeTint="F2"/>
          <w:sz w:val="32"/>
          <w:szCs w:val="32"/>
        </w:rPr>
        <w:t xml:space="preserve">附表2             </w:t>
      </w:r>
    </w:p>
    <w:p>
      <w:pPr>
        <w:spacing w:afterLines="100"/>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2020年传染病防治国家随机监督抽查案件查处汇总表</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outlineLvl w:val="9"/>
        <w:rPr>
          <w:rFonts w:ascii="仿宋" w:eastAsia="仿宋" w:cs="仿宋"/>
          <w:bCs/>
          <w:color w:val="0C0C0C" w:themeColor="text1" w:themeTint="F2"/>
        </w:rPr>
      </w:pPr>
      <w:r>
        <w:rPr>
          <w:rFonts w:hint="eastAsia" w:ascii="仿宋" w:eastAsia="仿宋" w:cs="仿宋"/>
          <w:bCs/>
          <w:color w:val="0C0C0C" w:themeColor="text1" w:themeTint="F2"/>
          <w:u w:val="single"/>
        </w:rPr>
        <w:t xml:space="preserve">                </w:t>
      </w:r>
      <w:r>
        <w:rPr>
          <w:rFonts w:hint="eastAsia" w:ascii="仿宋" w:eastAsia="仿宋" w:cs="仿宋"/>
          <w:bCs/>
          <w:color w:val="0C0C0C" w:themeColor="text1" w:themeTint="F2"/>
        </w:rPr>
        <w:t>省（自治区、直辖市）</w:t>
      </w:r>
    </w:p>
    <w:tbl>
      <w:tblPr>
        <w:tblStyle w:val="7"/>
        <w:tblW w:w="15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2112"/>
        <w:gridCol w:w="1101"/>
        <w:gridCol w:w="1471"/>
        <w:gridCol w:w="1102"/>
        <w:gridCol w:w="1103"/>
        <w:gridCol w:w="1103"/>
        <w:gridCol w:w="1102"/>
        <w:gridCol w:w="128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706" w:type="dxa"/>
            <w:vMerge w:val="restart"/>
            <w:vAlign w:val="center"/>
          </w:tcPr>
          <w:p>
            <w:pPr>
              <w:spacing w:line="320" w:lineRule="exact"/>
              <w:jc w:val="center"/>
              <w:rPr>
                <w:rFonts w:ascii="仿宋" w:eastAsia="仿宋" w:cs="仿宋"/>
                <w:color w:val="0C0C0C" w:themeColor="text1" w:themeTint="F2"/>
              </w:rPr>
            </w:pPr>
            <w:r>
              <w:rPr>
                <w:rFonts w:ascii="仿宋" w:eastAsia="仿宋" w:cs="仿宋"/>
                <w:color w:val="0C0C0C" w:themeColor="text1" w:themeTint="F2"/>
              </w:rPr>
              <w:t>监督对象</w:t>
            </w:r>
          </w:p>
        </w:tc>
        <w:tc>
          <w:tcPr>
            <w:tcW w:w="2112" w:type="dxa"/>
            <w:vMerge w:val="restart"/>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辖区</w:t>
            </w:r>
          </w:p>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机构数</w:t>
            </w:r>
          </w:p>
        </w:tc>
        <w:tc>
          <w:tcPr>
            <w:tcW w:w="1101" w:type="dxa"/>
            <w:vMerge w:val="restart"/>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检查</w:t>
            </w:r>
          </w:p>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机构数</w:t>
            </w:r>
          </w:p>
        </w:tc>
        <w:tc>
          <w:tcPr>
            <w:tcW w:w="1471" w:type="dxa"/>
            <w:vMerge w:val="restart"/>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发现违法行为机构数</w:t>
            </w:r>
          </w:p>
        </w:tc>
        <w:tc>
          <w:tcPr>
            <w:tcW w:w="1102" w:type="dxa"/>
            <w:vMerge w:val="restart"/>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案件数</w:t>
            </w:r>
          </w:p>
        </w:tc>
        <w:tc>
          <w:tcPr>
            <w:tcW w:w="1103" w:type="dxa"/>
            <w:vMerge w:val="restart"/>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行政</w:t>
            </w:r>
          </w:p>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处分</w:t>
            </w:r>
          </w:p>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人员数</w:t>
            </w:r>
          </w:p>
        </w:tc>
        <w:tc>
          <w:tcPr>
            <w:tcW w:w="4667" w:type="dxa"/>
            <w:gridSpan w:val="4"/>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706" w:type="dxa"/>
            <w:vMerge w:val="continue"/>
            <w:vAlign w:val="center"/>
          </w:tcPr>
          <w:p>
            <w:pPr>
              <w:rPr>
                <w:color w:val="0C0C0C" w:themeColor="text1" w:themeTint="F2"/>
              </w:rPr>
            </w:pPr>
          </w:p>
        </w:tc>
        <w:tc>
          <w:tcPr>
            <w:tcW w:w="2112" w:type="dxa"/>
            <w:vMerge w:val="continue"/>
            <w:vAlign w:val="center"/>
          </w:tcPr>
          <w:p>
            <w:pPr>
              <w:rPr>
                <w:color w:val="0C0C0C" w:themeColor="text1" w:themeTint="F2"/>
              </w:rPr>
            </w:pPr>
          </w:p>
        </w:tc>
        <w:tc>
          <w:tcPr>
            <w:tcW w:w="1101" w:type="dxa"/>
            <w:vMerge w:val="continue"/>
            <w:vAlign w:val="center"/>
          </w:tcPr>
          <w:p>
            <w:pPr>
              <w:rPr>
                <w:color w:val="0C0C0C" w:themeColor="text1" w:themeTint="F2"/>
              </w:rPr>
            </w:pPr>
          </w:p>
        </w:tc>
        <w:tc>
          <w:tcPr>
            <w:tcW w:w="1471" w:type="dxa"/>
            <w:vMerge w:val="continue"/>
            <w:vAlign w:val="center"/>
          </w:tcPr>
          <w:p>
            <w:pPr>
              <w:rPr>
                <w:color w:val="0C0C0C" w:themeColor="text1" w:themeTint="F2"/>
              </w:rPr>
            </w:pPr>
          </w:p>
        </w:tc>
        <w:tc>
          <w:tcPr>
            <w:tcW w:w="1102" w:type="dxa"/>
            <w:vMerge w:val="continue"/>
            <w:vAlign w:val="center"/>
          </w:tcPr>
          <w:p>
            <w:pPr>
              <w:rPr>
                <w:color w:val="0C0C0C" w:themeColor="text1" w:themeTint="F2"/>
              </w:rPr>
            </w:pPr>
          </w:p>
        </w:tc>
        <w:tc>
          <w:tcPr>
            <w:tcW w:w="1103" w:type="dxa"/>
            <w:vMerge w:val="continue"/>
            <w:vAlign w:val="center"/>
          </w:tcPr>
          <w:p>
            <w:pPr>
              <w:rPr>
                <w:color w:val="0C0C0C" w:themeColor="text1" w:themeTint="F2"/>
              </w:rPr>
            </w:pPr>
          </w:p>
        </w:tc>
        <w:tc>
          <w:tcPr>
            <w:tcW w:w="1103"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警告（家）</w:t>
            </w:r>
          </w:p>
        </w:tc>
        <w:tc>
          <w:tcPr>
            <w:tcW w:w="1102"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罚款（家）</w:t>
            </w:r>
          </w:p>
        </w:tc>
        <w:tc>
          <w:tcPr>
            <w:tcW w:w="1287"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罚款金额</w:t>
            </w:r>
          </w:p>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（万元）</w:t>
            </w:r>
          </w:p>
        </w:tc>
        <w:tc>
          <w:tcPr>
            <w:tcW w:w="1175"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三级医院</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二级医院</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一级医院</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基层医疗机构</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疾控机构</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采供血机构</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6" w:type="dxa"/>
            <w:vAlign w:val="center"/>
          </w:tcPr>
          <w:p>
            <w:pPr>
              <w:spacing w:line="320" w:lineRule="exact"/>
              <w:jc w:val="center"/>
              <w:rPr>
                <w:rFonts w:ascii="仿宋" w:eastAsia="仿宋" w:cs="仿宋"/>
                <w:color w:val="0C0C0C" w:themeColor="text1" w:themeTint="F2"/>
              </w:rPr>
            </w:pPr>
            <w:r>
              <w:rPr>
                <w:rFonts w:hint="eastAsia" w:ascii="仿宋" w:eastAsia="仿宋" w:cs="仿宋"/>
                <w:color w:val="0C0C0C" w:themeColor="text1" w:themeTint="F2"/>
              </w:rPr>
              <w:t>合计</w:t>
            </w:r>
          </w:p>
        </w:tc>
        <w:tc>
          <w:tcPr>
            <w:tcW w:w="2112" w:type="dxa"/>
          </w:tcPr>
          <w:p>
            <w:pPr>
              <w:spacing w:line="320" w:lineRule="exact"/>
              <w:rPr>
                <w:rFonts w:ascii="仿宋" w:eastAsia="仿宋" w:cs="仿宋"/>
                <w:color w:val="0C0C0C" w:themeColor="text1" w:themeTint="F2"/>
              </w:rPr>
            </w:pPr>
          </w:p>
        </w:tc>
        <w:tc>
          <w:tcPr>
            <w:tcW w:w="1101" w:type="dxa"/>
          </w:tcPr>
          <w:p>
            <w:pPr>
              <w:spacing w:line="320" w:lineRule="exact"/>
              <w:rPr>
                <w:rFonts w:ascii="仿宋" w:eastAsia="仿宋" w:cs="仿宋"/>
                <w:color w:val="0C0C0C" w:themeColor="text1" w:themeTint="F2"/>
              </w:rPr>
            </w:pPr>
          </w:p>
        </w:tc>
        <w:tc>
          <w:tcPr>
            <w:tcW w:w="1471"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3" w:type="dxa"/>
          </w:tcPr>
          <w:p>
            <w:pPr>
              <w:spacing w:line="320" w:lineRule="exact"/>
              <w:rPr>
                <w:rFonts w:ascii="仿宋" w:eastAsia="仿宋" w:cs="仿宋"/>
                <w:color w:val="0C0C0C" w:themeColor="text1" w:themeTint="F2"/>
              </w:rPr>
            </w:pPr>
          </w:p>
        </w:tc>
        <w:tc>
          <w:tcPr>
            <w:tcW w:w="1102" w:type="dxa"/>
          </w:tcPr>
          <w:p>
            <w:pPr>
              <w:spacing w:line="320" w:lineRule="exact"/>
              <w:rPr>
                <w:rFonts w:ascii="仿宋" w:eastAsia="仿宋" w:cs="仿宋"/>
                <w:color w:val="0C0C0C" w:themeColor="text1" w:themeTint="F2"/>
              </w:rPr>
            </w:pPr>
          </w:p>
        </w:tc>
        <w:tc>
          <w:tcPr>
            <w:tcW w:w="1287" w:type="dxa"/>
          </w:tcPr>
          <w:p>
            <w:pPr>
              <w:spacing w:line="320" w:lineRule="exact"/>
              <w:rPr>
                <w:rFonts w:ascii="仿宋" w:eastAsia="仿宋" w:cs="仿宋"/>
                <w:color w:val="0C0C0C" w:themeColor="text1" w:themeTint="F2"/>
              </w:rPr>
            </w:pPr>
          </w:p>
        </w:tc>
        <w:tc>
          <w:tcPr>
            <w:tcW w:w="1175" w:type="dxa"/>
          </w:tcPr>
          <w:p>
            <w:pPr>
              <w:spacing w:line="320" w:lineRule="exact"/>
              <w:rPr>
                <w:rFonts w:ascii="仿宋" w:eastAsia="仿宋" w:cs="仿宋"/>
                <w:color w:val="0C0C0C" w:themeColor="text1" w:themeTint="F2"/>
              </w:rPr>
            </w:pPr>
          </w:p>
        </w:tc>
      </w:tr>
    </w:tbl>
    <w:p>
      <w:pPr>
        <w:rPr>
          <w:rFonts w:ascii="仿宋" w:eastAsia="仿宋" w:cs="仿宋"/>
          <w:bCs/>
          <w:color w:val="0C0C0C" w:themeColor="text1" w:themeTint="F2"/>
        </w:rPr>
      </w:pPr>
      <w:r>
        <w:rPr>
          <w:rFonts w:hint="eastAsia" w:ascii="仿宋" w:eastAsia="仿宋" w:cs="仿宋"/>
          <w:bCs/>
          <w:color w:val="0C0C0C" w:themeColor="text1" w:themeTint="F2"/>
        </w:rPr>
        <w:t xml:space="preserve"> 填表单位（盖章）：                     填表人：　      　　　　 联系电话：                   填表日期：  </w:t>
      </w:r>
    </w:p>
    <w:p>
      <w:pPr>
        <w:rPr>
          <w:rFonts w:ascii="黑体" w:eastAsia="黑体" w:cs="宋体"/>
          <w:color w:val="0C0C0C" w:themeColor="text1" w:themeTint="F2"/>
          <w:sz w:val="32"/>
          <w:szCs w:val="32"/>
        </w:rPr>
      </w:pPr>
    </w:p>
    <w:p>
      <w:pPr>
        <w:rPr>
          <w:rFonts w:ascii="仿宋_GB2312" w:eastAsia="仿宋_GB2312"/>
          <w:color w:val="0C0C0C" w:themeColor="text1" w:themeTint="F2"/>
          <w:sz w:val="32"/>
          <w:szCs w:val="32"/>
        </w:rPr>
      </w:pPr>
    </w:p>
    <w:p>
      <w:pPr>
        <w:ind w:firstLine="1600" w:firstLineChars="500"/>
        <w:rPr>
          <w:rFonts w:ascii="仿宋_GB2312" w:eastAsia="仿宋_GB2312"/>
          <w:color w:val="0C0C0C" w:themeColor="text1" w:themeTint="F2"/>
          <w:sz w:val="32"/>
          <w:szCs w:val="32"/>
        </w:rPr>
        <w:sectPr>
          <w:pgSz w:w="16838" w:h="11906" w:orient="landscape"/>
          <w:pgMar w:top="1701" w:right="1418" w:bottom="1417" w:left="1418" w:header="851" w:footer="992" w:gutter="0"/>
          <w:pgNumType w:fmt="decimal"/>
          <w:cols w:space="0" w:num="1"/>
          <w:rtlGutter w:val="0"/>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eastAsia="黑体" w:cs="黑体"/>
          <w:color w:val="0C0C0C" w:themeColor="text1" w:themeTint="F2"/>
          <w:sz w:val="32"/>
          <w:szCs w:val="32"/>
        </w:rPr>
      </w:pPr>
      <w:r>
        <w:rPr>
          <w:rFonts w:hint="eastAsia" w:ascii="黑体" w:eastAsia="黑体" w:cs="黑体"/>
          <w:color w:val="0C0C0C" w:themeColor="text1" w:themeTint="F2"/>
          <w:sz w:val="32"/>
          <w:szCs w:val="32"/>
        </w:rPr>
        <w:t>八、母婴保健、计划生育技术服务机构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（一）监督检查内容。</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r>
        <w:rPr>
          <w:rFonts w:hint="eastAsia" w:ascii="仿宋_GB2312" w:eastAsia="仿宋_GB2312"/>
          <w:color w:val="0C0C0C" w:themeColor="text1" w:themeTint="F2"/>
          <w:sz w:val="32"/>
          <w:szCs w:val="32"/>
        </w:rPr>
        <w:t>各地要对发现的相关问题、线索及时进行通报、协查，贯彻落实《医疗纠纷预防与处理条例》、《医疗质量管理办法》等法律法规，加大对违法行为依法查处力度，认真落实医疗机构不良行为记分制度。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（二）结果报送要求。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各地要统筹兼顾完成及时完成双随机抽检任务，请于</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11</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30</w:t>
      </w:r>
      <w:r>
        <w:rPr>
          <w:rFonts w:hint="eastAsia" w:ascii="仿宋_GB2312" w:eastAsia="仿宋_GB2312"/>
          <w:color w:val="0C0C0C" w:themeColor="text1" w:themeTint="F2"/>
          <w:sz w:val="32"/>
          <w:szCs w:val="32"/>
        </w:rPr>
        <w:t>日前完成本辖区的母婴保健、计划生育技术服务机构国家监督抽查信息报送工作，汇总数据以信息报告系统填报数据为准。</w:t>
      </w:r>
      <w:r>
        <w:rPr>
          <w:rFonts w:hint="eastAsia" w:ascii="仿宋_GB2312" w:eastAsia="仿宋_GB2312" w:cs="??_GB2312"/>
          <w:color w:val="0C0C0C" w:themeColor="text1" w:themeTint="F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联</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系</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人：自治区卫生监督所计划生育监督科  赵忠标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联系电话：</w:t>
      </w:r>
      <w:r>
        <w:rPr>
          <w:rFonts w:hint="eastAsia" w:ascii="仿宋_GB2312" w:eastAsia="仿宋_GB2312" w:cs="??_GB2312"/>
          <w:color w:val="0C0C0C" w:themeColor="text1" w:themeTint="F2"/>
          <w:sz w:val="32"/>
          <w:szCs w:val="32"/>
        </w:rPr>
        <w:t>0771-5311200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0C0C0C" w:themeColor="text1" w:themeTint="F2"/>
          <w:sz w:val="32"/>
          <w:szCs w:val="32"/>
        </w:rPr>
      </w:pPr>
      <w:r>
        <w:rPr>
          <w:rFonts w:hint="eastAsia" w:ascii="仿宋_GB2312" w:eastAsia="仿宋_GB2312"/>
          <w:color w:val="0C0C0C" w:themeColor="text1" w:themeTint="F2"/>
          <w:sz w:val="32"/>
          <w:szCs w:val="32"/>
        </w:rPr>
        <w:t>邮</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箱：</w:t>
      </w:r>
      <w:r>
        <w:rPr>
          <w:rFonts w:hint="default" w:ascii="Times New Roman" w:hAnsi="Times New Roman" w:eastAsia="仿宋_GB2312" w:cs="Times New Roman"/>
          <w:color w:val="0C0C0C" w:themeColor="text1" w:themeTint="F2"/>
          <w:sz w:val="32"/>
          <w:szCs w:val="32"/>
          <w:u w:val="none"/>
        </w:rPr>
        <w:t>gxwsjdsjsk@163.com</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C0C0C" w:themeColor="text1" w:themeTint="F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eastAsia="仿宋_GB2312"/>
          <w:color w:val="0C0C0C" w:themeColor="text1" w:themeTint="F2"/>
          <w:spacing w:val="-6"/>
          <w:sz w:val="32"/>
          <w:szCs w:val="32"/>
        </w:rPr>
      </w:pPr>
      <w:r>
        <w:rPr>
          <w:rFonts w:hint="eastAsia" w:ascii="仿宋_GB2312" w:eastAsia="仿宋_GB2312"/>
          <w:color w:val="0C0C0C" w:themeColor="text1" w:themeTint="F2"/>
          <w:sz w:val="32"/>
          <w:szCs w:val="32"/>
        </w:rPr>
        <w:t>附表：</w:t>
      </w:r>
      <w:r>
        <w:rPr>
          <w:rFonts w:hint="eastAsia" w:ascii="仿宋_GB2312" w:eastAsia="仿宋_GB2312" w:cs="??_GB2312"/>
          <w:color w:val="0C0C0C" w:themeColor="text1" w:themeTint="F2"/>
          <w:sz w:val="32"/>
          <w:szCs w:val="32"/>
        </w:rPr>
        <w:t>1.</w:t>
      </w:r>
      <w:r>
        <w:rPr>
          <w:rFonts w:hint="eastAsia" w:ascii="仿宋_GB2312" w:eastAsia="仿宋_GB2312" w:cs="??_GB2312"/>
          <w:color w:val="0C0C0C" w:themeColor="text1" w:themeTint="F2"/>
          <w:spacing w:val="-6"/>
          <w:sz w:val="32"/>
          <w:szCs w:val="32"/>
        </w:rPr>
        <w:t>2019</w:t>
      </w:r>
      <w:r>
        <w:rPr>
          <w:rFonts w:hint="eastAsia" w:ascii="仿宋_GB2312" w:eastAsia="仿宋_GB2312"/>
          <w:color w:val="0C0C0C" w:themeColor="text1" w:themeTint="F2"/>
          <w:spacing w:val="-6"/>
          <w:sz w:val="32"/>
          <w:szCs w:val="32"/>
        </w:rPr>
        <w:t>年母婴保健、计划生育技术服务机构国家随机</w:t>
      </w:r>
    </w:p>
    <w:p>
      <w:pPr>
        <w:keepNext w:val="0"/>
        <w:keepLines w:val="0"/>
        <w:pageBreakBefore w:val="0"/>
        <w:kinsoku/>
        <w:wordWrap/>
        <w:overflowPunct/>
        <w:topLinePunct w:val="0"/>
        <w:autoSpaceDE/>
        <w:autoSpaceDN/>
        <w:bidi w:val="0"/>
        <w:adjustRightInd w:val="0"/>
        <w:snapToGrid w:val="0"/>
        <w:spacing w:line="560" w:lineRule="exact"/>
        <w:ind w:firstLine="616" w:firstLineChars="200"/>
        <w:textAlignment w:val="auto"/>
        <w:outlineLvl w:val="9"/>
        <w:rPr>
          <w:rFonts w:ascii="仿宋_GB2312" w:eastAsia="仿宋_GB2312"/>
          <w:color w:val="0C0C0C" w:themeColor="text1" w:themeTint="F2"/>
          <w:sz w:val="32"/>
          <w:szCs w:val="32"/>
        </w:rPr>
      </w:pPr>
      <w:r>
        <w:rPr>
          <w:rFonts w:hint="eastAsia" w:ascii="仿宋_GB2312" w:eastAsia="仿宋_GB2312"/>
          <w:color w:val="0C0C0C" w:themeColor="text1" w:themeTint="F2"/>
          <w:spacing w:val="-6"/>
          <w:sz w:val="32"/>
          <w:szCs w:val="32"/>
          <w:lang w:eastAsia="zh-CN"/>
        </w:rPr>
        <w:t>　　　　</w:t>
      </w:r>
      <w:r>
        <w:rPr>
          <w:rFonts w:hint="eastAsia" w:ascii="仿宋_GB2312" w:eastAsia="仿宋_GB2312"/>
          <w:color w:val="0C0C0C" w:themeColor="text1" w:themeTint="F2"/>
          <w:sz w:val="32"/>
          <w:szCs w:val="32"/>
        </w:rPr>
        <w:t>监督抽查工作计划表</w:t>
      </w:r>
    </w:p>
    <w:p>
      <w:pPr>
        <w:keepNext w:val="0"/>
        <w:keepLines w:val="0"/>
        <w:pageBreakBefore w:val="0"/>
        <w:kinsoku/>
        <w:wordWrap/>
        <w:overflowPunct/>
        <w:topLinePunct w:val="0"/>
        <w:autoSpaceDE/>
        <w:autoSpaceDN/>
        <w:bidi w:val="0"/>
        <w:adjustRightInd w:val="0"/>
        <w:snapToGrid w:val="0"/>
        <w:spacing w:line="560" w:lineRule="exact"/>
        <w:ind w:left="1916" w:leftChars="760" w:hanging="320" w:hangingChars="100"/>
        <w:textAlignment w:val="auto"/>
        <w:outlineLvl w:val="9"/>
        <w:rPr>
          <w:rFonts w:hint="eastAsia" w:ascii="仿宋_GB2312" w:eastAsia="仿宋_GB2312"/>
          <w:color w:val="0C0C0C" w:themeColor="text1" w:themeTint="F2"/>
          <w:spacing w:val="-6"/>
          <w:sz w:val="32"/>
          <w:szCs w:val="32"/>
        </w:rPr>
      </w:pPr>
      <w:r>
        <w:rPr>
          <w:rFonts w:hint="eastAsia" w:ascii="仿宋_GB2312" w:eastAsia="仿宋_GB2312" w:cs="??_GB2312"/>
          <w:color w:val="0C0C0C" w:themeColor="text1" w:themeTint="F2"/>
          <w:sz w:val="32"/>
          <w:szCs w:val="32"/>
        </w:rPr>
        <w:t>2.</w:t>
      </w:r>
      <w:r>
        <w:rPr>
          <w:rFonts w:hint="eastAsia" w:ascii="仿宋_GB2312" w:eastAsia="仿宋_GB2312" w:cs="??_GB2312"/>
          <w:color w:val="0C0C0C" w:themeColor="text1" w:themeTint="F2"/>
          <w:spacing w:val="-6"/>
          <w:sz w:val="32"/>
          <w:szCs w:val="32"/>
        </w:rPr>
        <w:t>2019</w:t>
      </w:r>
      <w:r>
        <w:rPr>
          <w:rFonts w:hint="eastAsia" w:ascii="仿宋_GB2312" w:eastAsia="仿宋_GB2312"/>
          <w:color w:val="0C0C0C" w:themeColor="text1" w:themeTint="F2"/>
          <w:spacing w:val="-6"/>
          <w:sz w:val="32"/>
          <w:szCs w:val="32"/>
        </w:rPr>
        <w:t>年母婴保健、计划生育技术服务机构国家随机</w:t>
      </w:r>
    </w:p>
    <w:p>
      <w:pPr>
        <w:keepNext w:val="0"/>
        <w:keepLines w:val="0"/>
        <w:pageBreakBefore w:val="0"/>
        <w:kinsoku/>
        <w:wordWrap/>
        <w:overflowPunct/>
        <w:topLinePunct w:val="0"/>
        <w:autoSpaceDE/>
        <w:autoSpaceDN/>
        <w:bidi w:val="0"/>
        <w:adjustRightInd w:val="0"/>
        <w:snapToGrid w:val="0"/>
        <w:spacing w:line="560" w:lineRule="exact"/>
        <w:ind w:left="1904" w:leftChars="760" w:hanging="308" w:hangingChars="100"/>
        <w:textAlignment w:val="auto"/>
        <w:outlineLvl w:val="9"/>
        <w:rPr>
          <w:rFonts w:ascii="仿宋_GB2312" w:eastAsia="仿宋_GB2312"/>
          <w:color w:val="0C0C0C" w:themeColor="text1" w:themeTint="F2"/>
          <w:sz w:val="32"/>
          <w:szCs w:val="32"/>
        </w:rPr>
      </w:pPr>
      <w:r>
        <w:rPr>
          <w:rFonts w:hint="eastAsia" w:ascii="仿宋_GB2312" w:eastAsia="仿宋_GB2312"/>
          <w:color w:val="0C0C0C" w:themeColor="text1" w:themeTint="F2"/>
          <w:spacing w:val="-6"/>
          <w:sz w:val="32"/>
          <w:szCs w:val="32"/>
          <w:lang w:eastAsia="zh-CN"/>
        </w:rPr>
        <w:t>　</w:t>
      </w:r>
      <w:r>
        <w:rPr>
          <w:rFonts w:hint="eastAsia" w:ascii="仿宋_GB2312" w:eastAsia="仿宋_GB2312"/>
          <w:color w:val="0C0C0C" w:themeColor="text1" w:themeTint="F2"/>
          <w:sz w:val="32"/>
          <w:szCs w:val="32"/>
        </w:rPr>
        <w:t>监督抽查汇总表</w:t>
      </w:r>
    </w:p>
    <w:p>
      <w:pPr>
        <w:adjustRightInd w:val="0"/>
        <w:snapToGrid w:val="0"/>
        <w:spacing w:line="560" w:lineRule="exact"/>
        <w:ind w:firstLine="640" w:firstLineChars="200"/>
        <w:rPr>
          <w:rFonts w:ascii="仿宋_GB2312" w:eastAsia="仿宋_GB2312"/>
          <w:color w:val="0C0C0C" w:themeColor="text1" w:themeTint="F2"/>
          <w:sz w:val="32"/>
          <w:szCs w:val="32"/>
        </w:rPr>
      </w:pPr>
    </w:p>
    <w:p>
      <w:pPr>
        <w:adjustRightInd w:val="0"/>
        <w:snapToGrid w:val="0"/>
        <w:spacing w:line="560" w:lineRule="exact"/>
        <w:rPr>
          <w:rFonts w:ascii="仿宋_GB2312" w:eastAsia="仿宋_GB2312"/>
          <w:color w:val="0C0C0C" w:themeColor="text1" w:themeTint="F2"/>
          <w:sz w:val="32"/>
          <w:szCs w:val="32"/>
        </w:rPr>
        <w:sectPr>
          <w:pgSz w:w="11906" w:h="16838"/>
          <w:pgMar w:top="1701" w:right="1418" w:bottom="1417" w:left="1701" w:header="851" w:footer="992" w:gutter="0"/>
          <w:pgNumType w:fmt="decimal"/>
          <w:cols w:space="0" w:num="1"/>
          <w:rtlGutter w:val="0"/>
          <w:docGrid w:type="lines" w:linePitch="312" w:charSpace="0"/>
        </w:sectPr>
      </w:pPr>
    </w:p>
    <w:p>
      <w:pPr>
        <w:spacing w:line="360" w:lineRule="auto"/>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 xml:space="preserve">附表1             </w:t>
      </w:r>
    </w:p>
    <w:p>
      <w:pPr>
        <w:spacing w:line="360" w:lineRule="auto"/>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2020年母婴保健、计划生育技术服务机构国家随机监督抽查工作计划表</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1559"/>
        <w:gridCol w:w="737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序号</w:t>
            </w:r>
          </w:p>
        </w:tc>
        <w:tc>
          <w:tcPr>
            <w:tcW w:w="2693" w:type="dxa"/>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监督检查对象</w:t>
            </w:r>
          </w:p>
        </w:tc>
        <w:tc>
          <w:tcPr>
            <w:tcW w:w="1559" w:type="dxa"/>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抽检比例</w:t>
            </w:r>
          </w:p>
        </w:tc>
        <w:tc>
          <w:tcPr>
            <w:tcW w:w="7371" w:type="dxa"/>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检查内容</w:t>
            </w:r>
          </w:p>
        </w:tc>
        <w:tc>
          <w:tcPr>
            <w:tcW w:w="1592" w:type="dxa"/>
          </w:tcPr>
          <w:p>
            <w:pPr>
              <w:spacing w:line="360" w:lineRule="auto"/>
              <w:jc w:val="center"/>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p>
        </w:tc>
        <w:tc>
          <w:tcPr>
            <w:tcW w:w="2693"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妇幼保健院</w:t>
            </w:r>
          </w:p>
        </w:tc>
        <w:tc>
          <w:tcPr>
            <w:tcW w:w="1559" w:type="dxa"/>
            <w:vAlign w:val="center"/>
          </w:tcPr>
          <w:p>
            <w:pPr>
              <w:jc w:val="center"/>
              <w:rPr>
                <w:rFonts w:ascii="仿宋_GB2312" w:eastAsia="仿宋_GB2312"/>
                <w:color w:val="0C0C0C" w:themeColor="text1" w:themeTint="F2"/>
                <w:sz w:val="24"/>
                <w:szCs w:val="24"/>
              </w:rPr>
            </w:pPr>
          </w:p>
          <w:p>
            <w:pPr>
              <w:jc w:val="cente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73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w:t>
            </w:r>
            <w:r>
              <w:rPr>
                <w:rFonts w:hint="eastAsia" w:ascii="仿宋_GB2312" w:eastAsia="仿宋_GB2312"/>
                <w:color w:val="0C0C0C" w:themeColor="text1" w:themeTint="F2"/>
                <w:sz w:val="24"/>
                <w:szCs w:val="24"/>
              </w:rPr>
              <w:t>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2.</w:t>
            </w:r>
            <w:r>
              <w:rPr>
                <w:rFonts w:hint="eastAsia" w:ascii="仿宋_GB2312" w:eastAsia="仿宋_GB2312"/>
                <w:color w:val="0C0C0C" w:themeColor="text1" w:themeTint="F2"/>
                <w:sz w:val="24"/>
                <w:szCs w:val="24"/>
              </w:rPr>
              <w:t>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3.</w:t>
            </w:r>
            <w:r>
              <w:rPr>
                <w:rFonts w:hint="eastAsia" w:ascii="仿宋_GB2312" w:eastAsia="仿宋_GB2312"/>
                <w:color w:val="0C0C0C" w:themeColor="text1" w:themeTint="F2"/>
                <w:sz w:val="24"/>
                <w:szCs w:val="24"/>
              </w:rPr>
              <w:t xml:space="preserve">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2</w:t>
            </w:r>
          </w:p>
        </w:tc>
        <w:tc>
          <w:tcPr>
            <w:tcW w:w="2693"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妇幼保健计划生育技术服务机构</w:t>
            </w:r>
          </w:p>
        </w:tc>
        <w:tc>
          <w:tcPr>
            <w:tcW w:w="1559" w:type="dxa"/>
            <w:vAlign w:val="center"/>
          </w:tcPr>
          <w:p>
            <w:pPr>
              <w:jc w:val="cente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7371" w:type="dxa"/>
            <w:vMerge w:val="continue"/>
            <w:vAlign w:val="center"/>
          </w:tcPr>
          <w:p>
            <w:pPr>
              <w:rPr>
                <w:color w:val="0C0C0C" w:themeColor="text1" w:themeTint="F2"/>
              </w:rPr>
            </w:pPr>
          </w:p>
        </w:tc>
        <w:tc>
          <w:tcPr>
            <w:tcW w:w="1592" w:type="dxa"/>
            <w:vMerge w:val="continue"/>
          </w:tcPr>
          <w:p>
            <w:pP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959"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3</w:t>
            </w:r>
          </w:p>
        </w:tc>
        <w:tc>
          <w:tcPr>
            <w:tcW w:w="2693" w:type="dxa"/>
            <w:vAlign w:val="center"/>
          </w:tcPr>
          <w:p>
            <w:pPr>
              <w:spacing w:line="360" w:lineRule="auto"/>
              <w:jc w:val="center"/>
              <w:rPr>
                <w:rFonts w:ascii="仿宋_GB2312" w:eastAsia="仿宋_GB2312"/>
                <w:color w:val="0C0C0C" w:themeColor="text1" w:themeTint="F2"/>
                <w:sz w:val="24"/>
                <w:szCs w:val="24"/>
              </w:rPr>
            </w:pPr>
            <w:r>
              <w:rPr>
                <w:rFonts w:hint="eastAsia" w:ascii="仿宋_GB2312" w:eastAsia="仿宋_GB2312"/>
                <w:color w:val="0C0C0C" w:themeColor="text1" w:themeTint="F2"/>
                <w:sz w:val="24"/>
                <w:szCs w:val="24"/>
              </w:rPr>
              <w:t>其他医疗、保健机构</w:t>
            </w:r>
          </w:p>
        </w:tc>
        <w:tc>
          <w:tcPr>
            <w:tcW w:w="1559" w:type="dxa"/>
            <w:vAlign w:val="center"/>
          </w:tcPr>
          <w:p>
            <w:pPr>
              <w:jc w:val="center"/>
              <w:rPr>
                <w:rFonts w:ascii="仿宋_GB2312" w:eastAsia="仿宋_GB2312"/>
                <w:color w:val="0C0C0C" w:themeColor="text1" w:themeTint="F2"/>
                <w:sz w:val="24"/>
                <w:szCs w:val="24"/>
              </w:rPr>
            </w:pPr>
            <w:r>
              <w:rPr>
                <w:rFonts w:hint="eastAsia" w:ascii="仿宋_GB2312" w:eastAsia="仿宋_GB2312" w:cs="??_GB2312"/>
                <w:color w:val="0C0C0C" w:themeColor="text1" w:themeTint="F2"/>
                <w:sz w:val="24"/>
                <w:szCs w:val="24"/>
              </w:rPr>
              <w:t>100%</w:t>
            </w:r>
          </w:p>
        </w:tc>
        <w:tc>
          <w:tcPr>
            <w:tcW w:w="7371" w:type="dxa"/>
            <w:vMerge w:val="continue"/>
            <w:vAlign w:val="center"/>
          </w:tcPr>
          <w:p>
            <w:pPr>
              <w:rPr>
                <w:color w:val="0C0C0C" w:themeColor="text1" w:themeTint="F2"/>
              </w:rPr>
            </w:pPr>
          </w:p>
        </w:tc>
        <w:tc>
          <w:tcPr>
            <w:tcW w:w="1592" w:type="dxa"/>
            <w:vMerge w:val="continue"/>
          </w:tcPr>
          <w:p>
            <w:pPr>
              <w:rPr>
                <w:color w:val="0C0C0C" w:themeColor="text1" w:themeTint="F2"/>
              </w:rPr>
            </w:pPr>
          </w:p>
        </w:tc>
      </w:tr>
    </w:tbl>
    <w:p>
      <w:pPr>
        <w:rPr>
          <w:rFonts w:ascii="仿宋_GB2312" w:eastAsia="仿宋_GB2312"/>
          <w:color w:val="0C0C0C" w:themeColor="text1" w:themeTint="F2"/>
        </w:rPr>
      </w:pPr>
    </w:p>
    <w:p>
      <w:pPr>
        <w:spacing w:line="440" w:lineRule="exact"/>
        <w:rPr>
          <w:rFonts w:ascii="仿宋_GB2312" w:eastAsia="仿宋_GB2312"/>
          <w:color w:val="0C0C0C" w:themeColor="text1" w:themeTint="F2"/>
          <w:sz w:val="32"/>
          <w:szCs w:val="32"/>
        </w:rPr>
      </w:pPr>
    </w:p>
    <w:p>
      <w:pPr>
        <w:spacing w:line="440" w:lineRule="exact"/>
        <w:rPr>
          <w:rFonts w:hint="eastAsia" w:ascii="黑体" w:hAnsi="黑体" w:eastAsia="黑体" w:cs="黑体"/>
          <w:b/>
          <w:bCs/>
          <w:color w:val="0C0C0C" w:themeColor="text1" w:themeTint="F2"/>
          <w:sz w:val="32"/>
          <w:szCs w:val="32"/>
        </w:rPr>
      </w:pPr>
      <w:r>
        <w:rPr>
          <w:rFonts w:hint="eastAsia" w:ascii="黑体" w:hAnsi="黑体" w:eastAsia="黑体" w:cs="黑体"/>
          <w:color w:val="0C0C0C" w:themeColor="text1" w:themeTint="F2"/>
          <w:sz w:val="32"/>
          <w:szCs w:val="32"/>
        </w:rPr>
        <w:t>附表2</w:t>
      </w:r>
    </w:p>
    <w:tbl>
      <w:tblPr>
        <w:tblStyle w:val="7"/>
        <w:tblpPr w:leftFromText="180" w:rightFromText="180" w:vertAnchor="text" w:horzAnchor="margin" w:tblpXSpec="center" w:tblpY="604"/>
        <w:tblW w:w="15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27"/>
        <w:gridCol w:w="260"/>
        <w:gridCol w:w="600"/>
        <w:gridCol w:w="582"/>
        <w:gridCol w:w="630"/>
        <w:gridCol w:w="600"/>
        <w:gridCol w:w="645"/>
        <w:gridCol w:w="645"/>
        <w:gridCol w:w="615"/>
        <w:gridCol w:w="615"/>
        <w:gridCol w:w="615"/>
        <w:gridCol w:w="660"/>
        <w:gridCol w:w="600"/>
        <w:gridCol w:w="675"/>
        <w:gridCol w:w="735"/>
        <w:gridCol w:w="630"/>
        <w:gridCol w:w="630"/>
        <w:gridCol w:w="645"/>
        <w:gridCol w:w="795"/>
        <w:gridCol w:w="600"/>
        <w:gridCol w:w="582"/>
        <w:gridCol w:w="375"/>
        <w:gridCol w:w="450"/>
        <w:gridCol w:w="585"/>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44" w:type="dxa"/>
            <w:vMerge w:val="restart"/>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单位类别</w:t>
            </w:r>
          </w:p>
        </w:tc>
        <w:tc>
          <w:tcPr>
            <w:tcW w:w="327" w:type="dxa"/>
            <w:vMerge w:val="restart"/>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辖区内单位总数</w:t>
            </w:r>
          </w:p>
        </w:tc>
        <w:tc>
          <w:tcPr>
            <w:tcW w:w="260" w:type="dxa"/>
            <w:vMerge w:val="restart"/>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检查单位数</w:t>
            </w:r>
          </w:p>
        </w:tc>
        <w:tc>
          <w:tcPr>
            <w:tcW w:w="12099" w:type="dxa"/>
            <w:gridSpan w:val="19"/>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不合格情况</w:t>
            </w:r>
          </w:p>
        </w:tc>
        <w:tc>
          <w:tcPr>
            <w:tcW w:w="2057" w:type="dxa"/>
            <w:gridSpan w:val="4"/>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44" w:type="dxa"/>
            <w:vMerge w:val="continue"/>
            <w:vAlign w:val="center"/>
          </w:tcPr>
          <w:p>
            <w:pPr>
              <w:rPr>
                <w:color w:val="0C0C0C" w:themeColor="text1" w:themeTint="F2"/>
                <w:sz w:val="18"/>
                <w:szCs w:val="18"/>
              </w:rPr>
            </w:pPr>
          </w:p>
        </w:tc>
        <w:tc>
          <w:tcPr>
            <w:tcW w:w="327" w:type="dxa"/>
            <w:vMerge w:val="continue"/>
            <w:vAlign w:val="center"/>
          </w:tcPr>
          <w:p>
            <w:pPr>
              <w:rPr>
                <w:color w:val="0C0C0C" w:themeColor="text1" w:themeTint="F2"/>
                <w:sz w:val="18"/>
                <w:szCs w:val="18"/>
              </w:rPr>
            </w:pPr>
          </w:p>
        </w:tc>
        <w:tc>
          <w:tcPr>
            <w:tcW w:w="260" w:type="dxa"/>
            <w:vMerge w:val="continue"/>
            <w:vAlign w:val="center"/>
          </w:tcPr>
          <w:p>
            <w:pPr>
              <w:rPr>
                <w:color w:val="0C0C0C" w:themeColor="text1" w:themeTint="F2"/>
                <w:sz w:val="18"/>
                <w:szCs w:val="18"/>
              </w:rPr>
            </w:pPr>
          </w:p>
        </w:tc>
        <w:tc>
          <w:tcPr>
            <w:tcW w:w="1182" w:type="dxa"/>
            <w:gridSpan w:val="2"/>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机构及人员资质情况</w:t>
            </w:r>
          </w:p>
        </w:tc>
        <w:tc>
          <w:tcPr>
            <w:tcW w:w="7035" w:type="dxa"/>
            <w:gridSpan w:val="11"/>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法律法规执行情况</w:t>
            </w:r>
          </w:p>
        </w:tc>
        <w:tc>
          <w:tcPr>
            <w:tcW w:w="3882" w:type="dxa"/>
            <w:gridSpan w:val="6"/>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制度建立情况</w:t>
            </w:r>
          </w:p>
        </w:tc>
        <w:tc>
          <w:tcPr>
            <w:tcW w:w="37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查处案件数</w:t>
            </w:r>
          </w:p>
        </w:tc>
        <w:tc>
          <w:tcPr>
            <w:tcW w:w="45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罚没款金额（万）</w:t>
            </w:r>
          </w:p>
        </w:tc>
        <w:tc>
          <w:tcPr>
            <w:tcW w:w="58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吊销执业机构许可证单位数</w:t>
            </w:r>
          </w:p>
        </w:tc>
        <w:tc>
          <w:tcPr>
            <w:tcW w:w="647"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944" w:type="dxa"/>
            <w:vMerge w:val="continue"/>
            <w:vAlign w:val="center"/>
          </w:tcPr>
          <w:p>
            <w:pPr>
              <w:rPr>
                <w:color w:val="0C0C0C" w:themeColor="text1" w:themeTint="F2"/>
                <w:sz w:val="18"/>
                <w:szCs w:val="18"/>
              </w:rPr>
            </w:pPr>
          </w:p>
        </w:tc>
        <w:tc>
          <w:tcPr>
            <w:tcW w:w="327" w:type="dxa"/>
            <w:vMerge w:val="continue"/>
            <w:vAlign w:val="center"/>
          </w:tcPr>
          <w:p>
            <w:pPr>
              <w:rPr>
                <w:color w:val="0C0C0C" w:themeColor="text1" w:themeTint="F2"/>
                <w:sz w:val="18"/>
                <w:szCs w:val="18"/>
              </w:rPr>
            </w:pPr>
          </w:p>
        </w:tc>
        <w:tc>
          <w:tcPr>
            <w:tcW w:w="260" w:type="dxa"/>
            <w:vMerge w:val="continue"/>
            <w:vAlign w:val="center"/>
          </w:tcPr>
          <w:p>
            <w:pPr>
              <w:rPr>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机构执业资质管理不符合要求单位数</w:t>
            </w: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人员资格管理不符合要求单位数</w:t>
            </w: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机构未按照批准的业务范围和服务项目执业单位数</w:t>
            </w: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人员未按照批准的服务项目执业单位数</w:t>
            </w: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不符合开展技术服务的机构设置标准单位数</w:t>
            </w: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未按要求开展终止中期以上妊娠手术进行查验登记单位数</w:t>
            </w: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未按要求开展人类辅助生殖技术查验身份证、结婚证单位数</w:t>
            </w: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开展相关技术服务未按要求遵守知情同意原则单位数</w:t>
            </w: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出具医学证明文件和诊断报告不符合相关规定单位数</w:t>
            </w:r>
          </w:p>
        </w:tc>
        <w:tc>
          <w:tcPr>
            <w:tcW w:w="66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病历、记录、档案等文书不符合相关规定单位数</w:t>
            </w: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未按要求设置禁止“两非”警示标志单位数</w:t>
            </w:r>
          </w:p>
        </w:tc>
        <w:tc>
          <w:tcPr>
            <w:tcW w:w="67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违法发布母婴保健与计划生育技术服务广告单位数</w:t>
            </w:r>
          </w:p>
        </w:tc>
        <w:tc>
          <w:tcPr>
            <w:tcW w:w="73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开展产前诊断、人类辅助生殖技术等服务是否符合相关要求；</w:t>
            </w: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未建立禁止胎儿性别鉴定管理制度单位数</w:t>
            </w: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未建立终止中期以上妊娠查验登记制度单位数</w:t>
            </w: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未建立健全技术档案管理、转诊、追踪观察制度单位数</w:t>
            </w:r>
          </w:p>
        </w:tc>
        <w:tc>
          <w:tcPr>
            <w:tcW w:w="795"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未建立孕产妇死亡、婴儿死亡以及新生儿初生缺陷报告制度单位数</w:t>
            </w:r>
          </w:p>
        </w:tc>
        <w:tc>
          <w:tcPr>
            <w:tcW w:w="600" w:type="dxa"/>
            <w:vAlign w:val="center"/>
          </w:tcPr>
          <w:p>
            <w:pPr>
              <w:spacing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未建立出生医学证明管理制度单位数</w:t>
            </w: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不具有保证技术服务安全和服务质量的其他管理制度单位数</w:t>
            </w:r>
          </w:p>
        </w:tc>
        <w:tc>
          <w:tcPr>
            <w:tcW w:w="375" w:type="dxa"/>
            <w:vAlign w:val="center"/>
          </w:tcPr>
          <w:p>
            <w:pPr>
              <w:spacing w:before="100" w:after="100" w:line="170" w:lineRule="exact"/>
              <w:jc w:val="center"/>
              <w:rPr>
                <w:rFonts w:ascii="仿宋_GB2312" w:eastAsia="仿宋_GB2312"/>
                <w:color w:val="0C0C0C" w:themeColor="text1" w:themeTint="F2"/>
                <w:sz w:val="18"/>
                <w:szCs w:val="18"/>
              </w:rPr>
            </w:pPr>
          </w:p>
        </w:tc>
        <w:tc>
          <w:tcPr>
            <w:tcW w:w="450" w:type="dxa"/>
            <w:vAlign w:val="center"/>
          </w:tcPr>
          <w:p>
            <w:pPr>
              <w:spacing w:before="100" w:after="100" w:line="170" w:lineRule="exact"/>
              <w:jc w:val="center"/>
              <w:rPr>
                <w:rFonts w:ascii="仿宋_GB2312" w:eastAsia="仿宋_GB2312"/>
                <w:color w:val="0C0C0C" w:themeColor="text1" w:themeTint="F2"/>
                <w:sz w:val="18"/>
                <w:szCs w:val="18"/>
              </w:rPr>
            </w:pPr>
          </w:p>
        </w:tc>
        <w:tc>
          <w:tcPr>
            <w:tcW w:w="585" w:type="dxa"/>
            <w:vAlign w:val="center"/>
          </w:tcPr>
          <w:p>
            <w:pPr>
              <w:spacing w:before="100" w:after="100" w:line="170" w:lineRule="exact"/>
              <w:jc w:val="center"/>
              <w:rPr>
                <w:rFonts w:ascii="仿宋_GB2312" w:eastAsia="仿宋_GB2312"/>
                <w:color w:val="0C0C0C" w:themeColor="text1" w:themeTint="F2"/>
                <w:sz w:val="18"/>
                <w:szCs w:val="18"/>
              </w:rPr>
            </w:pPr>
          </w:p>
        </w:tc>
        <w:tc>
          <w:tcPr>
            <w:tcW w:w="647" w:type="dxa"/>
            <w:vAlign w:val="center"/>
          </w:tcPr>
          <w:p>
            <w:pPr>
              <w:spacing w:before="100" w:after="100" w:line="170" w:lineRule="exact"/>
              <w:jc w:val="center"/>
              <w:rPr>
                <w:rFonts w:ascii="仿宋_GB2312" w:eastAsia="仿宋_GB2312"/>
                <w:color w:val="0C0C0C" w:themeColor="text1" w:themeTint="F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44" w:type="dxa"/>
            <w:vAlign w:val="center"/>
          </w:tcPr>
          <w:p>
            <w:pPr>
              <w:spacing w:before="100" w:after="100" w:line="170" w:lineRule="exact"/>
              <w:jc w:val="center"/>
              <w:rPr>
                <w:rFonts w:hint="eastAsia" w:ascii="仿宋_GB2312" w:eastAsia="仿宋_GB2312"/>
                <w:color w:val="0C0C0C" w:themeColor="text1" w:themeTint="F2"/>
                <w:sz w:val="18"/>
                <w:szCs w:val="18"/>
              </w:rPr>
            </w:pPr>
            <w:r>
              <w:rPr>
                <w:rFonts w:hint="eastAsia" w:ascii="仿宋_GB2312" w:eastAsia="仿宋_GB2312"/>
                <w:color w:val="0C0C0C" w:themeColor="text1" w:themeTint="F2"/>
                <w:sz w:val="18"/>
                <w:szCs w:val="18"/>
              </w:rPr>
              <w:t>妇幼</w:t>
            </w:r>
          </w:p>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保健院</w:t>
            </w:r>
          </w:p>
        </w:tc>
        <w:tc>
          <w:tcPr>
            <w:tcW w:w="327" w:type="dxa"/>
            <w:vAlign w:val="center"/>
          </w:tcPr>
          <w:p>
            <w:pPr>
              <w:spacing w:before="100" w:after="100" w:line="170" w:lineRule="exact"/>
              <w:jc w:val="center"/>
              <w:rPr>
                <w:rFonts w:ascii="仿宋_GB2312" w:eastAsia="仿宋_GB2312"/>
                <w:color w:val="0C0C0C" w:themeColor="text1" w:themeTint="F2"/>
                <w:sz w:val="18"/>
                <w:szCs w:val="18"/>
              </w:rPr>
            </w:pPr>
          </w:p>
        </w:tc>
        <w:tc>
          <w:tcPr>
            <w:tcW w:w="2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75" w:type="dxa"/>
            <w:vAlign w:val="center"/>
          </w:tcPr>
          <w:p>
            <w:pPr>
              <w:spacing w:before="100" w:after="100" w:line="170" w:lineRule="exact"/>
              <w:jc w:val="center"/>
              <w:rPr>
                <w:rFonts w:ascii="仿宋_GB2312" w:eastAsia="仿宋_GB2312"/>
                <w:color w:val="0C0C0C" w:themeColor="text1" w:themeTint="F2"/>
                <w:sz w:val="18"/>
                <w:szCs w:val="18"/>
              </w:rPr>
            </w:pPr>
          </w:p>
        </w:tc>
        <w:tc>
          <w:tcPr>
            <w:tcW w:w="735"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795"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375" w:type="dxa"/>
            <w:vAlign w:val="center"/>
          </w:tcPr>
          <w:p>
            <w:pPr>
              <w:spacing w:before="100" w:after="100" w:line="170" w:lineRule="exact"/>
              <w:jc w:val="center"/>
              <w:rPr>
                <w:rFonts w:ascii="仿宋_GB2312" w:eastAsia="仿宋_GB2312"/>
                <w:color w:val="0C0C0C" w:themeColor="text1" w:themeTint="F2"/>
                <w:sz w:val="18"/>
                <w:szCs w:val="18"/>
              </w:rPr>
            </w:pPr>
          </w:p>
        </w:tc>
        <w:tc>
          <w:tcPr>
            <w:tcW w:w="450" w:type="dxa"/>
            <w:vAlign w:val="center"/>
          </w:tcPr>
          <w:p>
            <w:pPr>
              <w:spacing w:before="100" w:after="100" w:line="170" w:lineRule="exact"/>
              <w:jc w:val="center"/>
              <w:rPr>
                <w:rFonts w:ascii="仿宋_GB2312" w:eastAsia="仿宋_GB2312"/>
                <w:color w:val="0C0C0C" w:themeColor="text1" w:themeTint="F2"/>
                <w:sz w:val="18"/>
                <w:szCs w:val="18"/>
              </w:rPr>
            </w:pPr>
          </w:p>
        </w:tc>
        <w:tc>
          <w:tcPr>
            <w:tcW w:w="585" w:type="dxa"/>
            <w:vAlign w:val="center"/>
          </w:tcPr>
          <w:p>
            <w:pPr>
              <w:spacing w:before="100" w:after="100" w:line="170" w:lineRule="exact"/>
              <w:jc w:val="center"/>
              <w:rPr>
                <w:rFonts w:ascii="仿宋_GB2312" w:eastAsia="仿宋_GB2312"/>
                <w:color w:val="0C0C0C" w:themeColor="text1" w:themeTint="F2"/>
                <w:sz w:val="18"/>
                <w:szCs w:val="18"/>
              </w:rPr>
            </w:pPr>
          </w:p>
        </w:tc>
        <w:tc>
          <w:tcPr>
            <w:tcW w:w="647" w:type="dxa"/>
            <w:vAlign w:val="center"/>
          </w:tcPr>
          <w:p>
            <w:pPr>
              <w:spacing w:before="100" w:after="100" w:line="170" w:lineRule="exact"/>
              <w:jc w:val="center"/>
              <w:rPr>
                <w:rFonts w:ascii="仿宋_GB2312" w:eastAsia="仿宋_GB2312"/>
                <w:color w:val="0C0C0C" w:themeColor="text1" w:themeTint="F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44"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妇幼保健计划生育技术服务机构</w:t>
            </w:r>
          </w:p>
        </w:tc>
        <w:tc>
          <w:tcPr>
            <w:tcW w:w="327" w:type="dxa"/>
            <w:vAlign w:val="center"/>
          </w:tcPr>
          <w:p>
            <w:pPr>
              <w:spacing w:before="100" w:after="100" w:line="170" w:lineRule="exact"/>
              <w:jc w:val="center"/>
              <w:rPr>
                <w:rFonts w:ascii="仿宋_GB2312" w:eastAsia="仿宋_GB2312"/>
                <w:color w:val="0C0C0C" w:themeColor="text1" w:themeTint="F2"/>
                <w:sz w:val="18"/>
                <w:szCs w:val="18"/>
              </w:rPr>
            </w:pPr>
          </w:p>
        </w:tc>
        <w:tc>
          <w:tcPr>
            <w:tcW w:w="2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75" w:type="dxa"/>
            <w:vAlign w:val="center"/>
          </w:tcPr>
          <w:p>
            <w:pPr>
              <w:spacing w:before="100" w:after="100" w:line="170" w:lineRule="exact"/>
              <w:jc w:val="center"/>
              <w:rPr>
                <w:rFonts w:ascii="仿宋_GB2312" w:eastAsia="仿宋_GB2312"/>
                <w:color w:val="0C0C0C" w:themeColor="text1" w:themeTint="F2"/>
                <w:sz w:val="18"/>
                <w:szCs w:val="18"/>
              </w:rPr>
            </w:pPr>
          </w:p>
        </w:tc>
        <w:tc>
          <w:tcPr>
            <w:tcW w:w="735"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795"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375" w:type="dxa"/>
            <w:vAlign w:val="center"/>
          </w:tcPr>
          <w:p>
            <w:pPr>
              <w:spacing w:before="100" w:after="100" w:line="170" w:lineRule="exact"/>
              <w:jc w:val="center"/>
              <w:rPr>
                <w:rFonts w:ascii="仿宋_GB2312" w:eastAsia="仿宋_GB2312"/>
                <w:color w:val="0C0C0C" w:themeColor="text1" w:themeTint="F2"/>
                <w:sz w:val="18"/>
                <w:szCs w:val="18"/>
              </w:rPr>
            </w:pPr>
          </w:p>
        </w:tc>
        <w:tc>
          <w:tcPr>
            <w:tcW w:w="450" w:type="dxa"/>
            <w:vAlign w:val="center"/>
          </w:tcPr>
          <w:p>
            <w:pPr>
              <w:spacing w:before="100" w:after="100" w:line="170" w:lineRule="exact"/>
              <w:jc w:val="center"/>
              <w:rPr>
                <w:rFonts w:ascii="仿宋_GB2312" w:eastAsia="仿宋_GB2312"/>
                <w:color w:val="0C0C0C" w:themeColor="text1" w:themeTint="F2"/>
                <w:sz w:val="18"/>
                <w:szCs w:val="18"/>
              </w:rPr>
            </w:pPr>
          </w:p>
        </w:tc>
        <w:tc>
          <w:tcPr>
            <w:tcW w:w="585" w:type="dxa"/>
            <w:vAlign w:val="center"/>
          </w:tcPr>
          <w:p>
            <w:pPr>
              <w:spacing w:before="100" w:after="100" w:line="170" w:lineRule="exact"/>
              <w:jc w:val="center"/>
              <w:rPr>
                <w:rFonts w:ascii="仿宋_GB2312" w:eastAsia="仿宋_GB2312"/>
                <w:color w:val="0C0C0C" w:themeColor="text1" w:themeTint="F2"/>
                <w:sz w:val="18"/>
                <w:szCs w:val="18"/>
              </w:rPr>
            </w:pPr>
          </w:p>
        </w:tc>
        <w:tc>
          <w:tcPr>
            <w:tcW w:w="647" w:type="dxa"/>
            <w:vAlign w:val="center"/>
          </w:tcPr>
          <w:p>
            <w:pPr>
              <w:spacing w:before="100" w:after="100" w:line="170" w:lineRule="exact"/>
              <w:jc w:val="center"/>
              <w:rPr>
                <w:rFonts w:ascii="仿宋_GB2312" w:eastAsia="仿宋_GB2312"/>
                <w:color w:val="0C0C0C" w:themeColor="text1" w:themeTint="F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44"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其他医疗、保健机构</w:t>
            </w:r>
          </w:p>
        </w:tc>
        <w:tc>
          <w:tcPr>
            <w:tcW w:w="327" w:type="dxa"/>
            <w:vAlign w:val="center"/>
          </w:tcPr>
          <w:p>
            <w:pPr>
              <w:spacing w:before="100" w:after="100" w:line="170" w:lineRule="exact"/>
              <w:jc w:val="center"/>
              <w:rPr>
                <w:rFonts w:ascii="仿宋_GB2312" w:eastAsia="仿宋_GB2312"/>
                <w:color w:val="0C0C0C" w:themeColor="text1" w:themeTint="F2"/>
                <w:sz w:val="18"/>
                <w:szCs w:val="18"/>
              </w:rPr>
            </w:pPr>
          </w:p>
        </w:tc>
        <w:tc>
          <w:tcPr>
            <w:tcW w:w="2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75" w:type="dxa"/>
            <w:vAlign w:val="center"/>
          </w:tcPr>
          <w:p>
            <w:pPr>
              <w:spacing w:before="100" w:after="100" w:line="170" w:lineRule="exact"/>
              <w:jc w:val="center"/>
              <w:rPr>
                <w:rFonts w:ascii="仿宋_GB2312" w:eastAsia="仿宋_GB2312"/>
                <w:color w:val="0C0C0C" w:themeColor="text1" w:themeTint="F2"/>
                <w:sz w:val="18"/>
                <w:szCs w:val="18"/>
              </w:rPr>
            </w:pPr>
          </w:p>
        </w:tc>
        <w:tc>
          <w:tcPr>
            <w:tcW w:w="735"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795"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375" w:type="dxa"/>
            <w:vAlign w:val="center"/>
          </w:tcPr>
          <w:p>
            <w:pPr>
              <w:spacing w:before="100" w:after="100" w:line="170" w:lineRule="exact"/>
              <w:jc w:val="center"/>
              <w:rPr>
                <w:rFonts w:ascii="仿宋_GB2312" w:eastAsia="仿宋_GB2312"/>
                <w:color w:val="0C0C0C" w:themeColor="text1" w:themeTint="F2"/>
                <w:sz w:val="18"/>
                <w:szCs w:val="18"/>
              </w:rPr>
            </w:pPr>
          </w:p>
        </w:tc>
        <w:tc>
          <w:tcPr>
            <w:tcW w:w="450" w:type="dxa"/>
            <w:vAlign w:val="center"/>
          </w:tcPr>
          <w:p>
            <w:pPr>
              <w:spacing w:before="100" w:after="100" w:line="170" w:lineRule="exact"/>
              <w:jc w:val="center"/>
              <w:rPr>
                <w:rFonts w:ascii="仿宋_GB2312" w:eastAsia="仿宋_GB2312"/>
                <w:color w:val="0C0C0C" w:themeColor="text1" w:themeTint="F2"/>
                <w:sz w:val="18"/>
                <w:szCs w:val="18"/>
              </w:rPr>
            </w:pPr>
          </w:p>
        </w:tc>
        <w:tc>
          <w:tcPr>
            <w:tcW w:w="585" w:type="dxa"/>
            <w:vAlign w:val="center"/>
          </w:tcPr>
          <w:p>
            <w:pPr>
              <w:spacing w:before="100" w:after="100" w:line="170" w:lineRule="exact"/>
              <w:jc w:val="center"/>
              <w:rPr>
                <w:rFonts w:ascii="仿宋_GB2312" w:eastAsia="仿宋_GB2312"/>
                <w:color w:val="0C0C0C" w:themeColor="text1" w:themeTint="F2"/>
                <w:sz w:val="18"/>
                <w:szCs w:val="18"/>
              </w:rPr>
            </w:pPr>
          </w:p>
        </w:tc>
        <w:tc>
          <w:tcPr>
            <w:tcW w:w="647" w:type="dxa"/>
            <w:vAlign w:val="center"/>
          </w:tcPr>
          <w:p>
            <w:pPr>
              <w:spacing w:before="100" w:after="100" w:line="170" w:lineRule="exact"/>
              <w:jc w:val="center"/>
              <w:rPr>
                <w:rFonts w:ascii="仿宋_GB2312" w:eastAsia="仿宋_GB2312"/>
                <w:color w:val="0C0C0C" w:themeColor="text1" w:themeTint="F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44" w:type="dxa"/>
            <w:vAlign w:val="center"/>
          </w:tcPr>
          <w:p>
            <w:pPr>
              <w:spacing w:before="100" w:after="100" w:line="170" w:lineRule="exact"/>
              <w:jc w:val="center"/>
              <w:rPr>
                <w:rFonts w:ascii="仿宋_GB2312" w:eastAsia="仿宋_GB2312"/>
                <w:color w:val="0C0C0C" w:themeColor="text1" w:themeTint="F2"/>
                <w:sz w:val="18"/>
                <w:szCs w:val="18"/>
              </w:rPr>
            </w:pPr>
            <w:r>
              <w:rPr>
                <w:rFonts w:hint="eastAsia" w:ascii="仿宋_GB2312" w:eastAsia="仿宋_GB2312"/>
                <w:color w:val="0C0C0C" w:themeColor="text1" w:themeTint="F2"/>
                <w:sz w:val="18"/>
                <w:szCs w:val="18"/>
              </w:rPr>
              <w:t>合计</w:t>
            </w:r>
          </w:p>
        </w:tc>
        <w:tc>
          <w:tcPr>
            <w:tcW w:w="327" w:type="dxa"/>
            <w:vAlign w:val="center"/>
          </w:tcPr>
          <w:p>
            <w:pPr>
              <w:spacing w:before="100" w:after="100" w:line="170" w:lineRule="exact"/>
              <w:jc w:val="center"/>
              <w:rPr>
                <w:rFonts w:ascii="仿宋_GB2312" w:eastAsia="仿宋_GB2312"/>
                <w:color w:val="0C0C0C" w:themeColor="text1" w:themeTint="F2"/>
                <w:sz w:val="18"/>
                <w:szCs w:val="18"/>
              </w:rPr>
            </w:pPr>
          </w:p>
        </w:tc>
        <w:tc>
          <w:tcPr>
            <w:tcW w:w="2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15" w:type="dxa"/>
            <w:vAlign w:val="center"/>
          </w:tcPr>
          <w:p>
            <w:pPr>
              <w:spacing w:before="100" w:after="100" w:line="170" w:lineRule="exact"/>
              <w:jc w:val="center"/>
              <w:rPr>
                <w:rFonts w:ascii="仿宋_GB2312" w:eastAsia="仿宋_GB2312"/>
                <w:color w:val="0C0C0C" w:themeColor="text1" w:themeTint="F2"/>
                <w:sz w:val="18"/>
                <w:szCs w:val="18"/>
              </w:rPr>
            </w:pPr>
          </w:p>
        </w:tc>
        <w:tc>
          <w:tcPr>
            <w:tcW w:w="660"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675" w:type="dxa"/>
            <w:vAlign w:val="center"/>
          </w:tcPr>
          <w:p>
            <w:pPr>
              <w:spacing w:before="100" w:after="100" w:line="170" w:lineRule="exact"/>
              <w:jc w:val="center"/>
              <w:rPr>
                <w:rFonts w:ascii="仿宋_GB2312" w:eastAsia="仿宋_GB2312"/>
                <w:color w:val="0C0C0C" w:themeColor="text1" w:themeTint="F2"/>
                <w:sz w:val="18"/>
                <w:szCs w:val="18"/>
              </w:rPr>
            </w:pPr>
          </w:p>
        </w:tc>
        <w:tc>
          <w:tcPr>
            <w:tcW w:w="735"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30" w:type="dxa"/>
            <w:vAlign w:val="center"/>
          </w:tcPr>
          <w:p>
            <w:pPr>
              <w:spacing w:before="100" w:after="100" w:line="170" w:lineRule="exact"/>
              <w:jc w:val="center"/>
              <w:rPr>
                <w:rFonts w:ascii="仿宋_GB2312" w:eastAsia="仿宋_GB2312"/>
                <w:color w:val="0C0C0C" w:themeColor="text1" w:themeTint="F2"/>
                <w:sz w:val="18"/>
                <w:szCs w:val="18"/>
              </w:rPr>
            </w:pPr>
          </w:p>
        </w:tc>
        <w:tc>
          <w:tcPr>
            <w:tcW w:w="645" w:type="dxa"/>
            <w:vAlign w:val="center"/>
          </w:tcPr>
          <w:p>
            <w:pPr>
              <w:spacing w:before="100" w:after="100" w:line="170" w:lineRule="exact"/>
              <w:jc w:val="center"/>
              <w:rPr>
                <w:rFonts w:ascii="仿宋_GB2312" w:eastAsia="仿宋_GB2312"/>
                <w:color w:val="0C0C0C" w:themeColor="text1" w:themeTint="F2"/>
                <w:sz w:val="18"/>
                <w:szCs w:val="18"/>
              </w:rPr>
            </w:pPr>
          </w:p>
        </w:tc>
        <w:tc>
          <w:tcPr>
            <w:tcW w:w="795" w:type="dxa"/>
            <w:vAlign w:val="center"/>
          </w:tcPr>
          <w:p>
            <w:pPr>
              <w:spacing w:before="100" w:after="100" w:line="170" w:lineRule="exact"/>
              <w:jc w:val="center"/>
              <w:rPr>
                <w:rFonts w:ascii="仿宋_GB2312" w:eastAsia="仿宋_GB2312"/>
                <w:color w:val="0C0C0C" w:themeColor="text1" w:themeTint="F2"/>
                <w:sz w:val="18"/>
                <w:szCs w:val="18"/>
              </w:rPr>
            </w:pPr>
          </w:p>
        </w:tc>
        <w:tc>
          <w:tcPr>
            <w:tcW w:w="600" w:type="dxa"/>
            <w:vAlign w:val="center"/>
          </w:tcPr>
          <w:p>
            <w:pPr>
              <w:spacing w:before="100" w:after="100" w:line="170" w:lineRule="exact"/>
              <w:jc w:val="center"/>
              <w:rPr>
                <w:rFonts w:ascii="仿宋_GB2312" w:eastAsia="仿宋_GB2312"/>
                <w:color w:val="0C0C0C" w:themeColor="text1" w:themeTint="F2"/>
                <w:sz w:val="18"/>
                <w:szCs w:val="18"/>
              </w:rPr>
            </w:pPr>
          </w:p>
        </w:tc>
        <w:tc>
          <w:tcPr>
            <w:tcW w:w="582" w:type="dxa"/>
            <w:vAlign w:val="center"/>
          </w:tcPr>
          <w:p>
            <w:pPr>
              <w:spacing w:before="100" w:after="100" w:line="170" w:lineRule="exact"/>
              <w:jc w:val="center"/>
              <w:rPr>
                <w:rFonts w:ascii="仿宋_GB2312" w:eastAsia="仿宋_GB2312"/>
                <w:color w:val="0C0C0C" w:themeColor="text1" w:themeTint="F2"/>
                <w:sz w:val="18"/>
                <w:szCs w:val="18"/>
              </w:rPr>
            </w:pPr>
          </w:p>
        </w:tc>
        <w:tc>
          <w:tcPr>
            <w:tcW w:w="375" w:type="dxa"/>
            <w:vAlign w:val="center"/>
          </w:tcPr>
          <w:p>
            <w:pPr>
              <w:spacing w:before="100" w:after="100" w:line="170" w:lineRule="exact"/>
              <w:jc w:val="center"/>
              <w:rPr>
                <w:rFonts w:ascii="仿宋_GB2312" w:eastAsia="仿宋_GB2312"/>
                <w:color w:val="0C0C0C" w:themeColor="text1" w:themeTint="F2"/>
                <w:sz w:val="18"/>
                <w:szCs w:val="18"/>
              </w:rPr>
            </w:pPr>
          </w:p>
        </w:tc>
        <w:tc>
          <w:tcPr>
            <w:tcW w:w="450" w:type="dxa"/>
            <w:vAlign w:val="center"/>
          </w:tcPr>
          <w:p>
            <w:pPr>
              <w:spacing w:before="100" w:after="100" w:line="170" w:lineRule="exact"/>
              <w:jc w:val="center"/>
              <w:rPr>
                <w:rFonts w:ascii="仿宋_GB2312" w:eastAsia="仿宋_GB2312"/>
                <w:color w:val="0C0C0C" w:themeColor="text1" w:themeTint="F2"/>
                <w:sz w:val="18"/>
                <w:szCs w:val="18"/>
              </w:rPr>
            </w:pPr>
          </w:p>
        </w:tc>
        <w:tc>
          <w:tcPr>
            <w:tcW w:w="585" w:type="dxa"/>
            <w:vAlign w:val="center"/>
          </w:tcPr>
          <w:p>
            <w:pPr>
              <w:spacing w:before="100" w:after="100" w:line="170" w:lineRule="exact"/>
              <w:jc w:val="center"/>
              <w:rPr>
                <w:rFonts w:ascii="仿宋_GB2312" w:eastAsia="仿宋_GB2312"/>
                <w:color w:val="0C0C0C" w:themeColor="text1" w:themeTint="F2"/>
                <w:sz w:val="18"/>
                <w:szCs w:val="18"/>
              </w:rPr>
            </w:pPr>
          </w:p>
        </w:tc>
        <w:tc>
          <w:tcPr>
            <w:tcW w:w="647" w:type="dxa"/>
            <w:vAlign w:val="center"/>
          </w:tcPr>
          <w:p>
            <w:pPr>
              <w:spacing w:before="100" w:after="100" w:line="170" w:lineRule="exact"/>
              <w:jc w:val="center"/>
              <w:rPr>
                <w:rFonts w:ascii="仿宋_GB2312" w:eastAsia="仿宋_GB2312"/>
                <w:color w:val="0C0C0C" w:themeColor="text1" w:themeTint="F2"/>
                <w:sz w:val="18"/>
                <w:szCs w:val="18"/>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C0C0C" w:themeColor="text1" w:themeTint="F2"/>
          <w:sz w:val="44"/>
          <w:szCs w:val="44"/>
        </w:rPr>
        <w:sectPr>
          <w:pgSz w:w="16838" w:h="11906" w:orient="landscape"/>
          <w:pgMar w:top="1701" w:right="1418" w:bottom="1417" w:left="1418" w:header="851" w:footer="992" w:gutter="0"/>
          <w:pgNumType w:fmt="decimal"/>
          <w:cols w:space="0" w:num="1"/>
          <w:rtlGutter w:val="0"/>
          <w:docGrid w:type="lines" w:linePitch="312" w:charSpace="0"/>
        </w:sectPr>
      </w:pPr>
      <w:r>
        <w:rPr>
          <w:rFonts w:hint="eastAsia" w:ascii="方正小标宋简体" w:hAnsi="方正小标宋简体" w:eastAsia="方正小标宋简体" w:cs="方正小标宋简体"/>
          <w:b w:val="0"/>
          <w:bCs w:val="0"/>
          <w:color w:val="0C0C0C" w:themeColor="text1" w:themeTint="F2"/>
          <w:sz w:val="44"/>
          <w:szCs w:val="44"/>
        </w:rPr>
        <w:t>2020年母婴保健、计划生育技术服务机构国家随机监督抽查汇总表</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附件2</w:t>
      </w:r>
    </w:p>
    <w:p>
      <w:pPr>
        <w:keepNext w:val="0"/>
        <w:keepLines w:val="0"/>
        <w:pageBreakBefore w:val="0"/>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color w:val="0C0C0C" w:themeColor="text1" w:themeTint="F2"/>
          <w:sz w:val="32"/>
          <w:szCs w:val="32"/>
        </w:rPr>
      </w:pPr>
    </w:p>
    <w:p>
      <w:pPr>
        <w:keepNext w:val="0"/>
        <w:keepLines w:val="0"/>
        <w:pageBreakBefore w:val="0"/>
        <w:kinsoku/>
        <w:wordWrap/>
        <w:overflowPunct/>
        <w:topLinePunct w:val="0"/>
        <w:autoSpaceDE/>
        <w:autoSpaceDN/>
        <w:bidi w:val="0"/>
        <w:adjustRightInd w:val="0"/>
        <w:snapToGrid w:val="0"/>
        <w:spacing w:line="520" w:lineRule="exact"/>
        <w:jc w:val="center"/>
        <w:textAlignment w:val="auto"/>
        <w:outlineLvl w:val="9"/>
        <w:rPr>
          <w:rFonts w:hint="eastAsia" w:ascii="方正小标宋简体" w:hAnsi="方正小标宋简体" w:eastAsia="方正小标宋简体" w:cs="方正小标宋简体"/>
          <w:color w:val="0C0C0C" w:themeColor="text1" w:themeTint="F2"/>
          <w:sz w:val="44"/>
          <w:szCs w:val="44"/>
        </w:rPr>
      </w:pPr>
      <w:r>
        <w:rPr>
          <w:rFonts w:hint="eastAsia" w:ascii="方正小标宋简体" w:hAnsi="方正小标宋简体" w:eastAsia="方正小标宋简体" w:cs="方正小标宋简体"/>
          <w:color w:val="0C0C0C" w:themeColor="text1" w:themeTint="F2"/>
          <w:sz w:val="44"/>
          <w:szCs w:val="44"/>
        </w:rPr>
        <w:t>2020年广西随机监督抽查计划</w:t>
      </w:r>
    </w:p>
    <w:p>
      <w:pPr>
        <w:keepNext w:val="0"/>
        <w:keepLines w:val="0"/>
        <w:pageBreakBefore w:val="0"/>
        <w:kinsoku/>
        <w:wordWrap/>
        <w:overflowPunct/>
        <w:topLinePunct w:val="0"/>
        <w:autoSpaceDE/>
        <w:autoSpaceDN/>
        <w:bidi w:val="0"/>
        <w:adjustRightInd w:val="0"/>
        <w:snapToGrid w:val="0"/>
        <w:spacing w:line="520" w:lineRule="exact"/>
        <w:jc w:val="center"/>
        <w:textAlignment w:val="auto"/>
        <w:outlineLvl w:val="9"/>
        <w:rPr>
          <w:rFonts w:hint="eastAsia" w:ascii="方正小标宋简体" w:hAnsi="方正小标宋简体" w:eastAsia="方正小标宋简体" w:cs="方正小标宋简体"/>
          <w:color w:val="0C0C0C" w:themeColor="text1" w:themeTint="F2"/>
          <w:sz w:val="44"/>
          <w:szCs w:val="44"/>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黑体" w:eastAsia="黑体"/>
          <w:color w:val="0C0C0C" w:themeColor="text1" w:themeTint="F2"/>
          <w:spacing w:val="-6"/>
          <w:sz w:val="32"/>
          <w:szCs w:val="32"/>
        </w:rPr>
      </w:pPr>
      <w:r>
        <w:rPr>
          <w:rFonts w:hint="eastAsia" w:ascii="黑体" w:eastAsia="黑体" w:cs="黑体"/>
          <w:color w:val="0C0C0C" w:themeColor="text1" w:themeTint="F2"/>
          <w:sz w:val="32"/>
          <w:szCs w:val="32"/>
        </w:rPr>
        <w:t>一、</w:t>
      </w:r>
      <w:r>
        <w:rPr>
          <w:rFonts w:hint="eastAsia" w:ascii="黑体" w:eastAsia="黑体" w:cs="黑体"/>
          <w:color w:val="0C0C0C" w:themeColor="text1" w:themeTint="F2"/>
          <w:spacing w:val="-6"/>
          <w:sz w:val="32"/>
          <w:szCs w:val="32"/>
        </w:rPr>
        <w:t>人类辅助生殖技术服务机构、人类精子库随机监督抽查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lang w:eastAsia="zh-CN"/>
        </w:rPr>
        <w:t>（</w:t>
      </w:r>
      <w:r>
        <w:rPr>
          <w:rFonts w:hint="eastAsia" w:ascii="楷体_GB2312" w:hAnsi="楷体_GB2312" w:eastAsia="楷体_GB2312" w:cs="楷体_GB2312"/>
          <w:color w:val="0C0C0C" w:themeColor="text1" w:themeTint="F2"/>
          <w:sz w:val="32"/>
          <w:szCs w:val="32"/>
        </w:rPr>
        <w:t>一</w:t>
      </w:r>
      <w:r>
        <w:rPr>
          <w:rFonts w:hint="eastAsia" w:ascii="楷体_GB2312" w:hAnsi="楷体_GB2312" w:eastAsia="楷体_GB2312" w:cs="楷体_GB2312"/>
          <w:color w:val="0C0C0C" w:themeColor="text1" w:themeTint="F2"/>
          <w:sz w:val="32"/>
          <w:szCs w:val="32"/>
          <w:lang w:eastAsia="zh-CN"/>
        </w:rPr>
        <w:t>）</w:t>
      </w:r>
      <w:r>
        <w:rPr>
          <w:rFonts w:hint="eastAsia" w:ascii="楷体_GB2312" w:hAnsi="楷体_GB2312" w:eastAsia="楷体_GB2312" w:cs="楷体_GB2312"/>
          <w:color w:val="0C0C0C" w:themeColor="text1" w:themeTint="F2"/>
          <w:sz w:val="32"/>
          <w:szCs w:val="32"/>
        </w:rPr>
        <w:t>抽查对象。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全区开展人类辅助生殖技术服务和设置人类精子库的机构（国家双随机已抽查机构除外）</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w:t>
      </w:r>
      <w:r>
        <w:rPr>
          <w:rFonts w:hint="eastAsia" w:ascii="楷体_GB2312" w:hAnsi="楷体_GB2312" w:eastAsia="楷体_GB2312" w:cs="楷体_GB2312"/>
          <w:color w:val="0C0C0C" w:themeColor="text1" w:themeTint="F2"/>
          <w:sz w:val="32"/>
          <w:szCs w:val="32"/>
          <w:lang w:eastAsia="zh-CN"/>
        </w:rPr>
        <w:t>二</w:t>
      </w:r>
      <w:r>
        <w:rPr>
          <w:rFonts w:hint="eastAsia" w:ascii="楷体_GB2312" w:hAnsi="楷体_GB2312" w:eastAsia="楷体_GB2312" w:cs="楷体_GB2312"/>
          <w:color w:val="0C0C0C" w:themeColor="text1" w:themeTint="F2"/>
          <w:sz w:val="32"/>
          <w:szCs w:val="32"/>
        </w:rPr>
        <w:t>）监督检查内容。</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outlineLvl w:val="9"/>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检查开展人类辅助生殖技术等服务和设置人类精子库的机构执业资质情况；机构和人员法律法规执行情况；机构制度建立情况等。</w:t>
      </w:r>
      <w:r>
        <w:rPr>
          <w:rFonts w:hint="eastAsia" w:ascii="仿宋_GB2312" w:eastAsia="仿宋_GB2312"/>
          <w:color w:val="0C0C0C" w:themeColor="text1" w:themeTint="F2"/>
          <w:sz w:val="32"/>
          <w:szCs w:val="32"/>
        </w:rPr>
        <w:t>各地要对发现的相关问题、线索及时进行通报、协查，贯彻落实《医疗纠纷预防与处理条例》、《医疗质量管理办法》等法律法规，加大对违法行为依法查处力度，认真落实医疗机构不良行为记分制度。</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w:t>
      </w:r>
      <w:r>
        <w:rPr>
          <w:rFonts w:hint="eastAsia" w:ascii="楷体_GB2312" w:hAnsi="楷体_GB2312" w:eastAsia="楷体_GB2312" w:cs="楷体_GB2312"/>
          <w:color w:val="0C0C0C" w:themeColor="text1" w:themeTint="F2"/>
          <w:sz w:val="32"/>
          <w:szCs w:val="32"/>
          <w:lang w:eastAsia="zh-CN"/>
        </w:rPr>
        <w:t>三</w:t>
      </w:r>
      <w:r>
        <w:rPr>
          <w:rFonts w:hint="eastAsia" w:ascii="楷体_GB2312" w:hAnsi="楷体_GB2312" w:eastAsia="楷体_GB2312" w:cs="楷体_GB2312"/>
          <w:color w:val="0C0C0C" w:themeColor="text1" w:themeTint="F2"/>
          <w:sz w:val="32"/>
          <w:szCs w:val="32"/>
        </w:rPr>
        <w:t>）结果报送要求。</w:t>
      </w:r>
    </w:p>
    <w:p>
      <w:pPr>
        <w:keepNext w:val="0"/>
        <w:keepLines w:val="0"/>
        <w:pageBreakBefore w:val="0"/>
        <w:kinsoku/>
        <w:wordWrap/>
        <w:overflowPunct/>
        <w:topLinePunct w:val="0"/>
        <w:autoSpaceDE/>
        <w:autoSpaceDN/>
        <w:bidi w:val="0"/>
        <w:adjustRightInd w:val="0"/>
        <w:snapToGrid w:val="0"/>
        <w:spacing w:line="520" w:lineRule="exact"/>
        <w:textAlignment w:val="auto"/>
        <w:outlineLvl w:val="9"/>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各地要统筹兼顾国家双随机任务，及时完成广西双随机监督抽查任务，请于</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w:t>
      </w:r>
      <w:r>
        <w:rPr>
          <w:rFonts w:hint="eastAsia" w:ascii="仿宋_GB2312" w:eastAsia="仿宋_GB2312" w:cs="??_GB2312"/>
          <w:color w:val="0C0C0C" w:themeColor="text1" w:themeTint="F2"/>
          <w:sz w:val="32"/>
          <w:szCs w:val="32"/>
        </w:rPr>
        <w:t>11</w:t>
      </w:r>
      <w:r>
        <w:rPr>
          <w:rFonts w:hint="eastAsia" w:ascii="仿宋_GB2312" w:eastAsia="仿宋_GB2312"/>
          <w:color w:val="0C0C0C" w:themeColor="text1" w:themeTint="F2"/>
          <w:sz w:val="32"/>
          <w:szCs w:val="32"/>
        </w:rPr>
        <w:t>月</w:t>
      </w:r>
      <w:r>
        <w:rPr>
          <w:rFonts w:hint="eastAsia" w:ascii="仿宋_GB2312" w:eastAsia="仿宋_GB2312" w:cs="??_GB2312"/>
          <w:color w:val="0C0C0C" w:themeColor="text1" w:themeTint="F2"/>
          <w:sz w:val="32"/>
          <w:szCs w:val="32"/>
        </w:rPr>
        <w:t>30</w:t>
      </w:r>
      <w:r>
        <w:rPr>
          <w:rFonts w:hint="eastAsia" w:ascii="仿宋_GB2312" w:eastAsia="仿宋_GB2312"/>
          <w:color w:val="0C0C0C" w:themeColor="text1" w:themeTint="F2"/>
          <w:sz w:val="32"/>
          <w:szCs w:val="32"/>
        </w:rPr>
        <w:t>日前完成本辖区开展人类辅助生殖技术服务和设置人类精子库的机构抽查工作，并通过</w:t>
      </w:r>
      <w:r>
        <w:rPr>
          <w:rFonts w:hint="eastAsia" w:ascii="仿宋_GB2312" w:eastAsia="仿宋_GB2312" w:cs="仿宋"/>
          <w:color w:val="0C0C0C" w:themeColor="text1" w:themeTint="F2"/>
          <w:sz w:val="32"/>
          <w:szCs w:val="32"/>
        </w:rPr>
        <w:t>广西卫生监督执法管理平台报送抽查结果，</w:t>
      </w:r>
      <w:r>
        <w:rPr>
          <w:rFonts w:hint="eastAsia" w:ascii="仿宋_GB2312" w:eastAsia="仿宋_GB2312"/>
          <w:color w:val="0C0C0C" w:themeColor="text1" w:themeTint="F2"/>
          <w:sz w:val="32"/>
          <w:szCs w:val="32"/>
        </w:rPr>
        <w:t>汇总数据以信息报告系统填报数据为准。</w:t>
      </w:r>
      <w:r>
        <w:rPr>
          <w:rFonts w:hint="eastAsia" w:ascii="仿宋_GB2312" w:eastAsia="仿宋_GB2312" w:cs="??_GB2312"/>
          <w:color w:val="0C0C0C" w:themeColor="text1" w:themeTint="F2"/>
          <w:sz w:val="32"/>
          <w:szCs w:val="32"/>
        </w:rPr>
        <w:t xml:space="preserve"> </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联</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系</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人：自治区卫生监督所计划生育监督科  赵忠标</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联系电话：</w:t>
      </w:r>
      <w:r>
        <w:rPr>
          <w:rFonts w:hint="eastAsia" w:ascii="仿宋_GB2312" w:eastAsia="仿宋_GB2312" w:cs="??_GB2312"/>
          <w:color w:val="0C0C0C" w:themeColor="text1" w:themeTint="F2"/>
          <w:sz w:val="32"/>
          <w:szCs w:val="32"/>
        </w:rPr>
        <w:t>0771-5311200</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color w:val="0C0C0C" w:themeColor="text1" w:themeTint="F2"/>
          <w:sz w:val="32"/>
          <w:szCs w:val="32"/>
        </w:rPr>
      </w:pPr>
      <w:r>
        <w:rPr>
          <w:rFonts w:hint="eastAsia" w:ascii="仿宋_GB2312" w:eastAsia="仿宋_GB2312"/>
          <w:color w:val="0C0C0C" w:themeColor="text1" w:themeTint="F2"/>
          <w:sz w:val="32"/>
          <w:szCs w:val="32"/>
        </w:rPr>
        <w:t>邮</w:t>
      </w:r>
      <w:r>
        <w:rPr>
          <w:rFonts w:hint="eastAsia" w:ascii="仿宋_GB2312" w:eastAsia="仿宋_GB2312" w:cs="??_GB2312"/>
          <w:color w:val="0C0C0C" w:themeColor="text1" w:themeTint="F2"/>
          <w:sz w:val="32"/>
          <w:szCs w:val="32"/>
        </w:rPr>
        <w:t xml:space="preserve">    </w:t>
      </w:r>
      <w:r>
        <w:rPr>
          <w:rFonts w:hint="eastAsia" w:ascii="仿宋_GB2312" w:eastAsia="仿宋_GB2312"/>
          <w:color w:val="0C0C0C" w:themeColor="text1" w:themeTint="F2"/>
          <w:sz w:val="32"/>
          <w:szCs w:val="32"/>
        </w:rPr>
        <w:t>箱：</w:t>
      </w:r>
      <w:r>
        <w:rPr>
          <w:rFonts w:hint="default" w:ascii="Times New Roman" w:hAnsi="Times New Roman" w:eastAsia="仿宋_GB2312" w:cs="Times New Roman"/>
          <w:color w:val="0C0C0C" w:themeColor="text1" w:themeTint="F2"/>
          <w:sz w:val="32"/>
          <w:szCs w:val="32"/>
        </w:rPr>
        <w:t>gxwsjdsjsk@163.com</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color w:val="0C0C0C" w:themeColor="text1" w:themeTint="F2"/>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rPr>
        <w:t>附表：</w:t>
      </w:r>
      <w:r>
        <w:rPr>
          <w:rFonts w:hint="eastAsia" w:ascii="仿宋_GB2312" w:eastAsia="仿宋_GB2312" w:cs="??_GB2312"/>
          <w:color w:val="0C0C0C" w:themeColor="text1" w:themeTint="F2"/>
          <w:sz w:val="32"/>
          <w:szCs w:val="32"/>
        </w:rPr>
        <w:t>2020</w:t>
      </w:r>
      <w:r>
        <w:rPr>
          <w:rFonts w:hint="eastAsia" w:ascii="仿宋_GB2312" w:eastAsia="仿宋_GB2312"/>
          <w:color w:val="0C0C0C" w:themeColor="text1" w:themeTint="F2"/>
          <w:sz w:val="32"/>
          <w:szCs w:val="32"/>
        </w:rPr>
        <w:t>年人类辅助技术检查表</w:t>
      </w: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仿宋_GB2312" w:eastAsia="仿宋_GB2312"/>
          <w:color w:val="0C0C0C" w:themeColor="text1" w:themeTint="F2"/>
          <w:sz w:val="32"/>
          <w:szCs w:val="32"/>
        </w:rPr>
        <w:sectPr>
          <w:footerReference r:id="rId7" w:type="default"/>
          <w:pgSz w:w="11906" w:h="16838"/>
          <w:pgMar w:top="1701" w:right="1418" w:bottom="1418" w:left="1701" w:header="851" w:footer="992" w:gutter="0"/>
          <w:pgNumType w:fmt="decimal"/>
          <w:cols w:space="720" w:num="1"/>
          <w:docGrid w:type="lines" w:linePitch="312" w:charSpace="0"/>
        </w:sectPr>
      </w:pPr>
    </w:p>
    <w:p>
      <w:pPr>
        <w:spacing w:line="322" w:lineRule="auto"/>
        <w:jc w:val="center"/>
        <w:rPr>
          <w:rFonts w:hint="eastAsia" w:ascii="方正小标宋简体" w:hAnsi="方正小标宋简体" w:eastAsia="方正小标宋简体" w:cs="方正小标宋简体"/>
          <w:b w:val="0"/>
          <w:bCs w:val="0"/>
          <w:color w:val="0C0C0C" w:themeColor="text1" w:themeTint="F2"/>
          <w:sz w:val="44"/>
          <w:szCs w:val="44"/>
        </w:rPr>
      </w:pPr>
      <w:r>
        <w:rPr>
          <w:rFonts w:hint="eastAsia" w:ascii="方正小标宋简体" w:hAnsi="方正小标宋简体" w:eastAsia="方正小标宋简体" w:cs="方正小标宋简体"/>
          <w:b w:val="0"/>
          <w:bCs w:val="0"/>
          <w:color w:val="0C0C0C" w:themeColor="text1" w:themeTint="F2"/>
          <w:sz w:val="44"/>
          <w:szCs w:val="44"/>
        </w:rPr>
        <w:t>2020年人类辅助生殖技术检查表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cs="仿宋"/>
          <w:color w:val="0C0C0C" w:themeColor="text1" w:themeTint="F2"/>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机构名称（盖章）：                    地址：</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法定代表人/负责人：                  电话号码：</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人类辅助生殖技术科室主要负责人：</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上年度开展人类辅助生殖技术例数：</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outlineLvl w:val="0"/>
        <w:rPr>
          <w:rFonts w:hint="eastAsia" w:ascii="黑体" w:hAnsi="黑体" w:eastAsia="黑体" w:cs="黑体"/>
          <w:b w:val="0"/>
          <w:bCs w:val="0"/>
          <w:color w:val="0C0C0C" w:themeColor="text1" w:themeTint="F2"/>
          <w:sz w:val="24"/>
          <w:szCs w:val="24"/>
        </w:rPr>
      </w:pPr>
      <w:r>
        <w:rPr>
          <w:rFonts w:hint="eastAsia" w:ascii="黑体" w:hAnsi="黑体" w:eastAsia="黑体" w:cs="黑体"/>
          <w:b w:val="0"/>
          <w:bCs w:val="0"/>
          <w:color w:val="0C0C0C" w:themeColor="text1" w:themeTint="F2"/>
          <w:sz w:val="24"/>
          <w:szCs w:val="24"/>
        </w:rPr>
        <w:t>一、技术准入及人员资质</w:t>
      </w:r>
    </w:p>
    <w:p>
      <w:pPr>
        <w:keepNext w:val="0"/>
        <w:keepLines w:val="0"/>
        <w:pageBreakBefore w:val="0"/>
        <w:widowControl w:val="0"/>
        <w:kinsoku/>
        <w:wordWrap/>
        <w:overflowPunct/>
        <w:topLinePunct w:val="0"/>
        <w:autoSpaceDE/>
        <w:autoSpaceDN/>
        <w:bidi w:val="0"/>
        <w:adjustRightInd/>
        <w:snapToGrid/>
        <w:spacing w:line="340" w:lineRule="exact"/>
        <w:ind w:left="7200" w:right="0" w:hanging="7200" w:hangingChars="3000"/>
        <w:jc w:val="left"/>
        <w:textAlignment w:val="auto"/>
        <w:rPr>
          <w:rFonts w:hint="eastAsia"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1.医疗机构是否持有有效的《医疗机构执业许可证》和《人类辅助生殖技术批准证书》。</w:t>
      </w:r>
    </w:p>
    <w:p>
      <w:pPr>
        <w:keepNext w:val="0"/>
        <w:keepLines w:val="0"/>
        <w:pageBreakBefore w:val="0"/>
        <w:widowControl w:val="0"/>
        <w:kinsoku/>
        <w:wordWrap/>
        <w:overflowPunct/>
        <w:topLinePunct w:val="0"/>
        <w:autoSpaceDE/>
        <w:autoSpaceDN/>
        <w:bidi w:val="0"/>
        <w:adjustRightInd/>
        <w:snapToGrid/>
        <w:spacing w:line="340" w:lineRule="exact"/>
        <w:ind w:left="7200" w:right="0" w:hanging="7200" w:hangingChars="300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2.目前开展的人类辅助生殖技术（试运行请注明）</w:t>
      </w:r>
    </w:p>
    <w:tbl>
      <w:tblPr>
        <w:tblStyle w:val="7"/>
        <w:tblW w:w="8897" w:type="dxa"/>
        <w:tblInd w:w="2" w:type="dxa"/>
        <w:tblLayout w:type="fixed"/>
        <w:tblCellMar>
          <w:top w:w="0" w:type="dxa"/>
          <w:left w:w="108" w:type="dxa"/>
          <w:bottom w:w="0" w:type="dxa"/>
          <w:right w:w="108" w:type="dxa"/>
        </w:tblCellMar>
      </w:tblPr>
      <w:tblGrid>
        <w:gridCol w:w="3227"/>
        <w:gridCol w:w="906"/>
        <w:gridCol w:w="3772"/>
        <w:gridCol w:w="992"/>
      </w:tblGrid>
      <w:tr>
        <w:tblPrEx>
          <w:tblCellMar>
            <w:top w:w="0" w:type="dxa"/>
            <w:left w:w="108" w:type="dxa"/>
            <w:bottom w:w="0" w:type="dxa"/>
            <w:right w:w="108" w:type="dxa"/>
          </w:tblCellMar>
        </w:tblPrEx>
        <w:tc>
          <w:tcPr>
            <w:tcW w:w="3227"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夫精人工授精技术</w:t>
            </w:r>
          </w:p>
        </w:tc>
        <w:tc>
          <w:tcPr>
            <w:tcW w:w="906"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lang w:eastAsia="zh-CN"/>
              </w:rPr>
            </w:pP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w:t>
            </w:r>
          </w:p>
        </w:tc>
        <w:tc>
          <w:tcPr>
            <w:tcW w:w="3772"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供精人工授精技术</w:t>
            </w:r>
          </w:p>
        </w:tc>
        <w:tc>
          <w:tcPr>
            <w:tcW w:w="992"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lang w:eastAsia="zh-CN"/>
              </w:rPr>
            </w:pP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w:t>
            </w:r>
          </w:p>
        </w:tc>
      </w:tr>
      <w:tr>
        <w:tblPrEx>
          <w:tblCellMar>
            <w:top w:w="0" w:type="dxa"/>
            <w:left w:w="108" w:type="dxa"/>
            <w:bottom w:w="0" w:type="dxa"/>
            <w:right w:w="108" w:type="dxa"/>
          </w:tblCellMar>
        </w:tblPrEx>
        <w:tc>
          <w:tcPr>
            <w:tcW w:w="3227"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体外受精-胚胎移植技术</w:t>
            </w:r>
          </w:p>
        </w:tc>
        <w:tc>
          <w:tcPr>
            <w:tcW w:w="906"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lang w:eastAsia="zh-CN"/>
              </w:rPr>
            </w:pP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w:t>
            </w:r>
          </w:p>
        </w:tc>
        <w:tc>
          <w:tcPr>
            <w:tcW w:w="3772"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卵胞浆内单精子显微注射技术</w:t>
            </w:r>
          </w:p>
        </w:tc>
        <w:tc>
          <w:tcPr>
            <w:tcW w:w="992"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lang w:eastAsia="zh-CN"/>
              </w:rPr>
            </w:pP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w:t>
            </w:r>
          </w:p>
        </w:tc>
      </w:tr>
      <w:tr>
        <w:tblPrEx>
          <w:tblCellMar>
            <w:top w:w="0" w:type="dxa"/>
            <w:left w:w="108" w:type="dxa"/>
            <w:bottom w:w="0" w:type="dxa"/>
            <w:right w:w="108" w:type="dxa"/>
          </w:tblCellMar>
        </w:tblPrEx>
        <w:tc>
          <w:tcPr>
            <w:tcW w:w="3227"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胚胎植入前遗传学诊断技术</w:t>
            </w:r>
          </w:p>
        </w:tc>
        <w:tc>
          <w:tcPr>
            <w:tcW w:w="906"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lang w:eastAsia="zh-CN"/>
              </w:rPr>
            </w:pP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w:t>
            </w:r>
          </w:p>
        </w:tc>
        <w:tc>
          <w:tcPr>
            <w:tcW w:w="3772"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胚胎植入前遗传学筛查诊断技术</w:t>
            </w:r>
          </w:p>
        </w:tc>
        <w:tc>
          <w:tcPr>
            <w:tcW w:w="992" w:type="dxa"/>
          </w:tcPr>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olor w:val="0C0C0C" w:themeColor="text1" w:themeTint="F2"/>
                <w:sz w:val="24"/>
                <w:szCs w:val="24"/>
                <w:lang w:eastAsia="zh-CN"/>
              </w:rPr>
            </w:pP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s="仿宋"/>
          <w:color w:val="0C0C0C" w:themeColor="text1" w:themeTint="F2"/>
          <w:sz w:val="24"/>
          <w:szCs w:val="24"/>
          <w:u w:val="single"/>
        </w:rPr>
      </w:pPr>
      <w:r>
        <w:rPr>
          <w:rFonts w:hint="eastAsia" w:ascii="仿宋_GB2312" w:eastAsia="仿宋_GB2312" w:cs="仿宋"/>
          <w:color w:val="0C0C0C" w:themeColor="text1" w:themeTint="F2"/>
          <w:sz w:val="24"/>
          <w:szCs w:val="24"/>
        </w:rPr>
        <w:t>其他</w:t>
      </w: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u w:val="single"/>
        </w:rPr>
      </w:pPr>
      <w:r>
        <w:rPr>
          <w:rFonts w:hint="eastAsia" w:ascii="仿宋_GB2312" w:eastAsia="仿宋_GB2312" w:cs="仿宋"/>
          <w:color w:val="0C0C0C" w:themeColor="text1" w:themeTint="F2"/>
          <w:sz w:val="24"/>
          <w:szCs w:val="24"/>
        </w:rPr>
        <w:t xml:space="preserve">3.《人类辅助生殖技术批准证书》有效期 </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rPr>
        <w:t>年</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rPr>
        <w:t>月</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rPr>
        <w:t xml:space="preserve">日至 </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rPr>
        <w:t>年</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rPr>
        <w:t>月</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rPr>
        <w:t>日</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4.实际开展人类辅助生殖技术与批准登记的是否一致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超范围开展的项目</w:t>
      </w: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 xml:space="preserve">5、查看机构负责人、医师、检验人员、护士是否具备相应的任职资格。从业人员符合《人类辅助生殖技术规范》的要求，并在原卫生部批准的培训机构进行培训。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（是、否）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6.是否与医联体等非辅助生殖机构合作开展促排卵等人类辅助生殖技术。（是、否）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黑体" w:hAnsi="黑体" w:eastAsia="黑体" w:cs="黑体"/>
          <w:b w:val="0"/>
          <w:bCs w:val="0"/>
          <w:color w:val="0C0C0C" w:themeColor="text1" w:themeTint="F2"/>
          <w:sz w:val="24"/>
          <w:szCs w:val="24"/>
        </w:rPr>
      </w:pPr>
      <w:r>
        <w:rPr>
          <w:rFonts w:hint="eastAsia" w:ascii="黑体" w:hAnsi="黑体" w:eastAsia="黑体" w:cs="黑体"/>
          <w:b w:val="0"/>
          <w:bCs w:val="0"/>
          <w:color w:val="0C0C0C" w:themeColor="text1" w:themeTint="F2"/>
          <w:sz w:val="24"/>
          <w:szCs w:val="24"/>
        </w:rPr>
        <w:t>二、执业行为规范管理</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1.实施各项人类辅助生殖技术前是否与不孕症夫妇签署相关《知情同意书》。（是、否）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2 .是否认真查验存不育夫妇的身份证、结婚证和符合国家人口和计划生育法规和条例规定的生育证明原件，并保留其复印件备案.                       （是、否）</w:t>
      </w:r>
    </w:p>
    <w:p>
      <w:pPr>
        <w:keepNext w:val="0"/>
        <w:keepLines w:val="0"/>
        <w:pageBreakBefore w:val="0"/>
        <w:widowControl w:val="0"/>
        <w:kinsoku/>
        <w:wordWrap/>
        <w:overflowPunct/>
        <w:topLinePunct w:val="0"/>
        <w:autoSpaceDE/>
        <w:autoSpaceDN/>
        <w:bidi w:val="0"/>
        <w:adjustRightInd/>
        <w:snapToGrid/>
        <w:spacing w:line="340" w:lineRule="exact"/>
        <w:ind w:left="7320" w:right="0" w:hanging="7320" w:hangingChars="3050"/>
        <w:jc w:val="left"/>
        <w:textAlignment w:val="auto"/>
        <w:rPr>
          <w:rFonts w:hint="eastAsia"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2.1建档、取精、取卵、胚胎移植前等关键环节是否采用指纹识别系统查验患者身份。</w:t>
      </w:r>
    </w:p>
    <w:p>
      <w:pPr>
        <w:keepNext w:val="0"/>
        <w:keepLines w:val="0"/>
        <w:pageBreakBefore w:val="0"/>
        <w:widowControl w:val="0"/>
        <w:kinsoku/>
        <w:wordWrap/>
        <w:overflowPunct/>
        <w:topLinePunct w:val="0"/>
        <w:autoSpaceDE/>
        <w:autoSpaceDN/>
        <w:bidi w:val="0"/>
        <w:adjustRightInd/>
        <w:snapToGrid/>
        <w:spacing w:line="340" w:lineRule="exact"/>
        <w:ind w:left="7320" w:right="0" w:hanging="7320" w:hangingChars="305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2.2. 是否存在给不符合国家生育政策条件的夫妇实施辅助生殖技术。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3. 应用辅助生殖技术时是否严格掌握适应证和禁忌证。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3.1不明原因不育夫妇实施体外受精-胚胎移植前，是否接受过人工授精治疗。</w:t>
      </w:r>
    </w:p>
    <w:p>
      <w:pPr>
        <w:keepNext w:val="0"/>
        <w:keepLines w:val="0"/>
        <w:pageBreakBefore w:val="0"/>
        <w:widowControl w:val="0"/>
        <w:kinsoku/>
        <w:wordWrap/>
        <w:overflowPunct/>
        <w:topLinePunct w:val="0"/>
        <w:autoSpaceDE/>
        <w:autoSpaceDN/>
        <w:bidi w:val="0"/>
        <w:adjustRightInd/>
        <w:snapToGrid/>
        <w:spacing w:line="340" w:lineRule="exact"/>
        <w:ind w:right="0" w:firstLine="7440" w:firstLineChars="310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4.取精室是否实施门禁管理。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4.1患者进入取精室前是否更衣。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4.2取精室与精液处理室或人工受精实验室之间是否使用传递窗连接。</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5.是否使用具有《人类精子库批准证书》机构提供的精子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   供精机构名称</w:t>
      </w:r>
      <w:r>
        <w:rPr>
          <w:rFonts w:hint="eastAsia" w:ascii="仿宋_GB2312" w:eastAsia="仿宋_GB2312" w:cs="仿宋"/>
          <w:color w:val="0C0C0C" w:themeColor="text1" w:themeTint="F2"/>
          <w:sz w:val="24"/>
          <w:szCs w:val="24"/>
          <w:u w:val="single"/>
        </w:rPr>
        <w:t xml:space="preserve">                                              </w:t>
      </w:r>
      <w:r>
        <w:rPr>
          <w:rFonts w:hint="eastAsia" w:ascii="仿宋_GB2312" w:eastAsia="仿宋_GB2312" w:cs="仿宋"/>
          <w:color w:val="0C0C0C" w:themeColor="text1" w:themeTint="F2"/>
          <w:sz w:val="24"/>
          <w:szCs w:val="24"/>
          <w:u w:val="single"/>
          <w:lang w:eastAsia="zh-CN"/>
        </w:rPr>
        <w:t>　</w:t>
      </w: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5.1是否索取精子检验合格证明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6.实施辅助生殖技术的病历档案管资料是否健全。（是、否）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hint="eastAsia"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6.1涉及供精治疗和赠卵治疗的医疗记录和法律文书应当永久保存是否永久保存。</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outlineLvl w:val="0"/>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7.人类辅助生殖技术分娩的新生儿性别比是否严重失衡。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7.1是否进行原因分析及制定解决方法。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outlineLvl w:val="0"/>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8. 配子、合子和胚胎的处理、转移、保存、使用等关键环节是否由2人以上同时现场核对。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 xml:space="preserve"> （是、否）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8.1有无涉嫌买卖精液、卵子、合子、胚胎以及商业化供卵等行为。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开展相关辅助生殖技术科学研究是否取得相关部门的审批同意。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9.1 是否与第三方合作开展未经临床研究安全性论证的新技术。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9.2是否在患者不知情不同意的情况下，将胚胎转送他人或进行科学研究。（是、否）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10.生殖医学伦理委员会是否对辅助生殖技术开展的全过程和研究活动进行审查和监督 </w:t>
      </w:r>
      <w:r>
        <w:rPr>
          <w:rFonts w:hint="eastAsia" w:ascii="仿宋_GB2312" w:eastAsia="仿宋_GB2312" w:cs="仿宋"/>
          <w:color w:val="0C0C0C" w:themeColor="text1" w:themeTint="F2"/>
          <w:sz w:val="24"/>
          <w:szCs w:val="24"/>
          <w:lang w:eastAsia="zh-CN"/>
        </w:rPr>
        <w:t>。</w:t>
      </w:r>
      <w:r>
        <w:rPr>
          <w:rFonts w:hint="eastAsia" w:ascii="仿宋_GB2312" w:eastAsia="仿宋_GB2312" w:cs="仿宋"/>
          <w:color w:val="0C0C0C" w:themeColor="text1" w:themeTint="F2"/>
          <w:sz w:val="24"/>
          <w:szCs w:val="24"/>
        </w:rPr>
        <w:t xml:space="preserve">                                          </w:t>
      </w:r>
      <w:r>
        <w:rPr>
          <w:rFonts w:hint="eastAsia" w:ascii="仿宋_GB2312" w:eastAsia="仿宋_GB2312" w:cs="仿宋"/>
          <w:color w:val="0C0C0C" w:themeColor="text1" w:themeTint="F2"/>
          <w:sz w:val="24"/>
          <w:szCs w:val="24"/>
          <w:lang w:eastAsia="zh-CN"/>
        </w:rPr>
        <w:t>　　　　　　　　　</w:t>
      </w:r>
      <w:r>
        <w:rPr>
          <w:rFonts w:hint="eastAsia" w:ascii="仿宋_GB2312" w:eastAsia="仿宋_GB2312" w:cs="仿宋"/>
          <w:color w:val="0C0C0C" w:themeColor="text1" w:themeTint="F2"/>
          <w:sz w:val="24"/>
          <w:szCs w:val="24"/>
        </w:rPr>
        <w:t>（是、否）</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outlineLvl w:val="0"/>
        <w:rPr>
          <w:rFonts w:hint="eastAsia" w:ascii="黑体" w:hAnsi="黑体" w:eastAsia="黑体" w:cs="黑体"/>
          <w:b w:val="0"/>
          <w:bCs w:val="0"/>
          <w:color w:val="0C0C0C" w:themeColor="text1" w:themeTint="F2"/>
          <w:sz w:val="24"/>
          <w:szCs w:val="24"/>
        </w:rPr>
      </w:pPr>
      <w:r>
        <w:rPr>
          <w:rFonts w:hint="eastAsia" w:ascii="黑体" w:hAnsi="黑体" w:eastAsia="黑体" w:cs="黑体"/>
          <w:b w:val="0"/>
          <w:bCs w:val="0"/>
          <w:color w:val="0C0C0C" w:themeColor="text1" w:themeTint="F2"/>
          <w:sz w:val="24"/>
          <w:szCs w:val="24"/>
        </w:rPr>
        <w:t>三、备注</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u w:val="single"/>
        </w:rPr>
      </w:pP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u w:val="single"/>
        </w:rPr>
      </w:pP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u w:val="single"/>
        </w:rPr>
      </w:pP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u w:val="single"/>
        </w:rPr>
      </w:pP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u w:val="single"/>
        </w:rPr>
      </w:pPr>
      <w:r>
        <w:rPr>
          <w:rFonts w:hint="eastAsia" w:ascii="仿宋_GB2312" w:eastAsia="仿宋_GB2312" w:cs="仿宋"/>
          <w:color w:val="0C0C0C" w:themeColor="text1" w:themeTint="F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s="仿宋"/>
          <w:b/>
          <w:bCs/>
          <w:color w:val="0C0C0C" w:themeColor="text1" w:themeTint="F2"/>
          <w:sz w:val="24"/>
          <w:szCs w:val="24"/>
        </w:rPr>
      </w:pPr>
      <w:r>
        <w:rPr>
          <w:rFonts w:hint="eastAsia" w:ascii="仿宋_GB2312" w:eastAsia="仿宋_GB2312" w:cs="仿宋"/>
          <w:color w:val="0C0C0C" w:themeColor="text1" w:themeTint="F2"/>
          <w:sz w:val="24"/>
          <w:szCs w:val="24"/>
        </w:rPr>
        <w:t>陪同检查人员：                     检查人员：</w:t>
      </w:r>
      <w:r>
        <w:rPr>
          <w:rFonts w:hint="eastAsia" w:ascii="仿宋_GB2312" w:eastAsia="仿宋_GB2312" w:cs="仿宋"/>
          <w:b/>
          <w:bCs/>
          <w:color w:val="0C0C0C" w:themeColor="text1" w:themeTint="F2"/>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right="0"/>
        <w:jc w:val="left"/>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日期：     年    月    日                日期：     年    月    日</w:t>
      </w:r>
    </w:p>
    <w:p>
      <w:pPr>
        <w:jc w:val="left"/>
        <w:rPr>
          <w:rFonts w:ascii="仿宋_GB2312" w:eastAsia="仿宋_GB2312"/>
          <w:color w:val="0C0C0C" w:themeColor="text1" w:themeTint="F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keepNext w:val="0"/>
        <w:keepLines w:val="0"/>
        <w:pageBreakBefore w:val="0"/>
        <w:kinsoku/>
        <w:wordWrap/>
        <w:overflowPunct/>
        <w:topLinePunct w:val="0"/>
        <w:autoSpaceDE/>
        <w:autoSpaceDN/>
        <w:bidi w:val="0"/>
        <w:spacing w:line="560" w:lineRule="exact"/>
        <w:textAlignment w:val="auto"/>
        <w:outlineLvl w:val="0"/>
        <w:rPr>
          <w:rFonts w:ascii="黑体" w:eastAsia="黑体"/>
          <w:color w:val="0C0C0C" w:themeColor="text1" w:themeTint="F2"/>
          <w:sz w:val="32"/>
          <w:szCs w:val="32"/>
        </w:rPr>
      </w:pPr>
      <w:r>
        <w:rPr>
          <w:rFonts w:hint="eastAsia" w:ascii="黑体" w:eastAsia="黑体" w:cs="黑体"/>
          <w:color w:val="0C0C0C" w:themeColor="text1" w:themeTint="F2"/>
          <w:sz w:val="32"/>
          <w:szCs w:val="32"/>
          <w:lang w:eastAsia="zh-CN"/>
        </w:rPr>
        <w:t>　　</w:t>
      </w:r>
      <w:r>
        <w:rPr>
          <w:rFonts w:hint="eastAsia" w:ascii="黑体" w:eastAsia="黑体" w:cs="黑体"/>
          <w:color w:val="0C0C0C" w:themeColor="text1" w:themeTint="F2"/>
          <w:sz w:val="32"/>
          <w:szCs w:val="32"/>
        </w:rPr>
        <w:t>二、医疗机构预检分诊、感染性疾病科随机监督抽查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（一）监督检查对象。</w:t>
      </w:r>
    </w:p>
    <w:p>
      <w:pPr>
        <w:keepNext w:val="0"/>
        <w:keepLines w:val="0"/>
        <w:pageBreakBefore w:val="0"/>
        <w:kinsoku/>
        <w:wordWrap/>
        <w:overflowPunct/>
        <w:topLinePunct w:val="0"/>
        <w:autoSpaceDE/>
        <w:autoSpaceDN/>
        <w:bidi w:val="0"/>
        <w:spacing w:line="560" w:lineRule="exact"/>
        <w:textAlignment w:val="auto"/>
        <w:rPr>
          <w:rFonts w:ascii="仿宋_GB2312" w:eastAsia="仿宋_GB2312"/>
          <w:color w:val="0C0C0C" w:themeColor="text1" w:themeTint="F2"/>
          <w:spacing w:val="-6"/>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pacing w:val="-6"/>
          <w:sz w:val="32"/>
          <w:szCs w:val="32"/>
        </w:rPr>
        <w:t>辖区内所有二级以上医疗机构（国家双随机已抽查机构除外）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（二）监督检查内容。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二级以上专科医院检查预检分诊点；二级以上综合医院检查预检分诊点、感染性疾病科；</w:t>
      </w:r>
    </w:p>
    <w:p>
      <w:pPr>
        <w:keepNext w:val="0"/>
        <w:keepLines w:val="0"/>
        <w:pageBreakBefore w:val="0"/>
        <w:widowControl/>
        <w:kinsoku/>
        <w:wordWrap/>
        <w:overflowPunct/>
        <w:topLinePunct w:val="0"/>
        <w:autoSpaceDE/>
        <w:autoSpaceDN/>
        <w:bidi w:val="0"/>
        <w:adjustRightInd w:val="0"/>
        <w:snapToGrid w:val="0"/>
        <w:spacing w:line="560" w:lineRule="exact"/>
        <w:ind w:right="105" w:rightChars="50"/>
        <w:jc w:val="left"/>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1.预检分诊：检查预检、分诊工作制度落实情况；检查预检分诊点设置、人员及物品配备情况；检查分诊记录情况；检查环境、物表消毒情况；检查污水、医疗废物处置情况；检查人员防护及体检情况；</w:t>
      </w:r>
    </w:p>
    <w:p>
      <w:pPr>
        <w:keepNext w:val="0"/>
        <w:keepLines w:val="0"/>
        <w:pageBreakBefore w:val="0"/>
        <w:widowControl/>
        <w:kinsoku/>
        <w:wordWrap/>
        <w:overflowPunct/>
        <w:topLinePunct w:val="0"/>
        <w:autoSpaceDE/>
        <w:autoSpaceDN/>
        <w:bidi w:val="0"/>
        <w:adjustRightInd w:val="0"/>
        <w:snapToGrid w:val="0"/>
        <w:spacing w:line="560" w:lineRule="exact"/>
        <w:ind w:right="105" w:rightChars="50"/>
        <w:jc w:val="left"/>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2.感染性疾病科：检查感染性疾病科各项工作制度落实情况；检查科室设置、布局流程情况；检查消毒隔离制度执行情况；检查门诊日志登记、传染病疫情报告情况；检查环境、物表消毒情况；检查污水、医疗废物处置情况；检查人员防护及体检情况；</w:t>
      </w:r>
    </w:p>
    <w:p>
      <w:pPr>
        <w:keepNext w:val="0"/>
        <w:keepLines w:val="0"/>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lang w:eastAsia="zh-CN"/>
        </w:rPr>
        <w:t>　　</w:t>
      </w:r>
      <w:r>
        <w:rPr>
          <w:rFonts w:hint="eastAsia" w:ascii="楷体_GB2312" w:hAnsi="楷体_GB2312" w:eastAsia="楷体_GB2312" w:cs="楷体_GB2312"/>
          <w:color w:val="0C0C0C" w:themeColor="text1" w:themeTint="F2"/>
          <w:sz w:val="32"/>
          <w:szCs w:val="32"/>
        </w:rPr>
        <w:t>（三）工作要求。</w:t>
      </w:r>
    </w:p>
    <w:p>
      <w:pPr>
        <w:keepNext w:val="0"/>
        <w:keepLines w:val="0"/>
        <w:pageBreakBefore w:val="0"/>
        <w:widowControl/>
        <w:kinsoku/>
        <w:wordWrap/>
        <w:overflowPunct/>
        <w:topLinePunct w:val="0"/>
        <w:autoSpaceDE/>
        <w:autoSpaceDN/>
        <w:bidi w:val="0"/>
        <w:adjustRightInd w:val="0"/>
        <w:snapToGrid w:val="0"/>
        <w:spacing w:line="560" w:lineRule="exact"/>
        <w:ind w:right="105" w:rightChars="50"/>
        <w:textAlignment w:val="auto"/>
        <w:outlineLvl w:val="0"/>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1.各地要高度重视二级以上医疗机构预检分诊、感染性疾病科的监督抽检工作，结合实际制订本辖区的工作方案并按计划、分步骤组织实施。检查过程中发现医疗卫生机构存在违法行为，要依法严肃查处，重大案件及时上报查处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2.各地要于2020年11月30日前完成全区二级以上医疗机构预检分诊、感染性疾病科抽查工作，并通过广西卫生监督执法管理平台报送抽查结果，工作信息可随时报送。</w:t>
      </w:r>
    </w:p>
    <w:p>
      <w:pPr>
        <w:keepNext w:val="0"/>
        <w:keepLines w:val="0"/>
        <w:pageBreakBefore w:val="0"/>
        <w:kinsoku/>
        <w:wordWrap/>
        <w:overflowPunct/>
        <w:topLinePunct w:val="0"/>
        <w:autoSpaceDE/>
        <w:autoSpaceDN/>
        <w:bidi w:val="0"/>
        <w:spacing w:line="560" w:lineRule="exact"/>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lang w:eastAsia="zh-CN"/>
        </w:rPr>
        <w:t>　　</w:t>
      </w:r>
      <w:r>
        <w:rPr>
          <w:rFonts w:hint="eastAsia" w:ascii="仿宋_GB2312" w:eastAsia="仿宋_GB2312" w:cs="仿宋"/>
          <w:color w:val="0C0C0C" w:themeColor="text1" w:themeTint="F2"/>
          <w:sz w:val="32"/>
          <w:szCs w:val="32"/>
        </w:rPr>
        <w:t>联 系 人：自治区卫生监督所监督五科  黄志明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联系电话：0771-5311055</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0C0C0C" w:themeColor="text1" w:themeTint="F2"/>
          <w:sz w:val="32"/>
          <w:szCs w:val="32"/>
        </w:rPr>
      </w:pPr>
      <w:r>
        <w:rPr>
          <w:rFonts w:hint="eastAsia" w:ascii="仿宋_GB2312" w:eastAsia="仿宋_GB2312" w:cs="仿宋"/>
          <w:color w:val="0C0C0C" w:themeColor="text1" w:themeTint="F2"/>
          <w:sz w:val="32"/>
          <w:szCs w:val="32"/>
        </w:rPr>
        <w:t>邮    箱：</w:t>
      </w:r>
      <w:r>
        <w:rPr>
          <w:rFonts w:hint="default" w:ascii="Times New Roman" w:hAnsi="Times New Roman" w:eastAsia="仿宋_GB2312" w:cs="Times New Roman"/>
          <w:color w:val="0C0C0C" w:themeColor="text1" w:themeTint="F2"/>
          <w:sz w:val="32"/>
          <w:szCs w:val="32"/>
          <w:u w:val="none"/>
        </w:rPr>
        <w:t>gxjd5k@163.com</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s="仿宋"/>
          <w:color w:val="0C0C0C" w:themeColor="text1" w:themeTint="F2"/>
          <w:sz w:val="32"/>
          <w:szCs w:val="32"/>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olor w:val="0C0C0C" w:themeColor="text1" w:themeTint="F2"/>
          <w:spacing w:val="-11"/>
          <w:sz w:val="32"/>
          <w:szCs w:val="32"/>
        </w:rPr>
      </w:pPr>
      <w:r>
        <w:rPr>
          <w:rFonts w:hint="eastAsia" w:ascii="仿宋_GB2312" w:eastAsia="仿宋_GB2312" w:cs="仿宋"/>
          <w:color w:val="0C0C0C" w:themeColor="text1" w:themeTint="F2"/>
          <w:sz w:val="32"/>
          <w:szCs w:val="32"/>
        </w:rPr>
        <w:t>附表：</w:t>
      </w:r>
      <w:r>
        <w:rPr>
          <w:rFonts w:hint="eastAsia" w:ascii="仿宋_GB2312" w:eastAsia="仿宋_GB2312" w:cs="仿宋"/>
          <w:color w:val="0C0C0C" w:themeColor="text1" w:themeTint="F2"/>
          <w:spacing w:val="-11"/>
          <w:sz w:val="32"/>
          <w:szCs w:val="32"/>
        </w:rPr>
        <w:t>二级以上医疗机构预检分诊、感染性疾病科监督检查表</w:t>
      </w: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pPr>
    </w:p>
    <w:p>
      <w:pPr>
        <w:spacing w:line="560" w:lineRule="exact"/>
        <w:ind w:firstLine="1480"/>
        <w:jc w:val="distribute"/>
        <w:rPr>
          <w:rFonts w:ascii="仿宋_GB2312" w:eastAsia="仿宋_GB2312"/>
          <w:color w:val="0C0C0C" w:themeColor="text1" w:themeTint="F2"/>
          <w:sz w:val="32"/>
          <w:szCs w:val="32"/>
        </w:rPr>
        <w:sectPr>
          <w:pgSz w:w="11906" w:h="16838"/>
          <w:pgMar w:top="1701" w:right="1417" w:bottom="1417" w:left="1701" w:header="851" w:footer="992" w:gutter="0"/>
          <w:pgNumType w:fmt="decimal"/>
          <w:cols w:space="0" w:num="1"/>
          <w:rtlGutter w:val="0"/>
          <w:docGrid w:type="lines" w:linePitch="312" w:charSpace="0"/>
        </w:sectPr>
      </w:pPr>
    </w:p>
    <w:p>
      <w:pPr>
        <w:spacing w:line="560" w:lineRule="exact"/>
        <w:jc w:val="left"/>
        <w:rPr>
          <w:rFonts w:hint="eastAsia" w:ascii="黑体" w:hAnsi="黑体" w:eastAsia="黑体" w:cs="黑体"/>
          <w:color w:val="0C0C0C" w:themeColor="text1" w:themeTint="F2"/>
          <w:sz w:val="32"/>
          <w:szCs w:val="32"/>
        </w:rPr>
      </w:pPr>
      <w:r>
        <w:rPr>
          <w:rFonts w:hint="eastAsia" w:ascii="黑体" w:hAnsi="黑体" w:eastAsia="黑体" w:cs="黑体"/>
          <w:color w:val="0C0C0C" w:themeColor="text1" w:themeTint="F2"/>
          <w:sz w:val="32"/>
          <w:szCs w:val="32"/>
        </w:rPr>
        <w:t>附表</w:t>
      </w:r>
    </w:p>
    <w:p>
      <w:pPr>
        <w:spacing w:line="560" w:lineRule="exact"/>
        <w:jc w:val="center"/>
        <w:rPr>
          <w:rFonts w:hint="eastAsia" w:ascii="方正小标宋简体" w:hAnsi="方正小标宋简体" w:eastAsia="方正小标宋简体" w:cs="方正小标宋简体"/>
          <w:b w:val="0"/>
          <w:bCs/>
          <w:color w:val="0C0C0C" w:themeColor="text1" w:themeTint="F2"/>
          <w:sz w:val="44"/>
          <w:szCs w:val="44"/>
        </w:rPr>
      </w:pPr>
      <w:r>
        <w:rPr>
          <w:rFonts w:hint="eastAsia" w:ascii="方正小标宋简体" w:hAnsi="方正小标宋简体" w:eastAsia="方正小标宋简体" w:cs="方正小标宋简体"/>
          <w:b w:val="0"/>
          <w:bCs/>
          <w:color w:val="0C0C0C" w:themeColor="text1" w:themeTint="F2"/>
          <w:sz w:val="44"/>
          <w:szCs w:val="44"/>
        </w:rPr>
        <w:t>二级以上医疗机构预检分诊、感染性疾病科监督检查表</w:t>
      </w:r>
    </w:p>
    <w:p>
      <w:pPr>
        <w:spacing w:line="560" w:lineRule="exact"/>
        <w:jc w:val="center"/>
        <w:rPr>
          <w:rFonts w:ascii="黑体" w:eastAsia="黑体" w:cs="仿宋"/>
          <w:bCs/>
          <w:color w:val="0C0C0C" w:themeColor="text1" w:themeTint="F2"/>
          <w:sz w:val="32"/>
          <w:szCs w:val="32"/>
        </w:rPr>
      </w:pPr>
    </w:p>
    <w:p>
      <w:pPr>
        <w:spacing w:line="440" w:lineRule="exact"/>
        <w:rPr>
          <w:rFonts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机构名称（盖章）：                    地址：</w:t>
      </w:r>
    </w:p>
    <w:p>
      <w:pPr>
        <w:spacing w:line="440" w:lineRule="exact"/>
        <w:rPr>
          <w:rFonts w:ascii="黑体" w:eastAsia="黑体" w:cs="仿宋"/>
          <w:bCs/>
          <w:color w:val="0C0C0C" w:themeColor="text1" w:themeTint="F2"/>
          <w:sz w:val="32"/>
          <w:szCs w:val="32"/>
        </w:rPr>
      </w:pPr>
      <w:r>
        <w:rPr>
          <w:rFonts w:hint="eastAsia" w:ascii="仿宋_GB2312" w:eastAsia="仿宋_GB2312" w:cs="仿宋"/>
          <w:color w:val="0C0C0C" w:themeColor="text1" w:themeTint="F2"/>
          <w:sz w:val="24"/>
          <w:szCs w:val="24"/>
        </w:rPr>
        <w:t>法定代表人/负责人：                  电话号码：</w:t>
      </w:r>
    </w:p>
    <w:tbl>
      <w:tblPr>
        <w:tblStyle w:val="7"/>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8392"/>
        <w:gridCol w:w="19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trPr>
        <w:tc>
          <w:tcPr>
            <w:tcW w:w="959" w:type="dxa"/>
            <w:vMerge w:val="restart"/>
            <w:vAlign w:val="center"/>
          </w:tcPr>
          <w:p>
            <w:pPr>
              <w:widowControl/>
              <w:ind w:left="105" w:leftChars="50" w:right="105" w:rightChars="50"/>
              <w:jc w:val="center"/>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传染病疫情控制</w:t>
            </w:r>
          </w:p>
        </w:tc>
        <w:tc>
          <w:tcPr>
            <w:tcW w:w="1559" w:type="dxa"/>
            <w:vAlign w:val="center"/>
          </w:tcPr>
          <w:p>
            <w:pPr>
              <w:widowControl/>
              <w:ind w:left="105" w:leftChars="50" w:right="105" w:rightChars="50"/>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项目</w:t>
            </w:r>
          </w:p>
        </w:tc>
        <w:tc>
          <w:tcPr>
            <w:tcW w:w="8392" w:type="dxa"/>
            <w:vAlign w:val="center"/>
          </w:tcPr>
          <w:p>
            <w:pPr>
              <w:widowControl/>
              <w:ind w:left="105" w:leftChars="50" w:right="105" w:rightChars="50"/>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监督检查内容</w:t>
            </w:r>
          </w:p>
        </w:tc>
        <w:tc>
          <w:tcPr>
            <w:tcW w:w="1960" w:type="dxa"/>
            <w:vAlign w:val="center"/>
          </w:tcPr>
          <w:p>
            <w:pPr>
              <w:widowControl/>
              <w:ind w:left="105" w:leftChars="50" w:right="105" w:rightChars="50"/>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评判标准</w:t>
            </w:r>
          </w:p>
        </w:tc>
        <w:tc>
          <w:tcPr>
            <w:tcW w:w="1380" w:type="dxa"/>
            <w:vAlign w:val="center"/>
          </w:tcPr>
          <w:p>
            <w:pPr>
              <w:widowControl/>
              <w:ind w:left="105" w:leftChars="50" w:right="105" w:rightChars="50"/>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restart"/>
            <w:vAlign w:val="center"/>
          </w:tcPr>
          <w:p>
            <w:pPr>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预检分诊</w:t>
            </w: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1.落实预检、分诊工作制度</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是；不规范；否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2.设置传染病分诊点</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是为合格；否☆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3.传染病分诊点设置规范</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是；欠规范；否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4.</w:t>
            </w:r>
            <w:r>
              <w:rPr>
                <w:rFonts w:hint="eastAsia" w:ascii="仿宋_GB2312" w:hAnsi="仿宋_GB2312" w:eastAsia="仿宋_GB2312" w:cs="仿宋_GB2312"/>
                <w:color w:val="0C0C0C" w:themeColor="text1" w:themeTint="F2"/>
                <w:sz w:val="21"/>
                <w:szCs w:val="21"/>
              </w:rPr>
              <w:t xml:space="preserve"> 预检分诊点放置有体温表、口罩、手套和消毒用品等物品，</w:t>
            </w:r>
            <w:r>
              <w:rPr>
                <w:rFonts w:hint="eastAsia" w:ascii="仿宋_GB2312" w:hAnsi="仿宋_GB2312" w:eastAsia="仿宋_GB2312" w:cs="仿宋_GB2312"/>
                <w:color w:val="0C0C0C" w:themeColor="text1" w:themeTint="F2"/>
                <w:kern w:val="0"/>
                <w:sz w:val="21"/>
                <w:szCs w:val="21"/>
              </w:rPr>
              <w:t>从事传染病诊治的医护人员、就诊病人采取相应的卫生防护措施</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是；不规范；否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sz w:val="21"/>
                <w:szCs w:val="21"/>
              </w:rPr>
              <w:t>5、有预检分诊记录本，登记内容齐全</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是；不齐全；否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6. 医疗废物分类收集，使用专用包装物及容器，有交接记录。隔离的传染病病人或疑似传染病病人产生的医疗废物使用双层包装并及时密封，相关工作人员配备必要的防护用品并定期进行健康体检</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是；不规范；否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7. 按规定对环境、物表等进行清洁消毒；消毒处理传染病病原体污染的场所、物品、污水和医疗废物</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是；不规范；否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8.规范使用消毒产品</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vAlign w:val="center"/>
          </w:tcPr>
          <w:p>
            <w:pPr>
              <w:jc w:val="center"/>
              <w:rPr>
                <w:rFonts w:hint="eastAsia" w:ascii="仿宋_GB2312" w:hAnsi="仿宋_GB2312" w:eastAsia="仿宋_GB2312" w:cs="仿宋_GB2312"/>
                <w:color w:val="0C0C0C" w:themeColor="text1" w:themeTint="F2"/>
                <w:sz w:val="21"/>
                <w:szCs w:val="21"/>
              </w:rPr>
            </w:pPr>
          </w:p>
        </w:tc>
        <w:tc>
          <w:tcPr>
            <w:tcW w:w="1559" w:type="dxa"/>
            <w:vMerge w:val="restart"/>
            <w:vAlign w:val="center"/>
          </w:tcPr>
          <w:p>
            <w:pPr>
              <w:jc w:val="center"/>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感染性疾病科（</w:t>
            </w:r>
            <w:r>
              <w:rPr>
                <w:rFonts w:hint="eastAsia" w:ascii="仿宋_GB2312" w:hAnsi="仿宋_GB2312" w:eastAsia="仿宋_GB2312" w:cs="仿宋_GB2312"/>
                <w:color w:val="0C0C0C" w:themeColor="text1" w:themeTint="F2"/>
                <w:kern w:val="0"/>
                <w:sz w:val="21"/>
                <w:szCs w:val="21"/>
              </w:rPr>
              <w:t>二级以上综合医院设置</w:t>
            </w:r>
            <w:r>
              <w:rPr>
                <w:rFonts w:hint="eastAsia" w:ascii="仿宋_GB2312" w:hAnsi="仿宋_GB2312" w:eastAsia="仿宋_GB2312" w:cs="仿宋_GB2312"/>
                <w:color w:val="0C0C0C" w:themeColor="text1" w:themeTint="F2"/>
                <w:sz w:val="21"/>
                <w:szCs w:val="21"/>
              </w:rPr>
              <w:t>）</w:t>
            </w: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 建立及落实感染性疾病科工作制度</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2.标识明确，相对独立，通风良好</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3布局流程合理，清洁区、潜在污染区、污染区分区清楚</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4.功能间设置齐全</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sz w:val="21"/>
                <w:szCs w:val="21"/>
              </w:rPr>
              <w:t>5、有门诊日志，登记内容齐全</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是；不齐全；否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sz w:val="21"/>
                <w:szCs w:val="21"/>
              </w:rPr>
            </w:pPr>
            <w:r>
              <w:rPr>
                <w:rFonts w:hint="eastAsia" w:ascii="仿宋_GB2312" w:hAnsi="仿宋_GB2312" w:eastAsia="仿宋_GB2312" w:cs="仿宋_GB2312"/>
                <w:color w:val="0C0C0C" w:themeColor="text1" w:themeTint="F2"/>
                <w:sz w:val="21"/>
                <w:szCs w:val="21"/>
              </w:rPr>
              <w:t>6、未瞒报、缓报和慌报传染病疫情</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是为合格；否☆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7.传染病疫情登记、报告卡填写符合要求</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是；不齐全；否</w:t>
            </w:r>
          </w:p>
        </w:tc>
        <w:tc>
          <w:tcPr>
            <w:tcW w:w="1380" w:type="dxa"/>
            <w:vAlign w:val="bottom"/>
          </w:tcPr>
          <w:p>
            <w:pPr>
              <w:widowControl/>
              <w:adjustRightInd w:val="0"/>
              <w:snapToGrid w:val="0"/>
              <w:ind w:left="105" w:leftChars="50" w:right="105" w:rightChars="50"/>
              <w:jc w:val="left"/>
              <w:rPr>
                <w:rFonts w:hint="eastAsia" w:ascii="仿宋_GB2312" w:hAnsi="仿宋_GB2312" w:eastAsia="仿宋_GB2312" w:cs="仿宋_GB2312"/>
                <w:color w:val="0C0C0C" w:themeColor="text1" w:themeTint="F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8.接触皮肤、粘膜的器械一人一用一消毒</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是为合格；否☆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9、输液室抽出的药液注明开启日期和时间，放置时间未超过2小时；打开灭菌物品（棉球、纱布等），使用时间未超过24小时；碘伏等皮肤消毒剂注明开瓶日期或失效日期，并在有效期内使用</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adjustRightInd w:val="0"/>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10.配备必要的个人防护用品</w:t>
            </w:r>
          </w:p>
        </w:tc>
        <w:tc>
          <w:tcPr>
            <w:tcW w:w="1960" w:type="dxa"/>
            <w:vAlign w:val="center"/>
          </w:tcPr>
          <w:p>
            <w:pPr>
              <w:widowControl/>
              <w:adjustRightInd w:val="0"/>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11.对传染病病人、疑似传染病病人采取消毒隔离措施</w:t>
            </w:r>
          </w:p>
        </w:tc>
        <w:tc>
          <w:tcPr>
            <w:tcW w:w="1960" w:type="dxa"/>
            <w:vAlign w:val="center"/>
          </w:tcPr>
          <w:p>
            <w:pPr>
              <w:widowControl/>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12.医疗废物分类收集，使用专用包装物及容器，有交接记录。隔离的传染病病人或疑似传染病病人产生的医疗废物使用双层包装并及时密封，相关工作人员配备必要的防护用品并定期进行健康体检</w:t>
            </w:r>
          </w:p>
        </w:tc>
        <w:tc>
          <w:tcPr>
            <w:tcW w:w="1960" w:type="dxa"/>
            <w:vAlign w:val="center"/>
          </w:tcPr>
          <w:p>
            <w:pPr>
              <w:widowControl/>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是；不规范；否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13. 按规定对环境、物表等进行清洁消毒；有被传染病病原体污染的场所、物品、污水进行消毒记录</w:t>
            </w:r>
          </w:p>
        </w:tc>
        <w:tc>
          <w:tcPr>
            <w:tcW w:w="1960" w:type="dxa"/>
            <w:vAlign w:val="center"/>
          </w:tcPr>
          <w:p>
            <w:pPr>
              <w:widowControl/>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是；不齐全；否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14.规范使用消毒产品</w:t>
            </w:r>
          </w:p>
        </w:tc>
        <w:tc>
          <w:tcPr>
            <w:tcW w:w="1960" w:type="dxa"/>
            <w:vAlign w:val="center"/>
          </w:tcPr>
          <w:p>
            <w:pPr>
              <w:widowControl/>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是；否</w:t>
            </w:r>
          </w:p>
        </w:tc>
        <w:tc>
          <w:tcPr>
            <w:tcW w:w="1380" w:type="dxa"/>
          </w:tcPr>
          <w:p>
            <w:pPr>
              <w:rPr>
                <w:rFonts w:hint="eastAsia" w:ascii="仿宋_GB2312" w:hAnsi="仿宋_GB2312" w:eastAsia="仿宋_GB2312" w:cs="仿宋_GB2312"/>
                <w:color w:val="0C0C0C" w:themeColor="text1" w:themeTint="F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Merge w:val="continue"/>
          </w:tcPr>
          <w:p>
            <w:pPr>
              <w:rPr>
                <w:rFonts w:hint="eastAsia" w:ascii="仿宋_GB2312" w:hAnsi="仿宋_GB2312" w:eastAsia="仿宋_GB2312" w:cs="仿宋_GB2312"/>
                <w:color w:val="0C0C0C" w:themeColor="text1" w:themeTint="F2"/>
                <w:sz w:val="21"/>
                <w:szCs w:val="21"/>
              </w:rPr>
            </w:pPr>
          </w:p>
        </w:tc>
        <w:tc>
          <w:tcPr>
            <w:tcW w:w="1559" w:type="dxa"/>
            <w:vMerge w:val="continue"/>
          </w:tcPr>
          <w:p>
            <w:pPr>
              <w:rPr>
                <w:rFonts w:hint="eastAsia" w:ascii="仿宋_GB2312" w:hAnsi="仿宋_GB2312" w:eastAsia="仿宋_GB2312" w:cs="仿宋_GB2312"/>
                <w:color w:val="0C0C0C" w:themeColor="text1" w:themeTint="F2"/>
                <w:sz w:val="21"/>
                <w:szCs w:val="21"/>
              </w:rPr>
            </w:pPr>
          </w:p>
        </w:tc>
        <w:tc>
          <w:tcPr>
            <w:tcW w:w="8392" w:type="dxa"/>
            <w:vAlign w:val="center"/>
          </w:tcPr>
          <w:p>
            <w:pPr>
              <w:widowControl/>
              <w:snapToGrid w:val="0"/>
              <w:ind w:left="105" w:leftChars="50" w:right="105" w:rightChars="50"/>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15.开展消毒与灭菌效果监测</w:t>
            </w:r>
          </w:p>
        </w:tc>
        <w:tc>
          <w:tcPr>
            <w:tcW w:w="1960" w:type="dxa"/>
            <w:vAlign w:val="center"/>
          </w:tcPr>
          <w:p>
            <w:pPr>
              <w:widowControl/>
              <w:snapToGrid w:val="0"/>
              <w:ind w:left="105" w:leftChars="50" w:right="105" w:rightChars="50"/>
              <w:jc w:val="both"/>
              <w:rPr>
                <w:rFonts w:hint="eastAsia" w:ascii="仿宋_GB2312" w:hAnsi="仿宋_GB2312" w:eastAsia="仿宋_GB2312" w:cs="仿宋_GB2312"/>
                <w:color w:val="0C0C0C" w:themeColor="text1" w:themeTint="F2"/>
                <w:kern w:val="0"/>
                <w:sz w:val="21"/>
                <w:szCs w:val="21"/>
              </w:rPr>
            </w:pPr>
            <w:r>
              <w:rPr>
                <w:rFonts w:hint="eastAsia" w:ascii="仿宋_GB2312" w:hAnsi="仿宋_GB2312" w:eastAsia="仿宋_GB2312" w:cs="仿宋_GB2312"/>
                <w:color w:val="0C0C0C" w:themeColor="text1" w:themeTint="F2"/>
                <w:kern w:val="0"/>
                <w:sz w:val="21"/>
                <w:szCs w:val="21"/>
              </w:rPr>
              <w:t>是；不齐全；否</w:t>
            </w:r>
          </w:p>
        </w:tc>
        <w:tc>
          <w:tcPr>
            <w:tcW w:w="1380" w:type="dxa"/>
          </w:tcPr>
          <w:p>
            <w:pPr>
              <w:rPr>
                <w:rFonts w:hint="eastAsia" w:ascii="仿宋_GB2312" w:hAnsi="仿宋_GB2312" w:eastAsia="仿宋_GB2312" w:cs="仿宋_GB2312"/>
                <w:color w:val="0C0C0C" w:themeColor="text1" w:themeTint="F2"/>
                <w:sz w:val="21"/>
                <w:szCs w:val="21"/>
              </w:rPr>
            </w:pPr>
          </w:p>
        </w:tc>
      </w:tr>
    </w:tbl>
    <w:p>
      <w:pPr>
        <w:spacing w:line="560" w:lineRule="exact"/>
        <w:jc w:val="left"/>
        <w:rPr>
          <w:rFonts w:ascii="仿宋_GB2312" w:eastAsia="仿宋_GB2312" w:cs="仿宋"/>
          <w:color w:val="0C0C0C" w:themeColor="text1" w:themeTint="F2"/>
          <w:sz w:val="32"/>
          <w:szCs w:val="32"/>
        </w:rPr>
      </w:pPr>
    </w:p>
    <w:p>
      <w:pPr>
        <w:spacing w:line="288" w:lineRule="auto"/>
        <w:ind w:firstLine="2040" w:firstLineChars="850"/>
        <w:rPr>
          <w:rFonts w:ascii="仿宋_GB2312" w:eastAsia="仿宋_GB2312" w:cs="仿宋"/>
          <w:b/>
          <w:bCs/>
          <w:color w:val="0C0C0C" w:themeColor="text1" w:themeTint="F2"/>
          <w:sz w:val="24"/>
          <w:szCs w:val="24"/>
        </w:rPr>
      </w:pPr>
      <w:r>
        <w:rPr>
          <w:rFonts w:hint="eastAsia" w:ascii="仿宋_GB2312" w:eastAsia="仿宋_GB2312" w:cs="仿宋"/>
          <w:color w:val="0C0C0C" w:themeColor="text1" w:themeTint="F2"/>
          <w:sz w:val="24"/>
          <w:szCs w:val="24"/>
        </w:rPr>
        <w:t>陪同检查人员：                               检查人员：</w:t>
      </w:r>
      <w:r>
        <w:rPr>
          <w:rFonts w:hint="eastAsia" w:ascii="仿宋_GB2312" w:eastAsia="仿宋_GB2312" w:cs="仿宋"/>
          <w:b/>
          <w:bCs/>
          <w:color w:val="0C0C0C" w:themeColor="text1" w:themeTint="F2"/>
          <w:sz w:val="24"/>
          <w:szCs w:val="24"/>
        </w:rPr>
        <w:t xml:space="preserve"> </w:t>
      </w:r>
    </w:p>
    <w:p>
      <w:pPr>
        <w:spacing w:line="288" w:lineRule="auto"/>
        <w:jc w:val="center"/>
        <w:rPr>
          <w:rFonts w:ascii="仿宋_GB2312" w:eastAsia="仿宋_GB2312" w:cs="仿宋"/>
          <w:color w:val="0C0C0C" w:themeColor="text1" w:themeTint="F2"/>
          <w:sz w:val="24"/>
          <w:szCs w:val="24"/>
        </w:rPr>
      </w:pPr>
      <w:r>
        <w:rPr>
          <w:rFonts w:hint="eastAsia" w:ascii="仿宋_GB2312" w:eastAsia="仿宋_GB2312" w:cs="仿宋"/>
          <w:color w:val="0C0C0C" w:themeColor="text1" w:themeTint="F2"/>
          <w:sz w:val="24"/>
          <w:szCs w:val="24"/>
        </w:rPr>
        <w:t xml:space="preserve">                                  </w:t>
      </w:r>
    </w:p>
    <w:p>
      <w:pPr>
        <w:spacing w:line="288" w:lineRule="auto"/>
        <w:jc w:val="center"/>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日期：     年    月    日                日期：     年    月    日</w:t>
      </w:r>
    </w:p>
    <w:p>
      <w:pPr>
        <w:spacing w:line="560" w:lineRule="exact"/>
        <w:ind w:firstLine="1480"/>
        <w:jc w:val="distribute"/>
        <w:rPr>
          <w:rFonts w:ascii="仿宋_GB2312" w:eastAsia="仿宋_GB2312"/>
          <w:color w:val="0C0C0C" w:themeColor="text1" w:themeTint="F2"/>
          <w:sz w:val="32"/>
          <w:szCs w:val="32"/>
        </w:rPr>
        <w:sectPr>
          <w:pgSz w:w="16838" w:h="11906" w:orient="landscape"/>
          <w:pgMar w:top="1701" w:right="1417" w:bottom="1417" w:left="1417" w:header="851" w:footer="992" w:gutter="0"/>
          <w:pgNumType w:fmt="decimal"/>
          <w:cols w:space="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eastAsia="黑体"/>
          <w:color w:val="0C0C0C" w:themeColor="text1" w:themeTint="F2"/>
          <w:sz w:val="32"/>
          <w:szCs w:val="32"/>
        </w:rPr>
      </w:pPr>
      <w:r>
        <w:rPr>
          <w:rFonts w:hint="eastAsia" w:ascii="黑体" w:eastAsia="黑体" w:cs="黑体"/>
          <w:color w:val="0C0C0C" w:themeColor="text1" w:themeTint="F2"/>
          <w:sz w:val="32"/>
          <w:szCs w:val="32"/>
        </w:rPr>
        <w:t>三、消毒产品生产企业随机监督抽查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（一）监督检查对象。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除国家随机监督抽查单位外的所有消毒产品生产企业。（含新冠肺炎疫情期间应急上市的消毒剂生产企业）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（二）监督检查内容。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原材料卫生质量、禁用物质、出厂检验报告和生产记录；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3.第三类消毒产品生产企业监督检查内容：包括生产条件、生产过程以及消毒产品标签和说明书等。其中尿布等排泄物卫生用品生产企业重点检查原材料卫生质量、空气消毒设施、出厂检验报告。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（三）工作要求。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1.各地要高度重视消毒产品广西监督抽查工作，结合实际制订本辖区的工作方案并按计划、分步骤组织实施。抽查过程中发现消毒产品生产企业存在违法行为，要依法严肃查处，重大案件及时上报查处情况。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2.各地要于11月10日前完成全部抽查任务，并通过广西卫生监督管理执法平台报送数据。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联 系 人：自治区卫生监督所监督二科  刘军威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 xml:space="preserve">联系电话：0771-5320553、0771-5317810（传真） </w:t>
      </w:r>
    </w:p>
    <w:p>
      <w:pPr>
        <w:keepNext w:val="0"/>
        <w:keepLines w:val="0"/>
        <w:pageBreakBefore w:val="0"/>
        <w:widowControl w:val="0"/>
        <w:tabs>
          <w:tab w:val="left" w:pos="1843"/>
          <w:tab w:val="left" w:pos="2127"/>
        </w:tabs>
        <w:kinsoku/>
        <w:wordWrap/>
        <w:overflowPunct/>
        <w:topLinePunct w:val="0"/>
        <w:autoSpaceDE/>
        <w:autoSpaceDN/>
        <w:bidi w:val="0"/>
        <w:spacing w:line="560" w:lineRule="exact"/>
        <w:textAlignment w:val="auto"/>
        <w:rPr>
          <w:rFonts w:ascii="仿宋_GB2312" w:eastAsia="仿宋_GB2312" w:cs="仿宋"/>
          <w:color w:val="0C0C0C" w:themeColor="text1" w:themeTint="F2"/>
          <w:sz w:val="32"/>
          <w:szCs w:val="32"/>
        </w:rPr>
      </w:pPr>
      <w:r>
        <w:rPr>
          <w:rFonts w:hint="eastAsia" w:ascii="仿宋_GB2312" w:eastAsia="仿宋_GB2312" w:cs="仿宋"/>
          <w:color w:val="0C0C0C" w:themeColor="text1" w:themeTint="F2"/>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olor w:val="0C0C0C" w:themeColor="text1" w:themeTint="F2"/>
          <w:sz w:val="32"/>
          <w:szCs w:val="32"/>
        </w:rPr>
      </w:pPr>
      <w:r>
        <w:rPr>
          <w:rFonts w:hint="eastAsia" w:ascii="仿宋_GB2312" w:eastAsia="仿宋_GB2312" w:cs="仿宋"/>
          <w:color w:val="0C0C0C" w:themeColor="text1" w:themeTint="F2"/>
          <w:sz w:val="32"/>
          <w:szCs w:val="32"/>
        </w:rPr>
        <w:t>附表：消毒产品生产企业随机监督检查表</w:t>
      </w: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spacing w:line="560" w:lineRule="exact"/>
        <w:ind w:left="315" w:leftChars="150" w:firstLine="1600" w:firstLineChars="500"/>
        <w:rPr>
          <w:rFonts w:ascii="仿宋_GB2312" w:eastAsia="仿宋_GB2312"/>
          <w:color w:val="0C0C0C" w:themeColor="text1" w:themeTint="F2"/>
          <w:sz w:val="32"/>
          <w:szCs w:val="32"/>
        </w:rPr>
      </w:pPr>
    </w:p>
    <w:p>
      <w:pPr>
        <w:widowControl/>
        <w:jc w:val="left"/>
        <w:outlineLvl w:val="0"/>
        <w:rPr>
          <w:rFonts w:ascii="仿宋_GB2312" w:eastAsia="仿宋_GB2312"/>
          <w:b/>
          <w:bCs/>
          <w:color w:val="0C0C0C" w:themeColor="text1" w:themeTint="F2"/>
          <w:kern w:val="0"/>
          <w:sz w:val="30"/>
          <w:szCs w:val="30"/>
        </w:rPr>
      </w:pPr>
    </w:p>
    <w:p>
      <w:pPr>
        <w:widowControl/>
        <w:jc w:val="left"/>
        <w:outlineLvl w:val="0"/>
        <w:rPr>
          <w:rFonts w:hint="eastAsia" w:ascii="黑体" w:hAnsi="黑体" w:eastAsia="黑体" w:cs="黑体"/>
          <w:color w:val="0C0C0C" w:themeColor="text1" w:themeTint="F2"/>
          <w:sz w:val="32"/>
          <w:szCs w:val="32"/>
        </w:rPr>
      </w:pPr>
      <w:r>
        <w:rPr>
          <w:rFonts w:hint="eastAsia" w:ascii="仿宋_GB2312" w:eastAsia="仿宋_GB2312" w:cs="仿宋"/>
          <w:color w:val="0C0C0C" w:themeColor="text1" w:themeTint="F2"/>
          <w:sz w:val="32"/>
          <w:szCs w:val="32"/>
        </w:rPr>
        <w:br w:type="page"/>
      </w:r>
      <w:r>
        <w:rPr>
          <w:rFonts w:hint="eastAsia" w:ascii="黑体" w:hAnsi="黑体" w:eastAsia="黑体" w:cs="黑体"/>
          <w:color w:val="0C0C0C" w:themeColor="text1" w:themeTint="F2"/>
          <w:sz w:val="32"/>
          <w:szCs w:val="32"/>
        </w:rPr>
        <w:t>附表</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hint="eastAsia" w:ascii="方正小标宋简体" w:hAnsi="方正小标宋简体" w:eastAsia="方正小标宋简体" w:cs="方正小标宋简体"/>
          <w:b w:val="0"/>
          <w:bCs w:val="0"/>
          <w:color w:val="0C0C0C" w:themeColor="text1" w:themeTint="F2"/>
          <w:kern w:val="0"/>
          <w:sz w:val="44"/>
          <w:szCs w:val="44"/>
        </w:rPr>
      </w:pPr>
      <w:r>
        <w:rPr>
          <w:rFonts w:hint="eastAsia" w:ascii="方正小标宋简体" w:hAnsi="方正小标宋简体" w:eastAsia="方正小标宋简体" w:cs="方正小标宋简体"/>
          <w:b w:val="0"/>
          <w:bCs w:val="0"/>
          <w:color w:val="0C0C0C" w:themeColor="text1" w:themeTint="F2"/>
          <w:sz w:val="44"/>
          <w:szCs w:val="44"/>
        </w:rPr>
        <w:t>消毒产品生产企业随机监督检查表</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b/>
          <w:bCs/>
          <w:color w:val="0C0C0C" w:themeColor="text1" w:themeTint="F2"/>
          <w:sz w:val="36"/>
          <w:szCs w:val="36"/>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_GB2312" w:eastAsia="仿宋_GB2312" w:cs="黑体"/>
          <w:color w:val="0C0C0C" w:themeColor="text1" w:themeTint="F2"/>
          <w:sz w:val="28"/>
          <w:szCs w:val="28"/>
        </w:rPr>
      </w:pPr>
      <w:r>
        <w:rPr>
          <w:rFonts w:hint="eastAsia" w:ascii="仿宋_GB2312" w:eastAsia="仿宋_GB2312" w:cs="黑体"/>
          <w:color w:val="0C0C0C" w:themeColor="text1" w:themeTint="F2"/>
          <w:sz w:val="28"/>
          <w:szCs w:val="28"/>
        </w:rPr>
        <w:t>企业名称：                    地址：</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仿宋_GB2312" w:eastAsia="仿宋_GB2312" w:cs="黑体"/>
          <w:color w:val="0C0C0C" w:themeColor="text1" w:themeTint="F2"/>
          <w:sz w:val="28"/>
          <w:szCs w:val="28"/>
        </w:rPr>
      </w:pPr>
      <w:r>
        <w:rPr>
          <w:rFonts w:hint="eastAsia" w:ascii="仿宋_GB2312" w:eastAsia="仿宋_GB2312" w:cs="黑体"/>
          <w:color w:val="0C0C0C" w:themeColor="text1" w:themeTint="F2"/>
          <w:sz w:val="28"/>
          <w:szCs w:val="28"/>
        </w:rPr>
        <w:t>监督检查内容：</w:t>
      </w:r>
    </w:p>
    <w:p>
      <w:pPr>
        <w:keepNext w:val="0"/>
        <w:keepLines w:val="0"/>
        <w:pageBreakBefore w:val="0"/>
        <w:kinsoku/>
        <w:wordWrap/>
        <w:overflowPunct/>
        <w:topLinePunct w:val="0"/>
        <w:autoSpaceDE/>
        <w:autoSpaceDN/>
        <w:bidi w:val="0"/>
        <w:adjustRightInd/>
        <w:snapToGrid/>
        <w:spacing w:line="500" w:lineRule="exact"/>
        <w:textAlignment w:val="auto"/>
        <w:outlineLvl w:val="0"/>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1、按规定取得卫生许可证：</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2、生产条件符合要求：</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outlineLvl w:val="0"/>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3、生产过程符合要求：</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4、原材料卫生质量符合要求：</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outlineLvl w:val="0"/>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5、成品仓储条件符合要求：</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6、物料仓储条件符合要求：</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outlineLvl w:val="0"/>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7、从业人员培训合格上岗：</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8、产品种类与企业生产许可证或者在华责任单位工商营业执照营业范围一致：</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是</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否</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9、产品标签（格牌）、说明书符合要求：</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检查 抽查数（ ）符合要求数（ ）</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r>
        <w:rPr>
          <w:rFonts w:hint="eastAsia" w:ascii="仿宋_GB2312" w:eastAsia="仿宋_GB2312"/>
          <w:color w:val="0C0C0C" w:themeColor="text1" w:themeTint="F2"/>
          <w:sz w:val="28"/>
          <w:szCs w:val="28"/>
        </w:rPr>
        <w:t>○</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10、第一类产品卫生安全评价报告及备案情况：</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检查 抽查数（ ）报告数（ ）</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合理缺项</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11、第二类产品卫生安全评价报告及备案情况：</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检查 抽查数（ ）报告数（ ）</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合理缺项</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kern w:val="0"/>
          <w:sz w:val="28"/>
          <w:szCs w:val="28"/>
        </w:rPr>
        <w:t>12、新消毒产品卫生许可批件：</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检查 抽查数（ ）取得批件数（ ）</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未检查</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合理缺项</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仿宋_GB2312" w:eastAsia="仿宋_GB2312"/>
          <w:color w:val="0C0C0C" w:themeColor="text1" w:themeTint="F2"/>
          <w:sz w:val="28"/>
          <w:szCs w:val="28"/>
        </w:rPr>
      </w:pPr>
      <w:r>
        <w:rPr>
          <w:rFonts w:hint="eastAsia" w:ascii="仿宋_GB2312" w:eastAsia="仿宋_GB2312" w:cs="黑体"/>
          <w:color w:val="0C0C0C" w:themeColor="text1" w:themeTint="F2"/>
          <w:sz w:val="28"/>
          <w:szCs w:val="28"/>
        </w:rPr>
        <w:t>13、产品监督抽检结果：</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 xml:space="preserve">合格 </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 xml:space="preserve">不合格 </w:t>
      </w:r>
      <w:r>
        <w:rPr>
          <w:rFonts w:hint="eastAsia" w:ascii="仿宋_GB2312" w:eastAsia="仿宋_GB2312"/>
          <w:color w:val="0C0C0C" w:themeColor="text1" w:themeTint="F2"/>
          <w:sz w:val="28"/>
          <w:szCs w:val="28"/>
        </w:rPr>
        <w:t>○</w:t>
      </w:r>
      <w:r>
        <w:rPr>
          <w:rFonts w:hint="eastAsia" w:ascii="仿宋_GB2312" w:eastAsia="仿宋_GB2312" w:cs="黑体"/>
          <w:color w:val="0C0C0C" w:themeColor="text1" w:themeTint="F2"/>
          <w:sz w:val="28"/>
          <w:szCs w:val="28"/>
        </w:rPr>
        <w:t xml:space="preserve">未抽检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s="仿宋"/>
          <w:color w:val="0C0C0C" w:themeColor="text1" w:themeTint="F2"/>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eastAsia="仿宋_GB2312" w:cs="仿宋"/>
          <w:b/>
          <w:bCs/>
          <w:color w:val="0C0C0C" w:themeColor="text1" w:themeTint="F2"/>
          <w:sz w:val="24"/>
          <w:szCs w:val="24"/>
        </w:rPr>
      </w:pPr>
      <w:r>
        <w:rPr>
          <w:rFonts w:hint="eastAsia" w:ascii="仿宋_GB2312" w:eastAsia="仿宋_GB2312" w:cs="仿宋"/>
          <w:color w:val="0C0C0C" w:themeColor="text1" w:themeTint="F2"/>
          <w:sz w:val="24"/>
          <w:szCs w:val="24"/>
        </w:rPr>
        <w:t>陪同检查人员：                        检查人员：</w:t>
      </w:r>
      <w:r>
        <w:rPr>
          <w:rFonts w:hint="eastAsia" w:ascii="仿宋_GB2312" w:eastAsia="仿宋_GB2312" w:cs="仿宋"/>
          <w:b/>
          <w:bCs/>
          <w:color w:val="0C0C0C" w:themeColor="text1" w:themeTint="F2"/>
          <w:sz w:val="24"/>
          <w:szCs w:val="24"/>
        </w:rPr>
        <w:t xml:space="preserve">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color w:val="0C0C0C" w:themeColor="text1" w:themeTint="F2"/>
          <w:sz w:val="24"/>
          <w:szCs w:val="24"/>
        </w:rPr>
      </w:pPr>
      <w:r>
        <w:rPr>
          <w:rFonts w:hint="eastAsia" w:ascii="仿宋_GB2312" w:eastAsia="仿宋_GB2312" w:cs="仿宋"/>
          <w:color w:val="0C0C0C" w:themeColor="text1" w:themeTint="F2"/>
          <w:sz w:val="24"/>
          <w:szCs w:val="24"/>
        </w:rPr>
        <w:t xml:space="preserve">        日期：     年    月    日        日期：     年    月    日</w:t>
      </w: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bCs/>
          <w:color w:val="0C0C0C" w:themeColor="text1" w:themeTint="F2"/>
          <w:sz w:val="32"/>
          <w:szCs w:val="32"/>
        </w:rPr>
      </w:pPr>
      <w:r>
        <w:rPr>
          <w:rFonts w:hint="eastAsia" w:ascii="黑体" w:eastAsia="黑体" w:cs="仿宋"/>
          <w:color w:val="0C0C0C" w:themeColor="text1" w:themeTint="F2"/>
          <w:sz w:val="32"/>
          <w:szCs w:val="32"/>
        </w:rPr>
        <w:br w:type="page"/>
      </w:r>
      <w:r>
        <w:rPr>
          <w:rFonts w:hint="eastAsia" w:ascii="黑体" w:eastAsia="黑体" w:cs="仿宋"/>
          <w:color w:val="0C0C0C" w:themeColor="text1" w:themeTint="F2"/>
          <w:sz w:val="32"/>
          <w:szCs w:val="32"/>
          <w:lang w:eastAsia="zh-CN"/>
        </w:rPr>
        <w:t>　　</w:t>
      </w:r>
      <w:r>
        <w:rPr>
          <w:rFonts w:hint="eastAsia" w:ascii="黑体" w:eastAsia="黑体" w:cs="仿宋"/>
          <w:color w:val="0C0C0C" w:themeColor="text1" w:themeTint="F2"/>
          <w:sz w:val="32"/>
          <w:szCs w:val="32"/>
        </w:rPr>
        <w:t>四、</w:t>
      </w:r>
      <w:r>
        <w:rPr>
          <w:rFonts w:hint="eastAsia" w:ascii="黑体" w:eastAsia="黑体" w:cs="仿宋"/>
          <w:bCs/>
          <w:color w:val="0C0C0C" w:themeColor="text1" w:themeTint="F2"/>
          <w:sz w:val="32"/>
          <w:szCs w:val="32"/>
        </w:rPr>
        <w:t>尘毒危害企业随机监督抽查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（一）抽查对象。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rPr>
        <w:t>辖区内在国家职业病危害项目申报系统注册的矿山、冶金、建材、化工等重点行业领域的企业。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C0C0C" w:themeColor="text1" w:themeTint="F2"/>
          <w:kern w:val="0"/>
          <w:sz w:val="32"/>
          <w:szCs w:val="32"/>
        </w:rPr>
      </w:pPr>
      <w:r>
        <w:rPr>
          <w:rFonts w:hint="eastAsia" w:ascii="楷体_GB2312" w:hAnsi="楷体_GB2312" w:eastAsia="楷体_GB2312" w:cs="楷体_GB2312"/>
          <w:color w:val="0C0C0C" w:themeColor="text1" w:themeTint="F2"/>
          <w:kern w:val="0"/>
          <w:sz w:val="32"/>
          <w:szCs w:val="32"/>
        </w:rPr>
        <w:t>（二）重点检查内容。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rPr>
        <w:t>围绕职业病危害项目管理情况、</w:t>
      </w:r>
      <w:r>
        <w:rPr>
          <w:rFonts w:hint="eastAsia" w:ascii="仿宋_GB2312" w:eastAsia="仿宋_GB2312"/>
          <w:color w:val="0C0C0C" w:themeColor="text1" w:themeTint="F2"/>
          <w:kern w:val="0"/>
          <w:sz w:val="32"/>
          <w:szCs w:val="32"/>
          <w:lang w:eastAsia="zh-CN"/>
        </w:rPr>
        <w:t>职业病防治管理措施、</w:t>
      </w:r>
      <w:r>
        <w:rPr>
          <w:rFonts w:hint="eastAsia" w:ascii="仿宋_GB2312" w:eastAsia="仿宋_GB2312"/>
          <w:color w:val="0C0C0C" w:themeColor="text1" w:themeTint="F2"/>
          <w:kern w:val="0"/>
          <w:sz w:val="32"/>
          <w:szCs w:val="32"/>
        </w:rPr>
        <w:t>工作场所职业病危害因素管理情况、劳动者职业健康监护情况、职业健康培训情况等关键环节，着力查处以下违法行为：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rPr>
        <w:t>1.新建、扩建、改建建设项目和技术改造、技术引进项目，未按照规定进行职业病危害预评价、职业病防护设施设计、职业病危害控制效果评价和职业病防护设施竣工验收的；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rPr>
        <w:t>2.未按照规定及时、如实申报职业病危害项目的；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C0C0C" w:themeColor="text1" w:themeTint="F2"/>
          <w:kern w:val="0"/>
          <w:sz w:val="32"/>
          <w:szCs w:val="32"/>
          <w:lang w:eastAsia="zh-CN"/>
        </w:rPr>
      </w:pPr>
      <w:r>
        <w:rPr>
          <w:rFonts w:hint="eastAsia" w:ascii="仿宋_GB2312" w:eastAsia="仿宋_GB2312"/>
          <w:color w:val="0C0C0C" w:themeColor="text1" w:themeTint="F2"/>
          <w:kern w:val="0"/>
          <w:sz w:val="32"/>
          <w:szCs w:val="32"/>
        </w:rPr>
        <w:t>3.</w:t>
      </w:r>
      <w:r>
        <w:rPr>
          <w:rFonts w:hint="eastAsia" w:ascii="仿宋_GB2312" w:eastAsia="仿宋_GB2312"/>
          <w:color w:val="0C0C0C" w:themeColor="text1" w:themeTint="F2"/>
          <w:kern w:val="0"/>
          <w:sz w:val="32"/>
          <w:szCs w:val="32"/>
          <w:lang w:eastAsia="zh-CN"/>
        </w:rPr>
        <w:t>未</w:t>
      </w:r>
      <w:r>
        <w:rPr>
          <w:rFonts w:hint="eastAsia" w:ascii="仿宋_GB2312" w:eastAsia="仿宋_GB2312"/>
          <w:color w:val="0C0C0C" w:themeColor="text1" w:themeTint="F2"/>
          <w:kern w:val="0"/>
          <w:sz w:val="32"/>
          <w:szCs w:val="32"/>
        </w:rPr>
        <w:t>按照规定公布有关职业病防治规章制度、操作规程、职业病危害事故应急救援措施</w:t>
      </w:r>
      <w:r>
        <w:rPr>
          <w:rFonts w:hint="eastAsia" w:ascii="仿宋_GB2312" w:eastAsia="仿宋_GB2312"/>
          <w:color w:val="0C0C0C" w:themeColor="text1" w:themeTint="F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C0C0C" w:themeColor="text1" w:themeTint="F2"/>
          <w:kern w:val="0"/>
          <w:sz w:val="32"/>
          <w:szCs w:val="32"/>
          <w:lang w:eastAsia="zh-CN"/>
        </w:rPr>
      </w:pPr>
      <w:r>
        <w:rPr>
          <w:rFonts w:hint="eastAsia" w:ascii="仿宋_GB2312" w:eastAsia="仿宋_GB2312"/>
          <w:color w:val="0C0C0C" w:themeColor="text1" w:themeTint="F2"/>
          <w:kern w:val="0"/>
          <w:sz w:val="32"/>
          <w:szCs w:val="32"/>
        </w:rPr>
        <w:t>4.</w:t>
      </w:r>
      <w:r>
        <w:rPr>
          <w:rFonts w:hint="eastAsia" w:ascii="仿宋_GB2312" w:eastAsia="仿宋_GB2312"/>
          <w:color w:val="0C0C0C" w:themeColor="text1" w:themeTint="F2"/>
          <w:kern w:val="0"/>
          <w:sz w:val="32"/>
          <w:szCs w:val="32"/>
          <w:lang w:eastAsia="zh-CN"/>
        </w:rPr>
        <w:t>未</w:t>
      </w:r>
      <w:r>
        <w:rPr>
          <w:rFonts w:hint="eastAsia" w:ascii="仿宋_GB2312" w:eastAsia="仿宋_GB2312"/>
          <w:color w:val="0C0C0C" w:themeColor="text1" w:themeTint="F2"/>
          <w:kern w:val="0"/>
          <w:sz w:val="32"/>
          <w:szCs w:val="32"/>
        </w:rPr>
        <w:t>按照规定在产生严重职业病危害的作业岗位醒目位置设置警示标识和中文警示说明</w:t>
      </w:r>
      <w:r>
        <w:rPr>
          <w:rFonts w:hint="eastAsia" w:ascii="仿宋_GB2312" w:eastAsia="仿宋_GB2312"/>
          <w:color w:val="0C0C0C" w:themeColor="text1" w:themeTint="F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lang w:val="en-US" w:eastAsia="zh-CN"/>
        </w:rPr>
        <w:t>5</w:t>
      </w:r>
      <w:r>
        <w:rPr>
          <w:rFonts w:hint="eastAsia" w:ascii="仿宋_GB2312" w:eastAsia="仿宋_GB2312"/>
          <w:color w:val="0C0C0C" w:themeColor="text1" w:themeTint="F2"/>
          <w:kern w:val="0"/>
          <w:sz w:val="32"/>
          <w:szCs w:val="32"/>
        </w:rPr>
        <w:t>.未按照规定对工作场所进行职业病危害因素检测、评价的，以及工作场所职业病危害因素检测不合格未采取有效工程或个体防护措施的；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lang w:val="en-US" w:eastAsia="zh-CN"/>
        </w:rPr>
        <w:t>6</w:t>
      </w:r>
      <w:r>
        <w:rPr>
          <w:rFonts w:hint="eastAsia" w:ascii="仿宋_GB2312" w:eastAsia="仿宋_GB2312"/>
          <w:color w:val="0C0C0C" w:themeColor="text1" w:themeTint="F2"/>
          <w:kern w:val="0"/>
          <w:sz w:val="32"/>
          <w:szCs w:val="32"/>
        </w:rPr>
        <w:t>.未按照规定组织劳动者职业健康检查、建立职业健康监护档案的；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lang w:val="en-US" w:eastAsia="zh-CN"/>
        </w:rPr>
        <w:t>7</w:t>
      </w:r>
      <w:r>
        <w:rPr>
          <w:rFonts w:hint="eastAsia" w:ascii="仿宋_GB2312" w:eastAsia="仿宋_GB2312"/>
          <w:color w:val="0C0C0C" w:themeColor="text1" w:themeTint="F2"/>
          <w:kern w:val="0"/>
          <w:sz w:val="32"/>
          <w:szCs w:val="32"/>
        </w:rPr>
        <w:t>.用人单位主要负责人、职业健康管理人员和劳动者未按照规定接受职业健康培训的。</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楷体_GB2312" w:hAnsi="楷体_GB2312" w:eastAsia="楷体_GB2312" w:cs="楷体_GB2312"/>
          <w:color w:val="0C0C0C" w:themeColor="text1" w:themeTint="F2"/>
          <w:sz w:val="32"/>
          <w:szCs w:val="32"/>
        </w:rPr>
      </w:pPr>
      <w:r>
        <w:rPr>
          <w:rFonts w:hint="eastAsia" w:ascii="楷体_GB2312" w:hAnsi="楷体_GB2312" w:eastAsia="楷体_GB2312" w:cs="楷体_GB2312"/>
          <w:color w:val="0C0C0C" w:themeColor="text1" w:themeTint="F2"/>
          <w:sz w:val="32"/>
          <w:szCs w:val="32"/>
        </w:rPr>
        <w:t>（三）结果报送要求。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rPr>
        <w:t>各地要于</w:t>
      </w:r>
      <w:r>
        <w:rPr>
          <w:rFonts w:hint="eastAsia" w:ascii="仿宋_GB2312" w:eastAsia="仿宋_GB2312" w:cs="??_GB2312"/>
          <w:color w:val="0C0C0C" w:themeColor="text1" w:themeTint="F2"/>
          <w:kern w:val="0"/>
          <w:sz w:val="32"/>
          <w:szCs w:val="32"/>
        </w:rPr>
        <w:t>2020</w:t>
      </w:r>
      <w:r>
        <w:rPr>
          <w:rFonts w:hint="eastAsia" w:ascii="仿宋_GB2312" w:eastAsia="仿宋_GB2312"/>
          <w:color w:val="0C0C0C" w:themeColor="text1" w:themeTint="F2"/>
          <w:kern w:val="0"/>
          <w:sz w:val="32"/>
          <w:szCs w:val="32"/>
        </w:rPr>
        <w:t>年</w:t>
      </w:r>
      <w:r>
        <w:rPr>
          <w:rFonts w:hint="eastAsia" w:ascii="仿宋_GB2312" w:eastAsia="仿宋_GB2312" w:cs="??_GB2312"/>
          <w:color w:val="0C0C0C" w:themeColor="text1" w:themeTint="F2"/>
          <w:kern w:val="0"/>
          <w:sz w:val="32"/>
          <w:szCs w:val="32"/>
        </w:rPr>
        <w:t>11</w:t>
      </w:r>
      <w:r>
        <w:rPr>
          <w:rFonts w:hint="eastAsia" w:ascii="仿宋_GB2312" w:eastAsia="仿宋_GB2312"/>
          <w:color w:val="0C0C0C" w:themeColor="text1" w:themeTint="F2"/>
          <w:kern w:val="0"/>
          <w:sz w:val="32"/>
          <w:szCs w:val="32"/>
        </w:rPr>
        <w:t>月</w:t>
      </w:r>
      <w:r>
        <w:rPr>
          <w:rFonts w:hint="eastAsia" w:ascii="仿宋_GB2312" w:eastAsia="仿宋_GB2312" w:cs="??_GB2312"/>
          <w:color w:val="0C0C0C" w:themeColor="text1" w:themeTint="F2"/>
          <w:kern w:val="0"/>
          <w:sz w:val="32"/>
          <w:szCs w:val="32"/>
        </w:rPr>
        <w:t>30</w:t>
      </w:r>
      <w:r>
        <w:rPr>
          <w:rFonts w:hint="eastAsia" w:ascii="仿宋_GB2312" w:eastAsia="仿宋_GB2312"/>
          <w:color w:val="0C0C0C" w:themeColor="text1" w:themeTint="F2"/>
          <w:kern w:val="0"/>
          <w:sz w:val="32"/>
          <w:szCs w:val="32"/>
        </w:rPr>
        <w:t>日前完成广西尘毒危害企业随机抽查工作，并通过广西卫生监督执法管理平台报送抽查结果，工作信息可随时报送。</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C0C0C" w:themeColor="text1" w:themeTint="F2"/>
          <w:sz w:val="32"/>
          <w:szCs w:val="32"/>
        </w:rPr>
      </w:pPr>
      <w:r>
        <w:rPr>
          <w:rFonts w:hint="eastAsia" w:ascii="仿宋_GB2312" w:eastAsia="仿宋_GB2312"/>
          <w:color w:val="0C0C0C" w:themeColor="text1" w:themeTint="F2"/>
          <w:sz w:val="32"/>
          <w:szCs w:val="32"/>
          <w:lang w:eastAsia="zh-CN"/>
        </w:rPr>
        <w:t>　　</w:t>
      </w:r>
      <w:r>
        <w:rPr>
          <w:rFonts w:hint="eastAsia" w:ascii="仿宋_GB2312" w:eastAsia="仿宋_GB2312"/>
          <w:color w:val="0C0C0C" w:themeColor="text1" w:themeTint="F2"/>
          <w:sz w:val="32"/>
          <w:szCs w:val="32"/>
        </w:rPr>
        <w:t>联 系 人：自治区卫生监督所监督三科  唐燕燕</w:t>
      </w:r>
    </w:p>
    <w:p>
      <w:pPr>
        <w:keepNext w:val="0"/>
        <w:keepLines w:val="0"/>
        <w:pageBreakBefore w:val="0"/>
        <w:kinsoku/>
        <w:wordWrap/>
        <w:overflowPunct/>
        <w:topLinePunct w:val="0"/>
        <w:autoSpaceDE/>
        <w:autoSpaceDN/>
        <w:bidi w:val="0"/>
        <w:adjustRightInd/>
        <w:snapToGrid/>
        <w:spacing w:line="560" w:lineRule="exact"/>
        <w:ind w:left="630" w:leftChars="300"/>
        <w:textAlignment w:val="auto"/>
        <w:rPr>
          <w:rFonts w:ascii="仿宋_GB2312" w:eastAsia="仿宋_GB2312" w:cs="??_GB2312"/>
          <w:color w:val="0C0C0C" w:themeColor="text1" w:themeTint="F2"/>
          <w:sz w:val="32"/>
          <w:szCs w:val="32"/>
        </w:rPr>
      </w:pPr>
      <w:r>
        <w:rPr>
          <w:rFonts w:hint="eastAsia" w:ascii="仿宋_GB2312" w:eastAsia="仿宋_GB2312"/>
          <w:color w:val="0C0C0C" w:themeColor="text1" w:themeTint="F2"/>
          <w:sz w:val="32"/>
          <w:szCs w:val="32"/>
        </w:rPr>
        <w:t>联系电话：</w:t>
      </w:r>
      <w:r>
        <w:rPr>
          <w:rFonts w:hint="eastAsia" w:ascii="仿宋_GB2312" w:eastAsia="仿宋_GB2312" w:cs="??_GB2312"/>
          <w:color w:val="0C0C0C" w:themeColor="text1" w:themeTint="F2"/>
          <w:sz w:val="32"/>
          <w:szCs w:val="32"/>
        </w:rPr>
        <w:t>0771-5319467</w:t>
      </w:r>
    </w:p>
    <w:p>
      <w:pPr>
        <w:keepNext w:val="0"/>
        <w:keepLines w:val="0"/>
        <w:pageBreakBefore w:val="0"/>
        <w:kinsoku/>
        <w:wordWrap/>
        <w:overflowPunct/>
        <w:topLinePunct w:val="0"/>
        <w:autoSpaceDE/>
        <w:autoSpaceDN/>
        <w:bidi w:val="0"/>
        <w:adjustRightInd/>
        <w:snapToGrid/>
        <w:spacing w:line="560" w:lineRule="exact"/>
        <w:ind w:left="1270" w:leftChars="300" w:hanging="640" w:hangingChars="200"/>
        <w:textAlignment w:val="auto"/>
        <w:rPr>
          <w:rFonts w:hint="default" w:ascii="Times New Roman" w:hAnsi="Times New Roman" w:eastAsia="仿宋_GB2312" w:cs="Times New Roman"/>
          <w:color w:val="0C0C0C" w:themeColor="text1" w:themeTint="F2"/>
          <w:sz w:val="32"/>
          <w:szCs w:val="32"/>
        </w:rPr>
      </w:pPr>
      <w:r>
        <w:rPr>
          <w:rFonts w:hint="eastAsia" w:ascii="仿宋_GB2312" w:eastAsia="仿宋_GB2312"/>
          <w:color w:val="0C0C0C" w:themeColor="text1" w:themeTint="F2"/>
          <w:sz w:val="32"/>
          <w:szCs w:val="32"/>
        </w:rPr>
        <w:t>邮    箱：</w:t>
      </w:r>
      <w:r>
        <w:rPr>
          <w:rFonts w:hint="default" w:ascii="Times New Roman" w:hAnsi="Times New Roman" w:eastAsia="仿宋_GB2312" w:cs="Times New Roman"/>
          <w:color w:val="0C0C0C" w:themeColor="text1" w:themeTint="F2"/>
          <w:sz w:val="32"/>
          <w:szCs w:val="32"/>
        </w:rPr>
        <w:t>gxwsjds3k@163.com</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eastAsia="仿宋_GB2312"/>
          <w:color w:val="0C0C0C" w:themeColor="text1" w:themeTint="F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eastAsia="仿宋_GB2312"/>
          <w:color w:val="0C0C0C" w:themeColor="text1" w:themeTint="F2"/>
          <w:kern w:val="0"/>
          <w:sz w:val="32"/>
          <w:szCs w:val="32"/>
        </w:rPr>
      </w:pPr>
      <w:r>
        <w:rPr>
          <w:rFonts w:hint="eastAsia" w:ascii="仿宋_GB2312" w:eastAsia="仿宋_GB2312"/>
          <w:color w:val="0C0C0C" w:themeColor="text1" w:themeTint="F2"/>
          <w:kern w:val="0"/>
          <w:sz w:val="32"/>
          <w:szCs w:val="32"/>
          <w:lang w:eastAsia="zh-CN"/>
        </w:rPr>
        <w:t>　　</w:t>
      </w:r>
      <w:r>
        <w:rPr>
          <w:rFonts w:hint="eastAsia" w:ascii="仿宋_GB2312" w:eastAsia="仿宋_GB2312"/>
          <w:color w:val="0C0C0C" w:themeColor="text1" w:themeTint="F2"/>
          <w:kern w:val="0"/>
          <w:sz w:val="32"/>
          <w:szCs w:val="32"/>
        </w:rPr>
        <w:t>附表：</w:t>
      </w:r>
      <w:r>
        <w:rPr>
          <w:rFonts w:hint="eastAsia" w:ascii="仿宋_GB2312" w:eastAsia="仿宋_GB2312" w:cs="??_GB2312"/>
          <w:color w:val="0C0C0C" w:themeColor="text1" w:themeTint="F2"/>
          <w:kern w:val="0"/>
          <w:sz w:val="32"/>
          <w:szCs w:val="32"/>
        </w:rPr>
        <w:t>1.2020</w:t>
      </w:r>
      <w:r>
        <w:rPr>
          <w:rFonts w:hint="eastAsia" w:ascii="仿宋_GB2312" w:eastAsia="仿宋_GB2312"/>
          <w:color w:val="0C0C0C" w:themeColor="text1" w:themeTint="F2"/>
          <w:kern w:val="0"/>
          <w:sz w:val="32"/>
          <w:szCs w:val="32"/>
        </w:rPr>
        <w:t>年广西尘毒危害企业随机监督抽查计划表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outlineLvl w:val="0"/>
        <w:rPr>
          <w:rFonts w:ascii="仿宋_GB2312" w:eastAsia="仿宋_GB2312"/>
          <w:color w:val="0C0C0C" w:themeColor="text1" w:themeTint="F2"/>
          <w:kern w:val="0"/>
          <w:sz w:val="32"/>
          <w:szCs w:val="32"/>
        </w:rPr>
      </w:pPr>
      <w:r>
        <w:rPr>
          <w:rFonts w:hint="eastAsia" w:ascii="仿宋_GB2312" w:eastAsia="仿宋_GB2312" w:cs="??_GB2312"/>
          <w:color w:val="0C0C0C" w:themeColor="text1" w:themeTint="F2"/>
          <w:kern w:val="0"/>
          <w:sz w:val="32"/>
          <w:szCs w:val="32"/>
          <w:lang w:eastAsia="zh-CN"/>
        </w:rPr>
        <w:t>　　</w:t>
      </w:r>
      <w:r>
        <w:rPr>
          <w:rFonts w:hint="eastAsia" w:ascii="仿宋_GB2312" w:eastAsia="仿宋_GB2312" w:cs="??_GB2312"/>
          <w:color w:val="0C0C0C" w:themeColor="text1" w:themeTint="F2"/>
          <w:kern w:val="0"/>
          <w:sz w:val="32"/>
          <w:szCs w:val="32"/>
        </w:rPr>
        <w:t>2.2020</w:t>
      </w:r>
      <w:r>
        <w:rPr>
          <w:rFonts w:hint="eastAsia" w:ascii="仿宋_GB2312" w:eastAsia="仿宋_GB2312"/>
          <w:color w:val="0C0C0C" w:themeColor="text1" w:themeTint="F2"/>
          <w:kern w:val="0"/>
          <w:sz w:val="32"/>
          <w:szCs w:val="32"/>
        </w:rPr>
        <w:t>年广西尘毒危害企业随机监督抽查检查表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ascii="仿宋_GB2312" w:eastAsia="仿宋_GB2312"/>
          <w:color w:val="0C0C0C" w:themeColor="text1" w:themeTint="F2"/>
          <w:kern w:val="0"/>
          <w:sz w:val="32"/>
          <w:szCs w:val="32"/>
        </w:rPr>
      </w:pPr>
      <w:r>
        <w:rPr>
          <w:rFonts w:hint="eastAsia" w:ascii="仿宋_GB2312" w:eastAsia="仿宋_GB2312" w:cs="??_GB2312"/>
          <w:color w:val="0C0C0C" w:themeColor="text1" w:themeTint="F2"/>
          <w:kern w:val="0"/>
          <w:sz w:val="32"/>
          <w:szCs w:val="32"/>
          <w:lang w:eastAsia="zh-CN"/>
        </w:rPr>
        <w:t>　　</w:t>
      </w:r>
      <w:r>
        <w:rPr>
          <w:rFonts w:hint="eastAsia" w:ascii="仿宋_GB2312" w:eastAsia="仿宋_GB2312" w:cs="??_GB2312"/>
          <w:color w:val="0C0C0C" w:themeColor="text1" w:themeTint="F2"/>
          <w:kern w:val="0"/>
          <w:sz w:val="32"/>
          <w:szCs w:val="32"/>
        </w:rPr>
        <w:t>3.2020</w:t>
      </w:r>
      <w:r>
        <w:rPr>
          <w:rFonts w:hint="eastAsia" w:ascii="仿宋_GB2312" w:eastAsia="仿宋_GB2312"/>
          <w:color w:val="0C0C0C" w:themeColor="text1" w:themeTint="F2"/>
          <w:kern w:val="0"/>
          <w:sz w:val="32"/>
          <w:szCs w:val="32"/>
        </w:rPr>
        <w:t>年广西尘毒危害企业随机监督抽查汇总表</w:t>
      </w:r>
    </w:p>
    <w:p>
      <w:pPr>
        <w:widowControl/>
        <w:spacing w:line="360" w:lineRule="auto"/>
        <w:ind w:firstLine="960" w:firstLineChars="300"/>
        <w:jc w:val="left"/>
        <w:rPr>
          <w:rFonts w:ascii="仿宋_GB2312" w:eastAsia="仿宋_GB2312"/>
          <w:color w:val="0C0C0C" w:themeColor="text1" w:themeTint="F2"/>
          <w:kern w:val="0"/>
          <w:sz w:val="32"/>
          <w:szCs w:val="32"/>
        </w:rPr>
      </w:pPr>
    </w:p>
    <w:p>
      <w:pPr>
        <w:widowControl/>
        <w:spacing w:line="360" w:lineRule="auto"/>
        <w:ind w:firstLine="960" w:firstLineChars="300"/>
        <w:jc w:val="left"/>
        <w:rPr>
          <w:rFonts w:ascii="仿宋_GB2312" w:eastAsia="仿宋_GB2312"/>
          <w:color w:val="0C0C0C" w:themeColor="text1" w:themeTint="F2"/>
          <w:kern w:val="0"/>
          <w:sz w:val="32"/>
          <w:szCs w:val="32"/>
        </w:rPr>
      </w:pPr>
    </w:p>
    <w:p>
      <w:pPr>
        <w:widowControl/>
        <w:spacing w:line="360" w:lineRule="auto"/>
        <w:ind w:firstLine="960" w:firstLineChars="300"/>
        <w:jc w:val="left"/>
        <w:rPr>
          <w:rFonts w:ascii="仿宋_GB2312" w:eastAsia="仿宋_GB2312"/>
          <w:color w:val="0C0C0C" w:themeColor="text1" w:themeTint="F2"/>
          <w:kern w:val="0"/>
          <w:sz w:val="32"/>
          <w:szCs w:val="32"/>
        </w:rPr>
      </w:pPr>
    </w:p>
    <w:p>
      <w:pPr>
        <w:widowControl/>
        <w:spacing w:line="360" w:lineRule="auto"/>
        <w:ind w:firstLine="960" w:firstLineChars="300"/>
        <w:jc w:val="left"/>
        <w:rPr>
          <w:rFonts w:ascii="仿宋_GB2312" w:eastAsia="仿宋_GB2312"/>
          <w:color w:val="0C0C0C" w:themeColor="text1" w:themeTint="F2"/>
          <w:kern w:val="0"/>
          <w:sz w:val="32"/>
          <w:szCs w:val="32"/>
        </w:rPr>
      </w:pPr>
    </w:p>
    <w:p>
      <w:pPr>
        <w:widowControl/>
        <w:spacing w:line="360" w:lineRule="auto"/>
        <w:ind w:firstLine="600" w:firstLineChars="300"/>
        <w:jc w:val="left"/>
        <w:rPr>
          <w:rFonts w:ascii="仿宋_GB2312" w:eastAsia="仿宋_GB2312"/>
          <w:color w:val="0C0C0C" w:themeColor="text1" w:themeTint="F2"/>
          <w:sz w:val="20"/>
          <w:szCs w:val="20"/>
        </w:rPr>
        <w:sectPr>
          <w:footerReference r:id="rId8" w:type="default"/>
          <w:pgSz w:w="11906" w:h="16838"/>
          <w:pgMar w:top="1701" w:right="1417" w:bottom="1417" w:left="1701" w:header="851" w:footer="992" w:gutter="0"/>
          <w:pgNumType w:fmt="decimal"/>
          <w:cols w:space="0" w:num="1"/>
          <w:rtlGutter w:val="0"/>
          <w:docGrid w:type="linesAndChars" w:linePitch="312" w:charSpace="0"/>
        </w:sectPr>
      </w:pPr>
    </w:p>
    <w:p>
      <w:pPr>
        <w:widowControl/>
        <w:spacing w:line="360" w:lineRule="auto"/>
        <w:jc w:val="left"/>
        <w:rPr>
          <w:rFonts w:hint="eastAsia" w:ascii="黑体" w:hAnsi="黑体" w:eastAsia="黑体" w:cs="黑体"/>
          <w:color w:val="0C0C0C" w:themeColor="text1" w:themeTint="F2"/>
          <w:kern w:val="0"/>
          <w:sz w:val="32"/>
          <w:szCs w:val="32"/>
        </w:rPr>
      </w:pPr>
      <w:r>
        <w:rPr>
          <w:rFonts w:hint="eastAsia" w:ascii="黑体" w:hAnsi="黑体" w:eastAsia="黑体" w:cs="黑体"/>
          <w:color w:val="0C0C0C" w:themeColor="text1" w:themeTint="F2"/>
          <w:kern w:val="0"/>
          <w:sz w:val="32"/>
          <w:szCs w:val="32"/>
        </w:rPr>
        <w:t>附表1</w:t>
      </w:r>
    </w:p>
    <w:p>
      <w:pPr>
        <w:widowControl/>
        <w:spacing w:line="360" w:lineRule="auto"/>
        <w:jc w:val="center"/>
        <w:rPr>
          <w:rFonts w:hint="eastAsia" w:ascii="方正小标宋简体" w:hAnsi="方正小标宋简体" w:eastAsia="方正小标宋简体" w:cs="方正小标宋简体"/>
          <w:color w:val="0C0C0C" w:themeColor="text1" w:themeTint="F2"/>
          <w:kern w:val="0"/>
          <w:sz w:val="44"/>
          <w:szCs w:val="44"/>
        </w:rPr>
      </w:pPr>
      <w:r>
        <w:rPr>
          <w:rFonts w:hint="eastAsia" w:ascii="方正小标宋简体" w:hAnsi="方正小标宋简体" w:eastAsia="方正小标宋简体" w:cs="方正小标宋简体"/>
          <w:color w:val="0C0C0C" w:themeColor="text1" w:themeTint="F2"/>
          <w:kern w:val="0"/>
          <w:sz w:val="44"/>
          <w:szCs w:val="44"/>
        </w:rPr>
        <w:t>2020年广西尘毒危害企业随机监督抽查计划表</w:t>
      </w:r>
    </w:p>
    <w:tbl>
      <w:tblPr>
        <w:tblStyle w:val="7"/>
        <w:tblW w:w="141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2268"/>
        <w:gridCol w:w="949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抽查对象</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抽查范围和数量</w:t>
            </w:r>
          </w:p>
        </w:tc>
        <w:tc>
          <w:tcPr>
            <w:tcW w:w="949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kern w:val="0"/>
                <w:sz w:val="24"/>
                <w:szCs w:val="24"/>
              </w:rPr>
              <w:t>重点检查内容</w:t>
            </w:r>
          </w:p>
        </w:tc>
        <w:tc>
          <w:tcPr>
            <w:tcW w:w="10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C0C0C" w:themeColor="text1" w:themeTint="F2"/>
                <w:sz w:val="24"/>
                <w:szCs w:val="24"/>
              </w:rPr>
            </w:pPr>
            <w:r>
              <w:rPr>
                <w:rFonts w:hint="eastAsia" w:ascii="黑体" w:hAnsi="黑体" w:eastAsia="黑体" w:cs="黑体"/>
                <w:color w:val="0C0C0C" w:themeColor="text1" w:themeTint="F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38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kern w:val="0"/>
                <w:sz w:val="24"/>
                <w:szCs w:val="24"/>
              </w:rPr>
              <w:t>矿山、冶金、建材、化工等重点行业领域的企业</w:t>
            </w:r>
          </w:p>
        </w:tc>
        <w:tc>
          <w:tcPr>
            <w:tcW w:w="226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kern w:val="0"/>
                <w:sz w:val="24"/>
                <w:szCs w:val="24"/>
              </w:rPr>
              <w:t>辖区内在国家职业病危害项目申报系统注册的重点行业领域企业应查尽查</w:t>
            </w:r>
          </w:p>
        </w:tc>
        <w:tc>
          <w:tcPr>
            <w:tcW w:w="949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ascii="仿宋_GB2312" w:eastAsia="仿宋_GB2312"/>
                <w:color w:val="0C0C0C" w:themeColor="text1" w:themeTint="F2"/>
                <w:sz w:val="24"/>
                <w:szCs w:val="24"/>
              </w:rPr>
            </w:pPr>
            <w:r>
              <w:rPr>
                <w:rFonts w:hint="eastAsia" w:ascii="仿宋_GB2312" w:eastAsia="仿宋_GB2312"/>
                <w:color w:val="0C0C0C" w:themeColor="text1" w:themeTint="F2"/>
                <w:kern w:val="0"/>
                <w:sz w:val="24"/>
                <w:szCs w:val="24"/>
              </w:rPr>
              <w:t>围绕职业病危害项目管理情况、</w:t>
            </w:r>
            <w:r>
              <w:rPr>
                <w:rFonts w:hint="eastAsia" w:ascii="仿宋_GB2312" w:eastAsia="仿宋_GB2312"/>
                <w:color w:val="0C0C0C" w:themeColor="text1" w:themeTint="F2"/>
                <w:kern w:val="0"/>
                <w:sz w:val="24"/>
                <w:szCs w:val="24"/>
                <w:lang w:eastAsia="zh-CN"/>
              </w:rPr>
              <w:t>职业病防治管理措施、</w:t>
            </w:r>
            <w:r>
              <w:rPr>
                <w:rFonts w:hint="eastAsia" w:ascii="仿宋_GB2312" w:eastAsia="仿宋_GB2312"/>
                <w:color w:val="0C0C0C" w:themeColor="text1" w:themeTint="F2"/>
                <w:kern w:val="0"/>
                <w:sz w:val="24"/>
                <w:szCs w:val="24"/>
              </w:rPr>
              <w:t>工作场所职业病危害因素管理情况、劳动者职业健康监护情况、职业健康培训情况等关键环节，着力查处以下违法行为：1.新建、扩建、改建建设项目和技术改造、技术引进项目，未按照规定进行职业病危害预评价、职业病防护设施设计、职业病危害控制效果评价和职业病防护设施竣工验收的；2.未按照规定及时、如实申报职业病危害项目的；3.</w:t>
            </w:r>
            <w:r>
              <w:rPr>
                <w:rFonts w:hint="eastAsia" w:ascii="仿宋_GB2312" w:eastAsia="仿宋_GB2312"/>
                <w:color w:val="0C0C0C" w:themeColor="text1" w:themeTint="F2"/>
                <w:kern w:val="0"/>
                <w:sz w:val="24"/>
                <w:szCs w:val="24"/>
                <w:lang w:eastAsia="zh-CN"/>
              </w:rPr>
              <w:t>未</w:t>
            </w:r>
            <w:r>
              <w:rPr>
                <w:rFonts w:hint="eastAsia" w:ascii="仿宋_GB2312" w:eastAsia="仿宋_GB2312"/>
                <w:color w:val="0C0C0C" w:themeColor="text1" w:themeTint="F2"/>
                <w:kern w:val="0"/>
                <w:sz w:val="24"/>
                <w:szCs w:val="24"/>
              </w:rPr>
              <w:t>按照规定公布有关职业病防治规章制度、操作规程、职业病危害事故应急救援措施</w:t>
            </w:r>
            <w:r>
              <w:rPr>
                <w:rFonts w:hint="eastAsia" w:ascii="仿宋_GB2312" w:eastAsia="仿宋_GB2312"/>
                <w:color w:val="0C0C0C" w:themeColor="text1" w:themeTint="F2"/>
                <w:kern w:val="0"/>
                <w:sz w:val="24"/>
                <w:szCs w:val="24"/>
                <w:lang w:eastAsia="zh-CN"/>
              </w:rPr>
              <w:t>；</w:t>
            </w:r>
            <w:r>
              <w:rPr>
                <w:rFonts w:hint="eastAsia" w:ascii="仿宋_GB2312" w:eastAsia="仿宋_GB2312"/>
                <w:color w:val="0C0C0C" w:themeColor="text1" w:themeTint="F2"/>
                <w:kern w:val="0"/>
                <w:sz w:val="24"/>
                <w:szCs w:val="24"/>
              </w:rPr>
              <w:t>4.</w:t>
            </w:r>
            <w:r>
              <w:rPr>
                <w:rFonts w:hint="eastAsia" w:ascii="仿宋_GB2312" w:eastAsia="仿宋_GB2312"/>
                <w:color w:val="0C0C0C" w:themeColor="text1" w:themeTint="F2"/>
                <w:kern w:val="0"/>
                <w:sz w:val="24"/>
                <w:szCs w:val="24"/>
                <w:lang w:eastAsia="zh-CN"/>
              </w:rPr>
              <w:t>未</w:t>
            </w:r>
            <w:r>
              <w:rPr>
                <w:rFonts w:hint="eastAsia" w:ascii="仿宋_GB2312" w:eastAsia="仿宋_GB2312"/>
                <w:color w:val="0C0C0C" w:themeColor="text1" w:themeTint="F2"/>
                <w:kern w:val="0"/>
                <w:sz w:val="24"/>
                <w:szCs w:val="24"/>
              </w:rPr>
              <w:t>按照规定在产生严重职业病危害的作业岗位醒目位置设置警示标识和中文警示说明</w:t>
            </w:r>
            <w:r>
              <w:rPr>
                <w:rFonts w:hint="eastAsia" w:ascii="仿宋_GB2312" w:eastAsia="仿宋_GB2312"/>
                <w:color w:val="0C0C0C" w:themeColor="text1" w:themeTint="F2"/>
                <w:kern w:val="0"/>
                <w:sz w:val="24"/>
                <w:szCs w:val="24"/>
                <w:lang w:eastAsia="zh-CN"/>
              </w:rPr>
              <w:t>；</w:t>
            </w:r>
            <w:r>
              <w:rPr>
                <w:rFonts w:hint="eastAsia" w:ascii="仿宋_GB2312" w:eastAsia="仿宋_GB2312"/>
                <w:color w:val="0C0C0C" w:themeColor="text1" w:themeTint="F2"/>
                <w:kern w:val="0"/>
                <w:sz w:val="24"/>
                <w:szCs w:val="24"/>
                <w:lang w:val="en-US" w:eastAsia="zh-CN"/>
              </w:rPr>
              <w:t>5</w:t>
            </w:r>
            <w:r>
              <w:rPr>
                <w:rFonts w:hint="eastAsia" w:ascii="仿宋_GB2312" w:eastAsia="仿宋_GB2312"/>
                <w:color w:val="0C0C0C" w:themeColor="text1" w:themeTint="F2"/>
                <w:kern w:val="0"/>
                <w:sz w:val="24"/>
                <w:szCs w:val="24"/>
              </w:rPr>
              <w:t>.未按照规定对工作场所进行职业病危害因素检测、评价的，以及工作场所职业病危害因素检测不合格未采取有效工程或个体防护措施的；</w:t>
            </w:r>
            <w:r>
              <w:rPr>
                <w:rFonts w:hint="eastAsia" w:ascii="仿宋_GB2312" w:eastAsia="仿宋_GB2312"/>
                <w:color w:val="0C0C0C" w:themeColor="text1" w:themeTint="F2"/>
                <w:kern w:val="0"/>
                <w:sz w:val="24"/>
                <w:szCs w:val="24"/>
                <w:lang w:val="en-US" w:eastAsia="zh-CN"/>
              </w:rPr>
              <w:t>6</w:t>
            </w:r>
            <w:r>
              <w:rPr>
                <w:rFonts w:hint="eastAsia" w:ascii="仿宋_GB2312" w:eastAsia="仿宋_GB2312"/>
                <w:color w:val="0C0C0C" w:themeColor="text1" w:themeTint="F2"/>
                <w:kern w:val="0"/>
                <w:sz w:val="24"/>
                <w:szCs w:val="24"/>
              </w:rPr>
              <w:t>.未按照规定组织劳动者职业健康检查、建立职业健康监护档案的；</w:t>
            </w:r>
            <w:r>
              <w:rPr>
                <w:rFonts w:hint="eastAsia" w:ascii="仿宋_GB2312" w:eastAsia="仿宋_GB2312"/>
                <w:color w:val="0C0C0C" w:themeColor="text1" w:themeTint="F2"/>
                <w:kern w:val="0"/>
                <w:sz w:val="24"/>
                <w:szCs w:val="24"/>
                <w:lang w:val="en-US" w:eastAsia="zh-CN"/>
              </w:rPr>
              <w:t>7</w:t>
            </w:r>
            <w:r>
              <w:rPr>
                <w:rFonts w:hint="eastAsia" w:ascii="仿宋_GB2312" w:eastAsia="仿宋_GB2312"/>
                <w:color w:val="0C0C0C" w:themeColor="text1" w:themeTint="F2"/>
                <w:kern w:val="0"/>
                <w:sz w:val="24"/>
                <w:szCs w:val="24"/>
              </w:rPr>
              <w:t>.用人单位主要负责人、职业健康管理人员和劳动者未按照规定接受职业健康培训的。</w:t>
            </w:r>
          </w:p>
        </w:tc>
        <w:tc>
          <w:tcPr>
            <w:tcW w:w="1025"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_GB2312" w:eastAsia="仿宋_GB2312"/>
                <w:color w:val="0C0C0C" w:themeColor="text1" w:themeTint="F2"/>
                <w:sz w:val="24"/>
                <w:szCs w:val="24"/>
              </w:rPr>
            </w:pPr>
          </w:p>
        </w:tc>
      </w:tr>
    </w:tbl>
    <w:p>
      <w:pPr>
        <w:widowControl/>
        <w:spacing w:line="360" w:lineRule="auto"/>
        <w:jc w:val="left"/>
        <w:rPr>
          <w:rFonts w:hint="eastAsia" w:ascii="仿宋_GB2312" w:hAnsi="仿宋_GB2312" w:eastAsia="仿宋_GB2312" w:cs="仿宋_GB2312"/>
          <w:color w:val="0C0C0C" w:themeColor="text1" w:themeTint="F2"/>
          <w:sz w:val="24"/>
          <w:szCs w:val="24"/>
        </w:rPr>
        <w:sectPr>
          <w:pgSz w:w="16838" w:h="11906" w:orient="landscape"/>
          <w:pgMar w:top="1701" w:right="1417" w:bottom="1417" w:left="1417" w:header="851" w:footer="992" w:gutter="0"/>
          <w:pgNumType w:fmt="decimal"/>
          <w:cols w:space="0" w:num="1"/>
          <w:rtlGutter w:val="0"/>
          <w:docGrid w:type="lines" w:linePitch="312" w:charSpace="0"/>
        </w:sectPr>
      </w:pPr>
      <w:r>
        <w:rPr>
          <w:rFonts w:hint="eastAsia" w:ascii="仿宋_GB2312" w:hAnsi="仿宋_GB2312" w:eastAsia="仿宋_GB2312" w:cs="仿宋_GB2312"/>
          <w:color w:val="0C0C0C" w:themeColor="text1" w:themeTint="F2"/>
          <w:sz w:val="24"/>
          <w:szCs w:val="24"/>
          <w:lang w:eastAsia="zh-CN"/>
        </w:rPr>
        <w:t>　　</w:t>
      </w:r>
      <w:r>
        <w:rPr>
          <w:rFonts w:hint="eastAsia" w:ascii="仿宋_GB2312" w:hAnsi="仿宋_GB2312" w:eastAsia="仿宋_GB2312" w:cs="仿宋_GB2312"/>
          <w:color w:val="0C0C0C" w:themeColor="text1" w:themeTint="F2"/>
          <w:sz w:val="24"/>
          <w:szCs w:val="24"/>
        </w:rPr>
        <w:t>注：重点检查内容的的检查方法、违法行为的处罚依据等</w:t>
      </w:r>
      <w:r>
        <w:rPr>
          <w:rFonts w:hint="eastAsia" w:ascii="仿宋_GB2312" w:hAnsi="仿宋_GB2312" w:eastAsia="仿宋_GB2312" w:cs="仿宋_GB2312"/>
          <w:color w:val="0C0C0C" w:themeColor="text1" w:themeTint="F2"/>
          <w:sz w:val="24"/>
          <w:szCs w:val="24"/>
          <w:lang w:eastAsia="zh-CN"/>
        </w:rPr>
        <w:t>参</w:t>
      </w:r>
      <w:r>
        <w:rPr>
          <w:rFonts w:hint="eastAsia" w:ascii="仿宋_GB2312" w:hAnsi="仿宋_GB2312" w:eastAsia="仿宋_GB2312" w:cs="仿宋_GB2312"/>
          <w:color w:val="0C0C0C" w:themeColor="text1" w:themeTint="F2"/>
          <w:sz w:val="24"/>
          <w:szCs w:val="24"/>
        </w:rPr>
        <w:t>照《自治区卫生健康委关于印发广西壮族自治区尘毒危害专项执法工作实施方案的通知》（桂卫监督发〔2019〕5号）的要求执行。</w:t>
      </w:r>
    </w:p>
    <w:p>
      <w:pPr>
        <w:widowControl/>
        <w:spacing w:line="360" w:lineRule="auto"/>
        <w:jc w:val="left"/>
        <w:rPr>
          <w:rFonts w:hint="eastAsia" w:ascii="黑体" w:hAnsi="黑体" w:eastAsia="黑体" w:cs="黑体"/>
          <w:color w:val="0C0C0C" w:themeColor="text1" w:themeTint="F2"/>
          <w:kern w:val="0"/>
          <w:sz w:val="32"/>
          <w:szCs w:val="32"/>
        </w:rPr>
      </w:pPr>
      <w:r>
        <w:rPr>
          <w:rFonts w:hint="eastAsia" w:ascii="黑体" w:hAnsi="黑体" w:eastAsia="黑体" w:cs="黑体"/>
          <w:color w:val="0C0C0C" w:themeColor="text1" w:themeTint="F2"/>
          <w:kern w:val="0"/>
          <w:sz w:val="32"/>
          <w:szCs w:val="32"/>
        </w:rPr>
        <w:t>附表2</w:t>
      </w:r>
    </w:p>
    <w:p>
      <w:pPr>
        <w:widowControl/>
        <w:spacing w:line="360" w:lineRule="auto"/>
        <w:jc w:val="center"/>
        <w:rPr>
          <w:rFonts w:hint="eastAsia" w:ascii="方正小标宋简体" w:hAnsi="方正小标宋简体" w:eastAsia="方正小标宋简体" w:cs="方正小标宋简体"/>
          <w:color w:val="0C0C0C" w:themeColor="text1" w:themeTint="F2"/>
          <w:spacing w:val="-11"/>
          <w:kern w:val="0"/>
          <w:sz w:val="44"/>
          <w:szCs w:val="44"/>
        </w:rPr>
      </w:pPr>
      <w:r>
        <w:rPr>
          <w:rFonts w:hint="eastAsia" w:ascii="方正小标宋简体" w:hAnsi="方正小标宋简体" w:eastAsia="方正小标宋简体" w:cs="方正小标宋简体"/>
          <w:color w:val="0C0C0C" w:themeColor="text1" w:themeTint="F2"/>
          <w:spacing w:val="-11"/>
          <w:kern w:val="0"/>
          <w:sz w:val="44"/>
          <w:szCs w:val="44"/>
        </w:rPr>
        <w:t>2020年广西尘毒危害企业随机监督抽查检查表</w:t>
      </w:r>
    </w:p>
    <w:p>
      <w:pPr>
        <w:keepNext w:val="0"/>
        <w:keepLines w:val="0"/>
        <w:pageBreakBefore w:val="0"/>
        <w:widowControl w:val="0"/>
        <w:kinsoku/>
        <w:wordWrap/>
        <w:overflowPunct/>
        <w:topLinePunct w:val="0"/>
        <w:autoSpaceDE/>
        <w:autoSpaceDN/>
        <w:bidi w:val="0"/>
        <w:adjustRightInd/>
        <w:snapToGrid/>
        <w:spacing w:line="280" w:lineRule="exact"/>
        <w:ind w:left="105" w:right="108" w:hanging="105"/>
        <w:textAlignment w:val="auto"/>
        <w:outlineLvl w:val="9"/>
        <w:rPr>
          <w:rFonts w:hint="eastAsia" w:ascii="黑体" w:hAnsi="黑体" w:eastAsia="黑体" w:cs="黑体"/>
          <w:color w:val="0C0C0C" w:themeColor="text1" w:themeTint="F2"/>
        </w:rPr>
      </w:pPr>
      <w:r>
        <w:rPr>
          <w:rFonts w:hint="eastAsia" w:ascii="黑体" w:hAnsi="黑体" w:eastAsia="黑体" w:cs="黑体"/>
          <w:color w:val="0C0C0C" w:themeColor="text1" w:themeTint="F2"/>
        </w:rPr>
        <w:t>一、基本情况</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rPr>
      </w:pPr>
      <w:r>
        <w:rPr>
          <w:rFonts w:hint="eastAsia" w:ascii="仿宋_GB2312" w:eastAsia="仿宋_GB2312" w:cs="宋体"/>
          <w:color w:val="0C0C0C" w:themeColor="text1" w:themeTint="F2"/>
        </w:rPr>
        <w:t>企业名称：</w:t>
      </w:r>
      <w:r>
        <w:rPr>
          <w:rFonts w:hint="eastAsia" w:ascii="仿宋_GB2312" w:eastAsia="仿宋_GB2312"/>
          <w:color w:val="0C0C0C" w:themeColor="text1" w:themeTint="F2"/>
          <w:u w:val="single"/>
        </w:rPr>
        <w:t xml:space="preserve">                         </w:t>
      </w:r>
      <w:r>
        <w:rPr>
          <w:rFonts w:hint="eastAsia" w:ascii="仿宋_GB2312" w:eastAsia="仿宋_GB2312" w:cs="宋体"/>
          <w:color w:val="0C0C0C" w:themeColor="text1" w:themeTint="F2"/>
        </w:rPr>
        <w:t>；地址：</w:t>
      </w:r>
      <w:r>
        <w:rPr>
          <w:rFonts w:hint="eastAsia" w:ascii="仿宋_GB2312" w:eastAsia="仿宋_GB2312"/>
          <w:color w:val="0C0C0C" w:themeColor="text1" w:themeTint="F2"/>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rPr>
      </w:pPr>
      <w:r>
        <w:rPr>
          <w:rFonts w:hint="eastAsia" w:ascii="仿宋_GB2312" w:eastAsia="仿宋_GB2312" w:cs="宋体"/>
          <w:color w:val="0C0C0C" w:themeColor="text1" w:themeTint="F2"/>
        </w:rPr>
        <w:t>法定代表人：</w:t>
      </w:r>
      <w:r>
        <w:rPr>
          <w:rFonts w:hint="eastAsia" w:ascii="仿宋_GB2312" w:eastAsia="仿宋_GB2312"/>
          <w:color w:val="0C0C0C" w:themeColor="text1" w:themeTint="F2"/>
          <w:u w:val="single"/>
        </w:rPr>
        <w:t xml:space="preserve">             </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联系人：</w:t>
      </w:r>
      <w:r>
        <w:rPr>
          <w:rFonts w:hint="eastAsia" w:ascii="仿宋_GB2312" w:eastAsia="仿宋_GB2312"/>
          <w:color w:val="0C0C0C" w:themeColor="text1" w:themeTint="F2"/>
          <w:u w:val="single"/>
        </w:rPr>
        <w:t xml:space="preserve">             </w:t>
      </w:r>
      <w:r>
        <w:rPr>
          <w:rFonts w:hint="eastAsia" w:ascii="仿宋_GB2312" w:eastAsia="仿宋_GB2312" w:cs="宋体"/>
          <w:color w:val="0C0C0C" w:themeColor="text1" w:themeTint="F2"/>
        </w:rPr>
        <w:t>联系电话：</w:t>
      </w:r>
      <w:r>
        <w:rPr>
          <w:rFonts w:hint="eastAsia" w:ascii="仿宋_GB2312" w:eastAsia="仿宋_GB2312"/>
          <w:color w:val="0C0C0C" w:themeColor="text1" w:themeTint="F2"/>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rPr>
      </w:pPr>
      <w:r>
        <w:rPr>
          <w:rFonts w:hint="eastAsia" w:ascii="仿宋_GB2312" w:eastAsia="仿宋_GB2312" w:cs="宋体"/>
          <w:color w:val="0C0C0C" w:themeColor="text1" w:themeTint="F2"/>
        </w:rPr>
        <w:t>从业人员总数：</w:t>
      </w:r>
      <w:r>
        <w:rPr>
          <w:rFonts w:hint="eastAsia" w:ascii="仿宋_GB2312" w:eastAsia="仿宋_GB2312"/>
          <w:color w:val="0C0C0C" w:themeColor="text1" w:themeTint="F2"/>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rPr>
      </w:pPr>
      <w:r>
        <w:rPr>
          <w:rFonts w:hint="eastAsia" w:ascii="仿宋_GB2312" w:eastAsia="仿宋_GB2312" w:cs="宋体"/>
          <w:color w:val="0C0C0C" w:themeColor="text1" w:themeTint="F2"/>
        </w:rPr>
        <w:t>所属行业：</w:t>
      </w:r>
      <w:r>
        <w:rPr>
          <w:rFonts w:hint="eastAsia" w:ascii="仿宋_GB2312" w:eastAsia="仿宋_GB2312"/>
          <w:color w:val="0C0C0C" w:themeColor="text1" w:themeTint="F2"/>
        </w:rPr>
        <w:t>1.</w:t>
      </w:r>
      <w:r>
        <w:rPr>
          <w:rFonts w:hint="eastAsia" w:ascii="仿宋_GB2312" w:eastAsia="仿宋_GB2312" w:cs="宋体"/>
          <w:color w:val="0C0C0C" w:themeColor="text1" w:themeTint="F2"/>
        </w:rPr>
        <w:t>□矿山（□井工煤矿</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□露天煤矿</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□非煤地下矿山</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□非煤露天矿山）</w:t>
      </w:r>
    </w:p>
    <w:p>
      <w:pPr>
        <w:keepNext w:val="0"/>
        <w:keepLines w:val="0"/>
        <w:pageBreakBefore w:val="0"/>
        <w:widowControl w:val="0"/>
        <w:kinsoku/>
        <w:wordWrap/>
        <w:overflowPunct/>
        <w:topLinePunct w:val="0"/>
        <w:autoSpaceDE/>
        <w:autoSpaceDN/>
        <w:bidi w:val="0"/>
        <w:adjustRightInd/>
        <w:snapToGrid/>
        <w:spacing w:line="280" w:lineRule="exact"/>
        <w:ind w:right="108" w:firstLine="1050" w:firstLineChars="500"/>
        <w:textAlignment w:val="auto"/>
        <w:outlineLvl w:val="9"/>
        <w:rPr>
          <w:rFonts w:ascii="仿宋_GB2312" w:eastAsia="仿宋_GB2312"/>
          <w:color w:val="0C0C0C" w:themeColor="text1" w:themeTint="F2"/>
        </w:rPr>
      </w:pPr>
      <w:r>
        <w:rPr>
          <w:rFonts w:hint="eastAsia" w:ascii="仿宋_GB2312" w:eastAsia="仿宋_GB2312"/>
          <w:color w:val="0C0C0C" w:themeColor="text1" w:themeTint="F2"/>
        </w:rPr>
        <w:t>2.</w:t>
      </w:r>
      <w:r>
        <w:rPr>
          <w:rFonts w:hint="eastAsia" w:ascii="仿宋_GB2312" w:eastAsia="仿宋_GB2312" w:cs="宋体"/>
          <w:color w:val="0C0C0C" w:themeColor="text1" w:themeTint="F2"/>
        </w:rPr>
        <w:t>□冶金（□黑色金属冶炼</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□有色金属冶炼）</w:t>
      </w:r>
    </w:p>
    <w:p>
      <w:pPr>
        <w:keepNext w:val="0"/>
        <w:keepLines w:val="0"/>
        <w:pageBreakBefore w:val="0"/>
        <w:widowControl w:val="0"/>
        <w:kinsoku/>
        <w:wordWrap/>
        <w:overflowPunct/>
        <w:topLinePunct w:val="0"/>
        <w:autoSpaceDE/>
        <w:autoSpaceDN/>
        <w:bidi w:val="0"/>
        <w:adjustRightInd/>
        <w:snapToGrid/>
        <w:spacing w:line="280" w:lineRule="exact"/>
        <w:ind w:left="105" w:right="108" w:firstLine="945" w:firstLineChars="450"/>
        <w:textAlignment w:val="auto"/>
        <w:outlineLvl w:val="9"/>
        <w:rPr>
          <w:rFonts w:ascii="仿宋_GB2312" w:eastAsia="仿宋_GB2312"/>
          <w:color w:val="0C0C0C" w:themeColor="text1" w:themeTint="F2"/>
        </w:rPr>
      </w:pPr>
      <w:r>
        <w:rPr>
          <w:rFonts w:hint="eastAsia" w:ascii="仿宋_GB2312" w:eastAsia="仿宋_GB2312"/>
          <w:color w:val="0C0C0C" w:themeColor="text1" w:themeTint="F2"/>
        </w:rPr>
        <w:t>3.</w:t>
      </w:r>
      <w:r>
        <w:rPr>
          <w:rFonts w:hint="eastAsia" w:ascii="仿宋_GB2312" w:eastAsia="仿宋_GB2312" w:cs="宋体"/>
          <w:color w:val="0C0C0C" w:themeColor="text1" w:themeTint="F2"/>
        </w:rPr>
        <w:t>□化工（□炼油</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□化工）</w:t>
      </w:r>
    </w:p>
    <w:p>
      <w:pPr>
        <w:keepNext w:val="0"/>
        <w:keepLines w:val="0"/>
        <w:pageBreakBefore w:val="0"/>
        <w:widowControl w:val="0"/>
        <w:kinsoku/>
        <w:wordWrap/>
        <w:overflowPunct/>
        <w:topLinePunct w:val="0"/>
        <w:autoSpaceDE/>
        <w:autoSpaceDN/>
        <w:bidi w:val="0"/>
        <w:adjustRightInd/>
        <w:snapToGrid/>
        <w:spacing w:line="280" w:lineRule="exact"/>
        <w:ind w:left="105" w:right="108" w:firstLine="945" w:firstLineChars="450"/>
        <w:textAlignment w:val="auto"/>
        <w:outlineLvl w:val="9"/>
        <w:rPr>
          <w:rFonts w:ascii="仿宋_GB2312" w:eastAsia="仿宋_GB2312"/>
          <w:color w:val="0C0C0C" w:themeColor="text1" w:themeTint="F2"/>
        </w:rPr>
      </w:pPr>
      <w:r>
        <w:rPr>
          <w:rFonts w:hint="eastAsia" w:ascii="仿宋_GB2312" w:eastAsia="仿宋_GB2312"/>
          <w:color w:val="0C0C0C" w:themeColor="text1" w:themeTint="F2"/>
        </w:rPr>
        <w:t>4.</w:t>
      </w:r>
      <w:r>
        <w:rPr>
          <w:rFonts w:hint="eastAsia" w:ascii="仿宋_GB2312" w:eastAsia="仿宋_GB2312" w:cs="宋体"/>
          <w:color w:val="0C0C0C" w:themeColor="text1" w:themeTint="F2"/>
        </w:rPr>
        <w:t>□建材（石材加工</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□水泥生产（制造）</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□陶瓷制造</w:t>
      </w:r>
      <w:r>
        <w:rPr>
          <w:rFonts w:hint="eastAsia" w:ascii="仿宋_GB2312" w:eastAsia="仿宋_GB2312"/>
          <w:color w:val="0C0C0C" w:themeColor="text1" w:themeTint="F2"/>
        </w:rPr>
        <w:t xml:space="preserve">   </w:t>
      </w:r>
      <w:r>
        <w:rPr>
          <w:rFonts w:hint="eastAsia" w:ascii="仿宋_GB2312" w:eastAsia="仿宋_GB2312" w:cs="宋体"/>
          <w:color w:val="0C0C0C" w:themeColor="text1" w:themeTint="F2"/>
        </w:rPr>
        <w:t>□耐火材料制造）</w:t>
      </w:r>
    </w:p>
    <w:p>
      <w:pPr>
        <w:keepNext w:val="0"/>
        <w:keepLines w:val="0"/>
        <w:pageBreakBefore w:val="0"/>
        <w:widowControl w:val="0"/>
        <w:kinsoku/>
        <w:wordWrap/>
        <w:overflowPunct/>
        <w:topLinePunct w:val="0"/>
        <w:autoSpaceDE/>
        <w:autoSpaceDN/>
        <w:bidi w:val="0"/>
        <w:adjustRightInd/>
        <w:snapToGrid/>
        <w:spacing w:line="280" w:lineRule="exact"/>
        <w:ind w:left="105" w:right="108" w:firstLine="945" w:firstLineChars="450"/>
        <w:textAlignment w:val="auto"/>
        <w:outlineLvl w:val="9"/>
        <w:rPr>
          <w:rFonts w:hint="eastAsia" w:ascii="仿宋_GB2312" w:eastAsia="仿宋_GB2312"/>
          <w:color w:val="0C0C0C" w:themeColor="text1" w:themeTint="F2"/>
          <w:u w:val="single"/>
        </w:rPr>
      </w:pPr>
      <w:r>
        <w:rPr>
          <w:rFonts w:hint="eastAsia" w:ascii="仿宋_GB2312" w:eastAsia="仿宋_GB2312"/>
          <w:color w:val="0C0C0C" w:themeColor="text1" w:themeTint="F2"/>
        </w:rPr>
        <w:t>5.</w:t>
      </w:r>
      <w:r>
        <w:rPr>
          <w:rFonts w:hint="eastAsia" w:ascii="仿宋_GB2312" w:eastAsia="仿宋_GB2312" w:cs="宋体"/>
          <w:color w:val="0C0C0C" w:themeColor="text1" w:themeTint="F2"/>
        </w:rPr>
        <w:t>□其他：</w:t>
      </w:r>
      <w:r>
        <w:rPr>
          <w:rFonts w:hint="eastAsia" w:ascii="仿宋_GB2312" w:eastAsia="仿宋_GB2312"/>
          <w:color w:val="0C0C0C" w:themeColor="text1" w:themeTint="F2"/>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hint="eastAsia" w:ascii="仿宋_GB2312" w:eastAsia="仿宋_GB2312"/>
          <w:color w:val="0C0C0C" w:themeColor="text1" w:themeTint="F2"/>
          <w:u w:val="none"/>
          <w:lang w:eastAsia="zh-CN"/>
        </w:rPr>
      </w:pPr>
      <w:r>
        <w:rPr>
          <w:rFonts w:hint="eastAsia" w:ascii="仿宋_GB2312" w:eastAsia="仿宋_GB2312"/>
          <w:color w:val="0C0C0C" w:themeColor="text1" w:themeTint="F2"/>
          <w:u w:val="none"/>
          <w:lang w:eastAsia="zh-CN"/>
        </w:rPr>
        <w:t>经营状况：</w:t>
      </w:r>
      <w:r>
        <w:rPr>
          <w:rFonts w:hint="eastAsia" w:ascii="仿宋_GB2312" w:eastAsia="仿宋_GB2312" w:cs="宋体"/>
          <w:color w:val="0C0C0C" w:themeColor="text1" w:themeTint="F2"/>
        </w:rPr>
        <w:t>□</w:t>
      </w:r>
      <w:r>
        <w:rPr>
          <w:rFonts w:hint="eastAsia" w:ascii="仿宋_GB2312" w:eastAsia="仿宋_GB2312" w:cs="宋体"/>
          <w:color w:val="0C0C0C" w:themeColor="text1" w:themeTint="F2"/>
          <w:lang w:eastAsia="zh-CN"/>
        </w:rPr>
        <w:t>正常　</w:t>
      </w:r>
      <w:r>
        <w:rPr>
          <w:rFonts w:hint="eastAsia" w:ascii="仿宋_GB2312" w:eastAsia="仿宋_GB2312" w:cs="宋体"/>
          <w:color w:val="0C0C0C" w:themeColor="text1" w:themeTint="F2"/>
        </w:rPr>
        <w:t>□</w:t>
      </w:r>
      <w:r>
        <w:rPr>
          <w:rFonts w:hint="eastAsia" w:ascii="仿宋_GB2312" w:eastAsia="仿宋_GB2312" w:cs="宋体"/>
          <w:color w:val="0C0C0C" w:themeColor="text1" w:themeTint="F2"/>
          <w:lang w:eastAsia="zh-CN"/>
        </w:rPr>
        <w:t>关闭</w:t>
      </w:r>
    </w:p>
    <w:p>
      <w:pPr>
        <w:keepNext w:val="0"/>
        <w:keepLines w:val="0"/>
        <w:pageBreakBefore w:val="0"/>
        <w:widowControl w:val="0"/>
        <w:kinsoku/>
        <w:wordWrap/>
        <w:overflowPunct/>
        <w:topLinePunct w:val="0"/>
        <w:autoSpaceDE/>
        <w:autoSpaceDN/>
        <w:bidi w:val="0"/>
        <w:adjustRightInd/>
        <w:snapToGrid/>
        <w:spacing w:line="280" w:lineRule="exact"/>
        <w:ind w:left="105" w:right="108" w:hanging="105"/>
        <w:textAlignment w:val="auto"/>
        <w:outlineLvl w:val="9"/>
        <w:rPr>
          <w:rFonts w:hint="eastAsia" w:ascii="黑体" w:hAnsi="黑体" w:eastAsia="黑体" w:cs="黑体"/>
          <w:color w:val="0C0C0C" w:themeColor="text1" w:themeTint="F2"/>
        </w:rPr>
      </w:pPr>
      <w:r>
        <w:rPr>
          <w:rFonts w:hint="eastAsia" w:ascii="黑体" w:hAnsi="黑体" w:eastAsia="黑体" w:cs="黑体"/>
          <w:color w:val="0C0C0C" w:themeColor="text1" w:themeTint="F2"/>
        </w:rPr>
        <w:t>二、监督检查内容</w:t>
      </w:r>
    </w:p>
    <w:tbl>
      <w:tblPr>
        <w:tblStyle w:val="7"/>
        <w:tblW w:w="10773" w:type="dxa"/>
        <w:tblInd w:w="-933" w:type="dxa"/>
        <w:tblLayout w:type="fixed"/>
        <w:tblCellMar>
          <w:top w:w="0" w:type="dxa"/>
          <w:left w:w="108" w:type="dxa"/>
          <w:bottom w:w="0" w:type="dxa"/>
          <w:right w:w="108" w:type="dxa"/>
        </w:tblCellMar>
      </w:tblPr>
      <w:tblGrid>
        <w:gridCol w:w="1416"/>
        <w:gridCol w:w="5277"/>
        <w:gridCol w:w="2980"/>
        <w:gridCol w:w="1100"/>
      </w:tblGrid>
      <w:tr>
        <w:tblPrEx>
          <w:tblCellMar>
            <w:top w:w="0" w:type="dxa"/>
            <w:left w:w="108" w:type="dxa"/>
            <w:bottom w:w="0" w:type="dxa"/>
            <w:right w:w="108" w:type="dxa"/>
          </w:tblCellMar>
        </w:tblPrEx>
        <w:trPr>
          <w:trHeight w:val="270" w:hRule="atLeast"/>
        </w:trPr>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类别</w:t>
            </w:r>
          </w:p>
        </w:tc>
        <w:tc>
          <w:tcPr>
            <w:tcW w:w="527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重点检查内容</w:t>
            </w:r>
          </w:p>
        </w:tc>
        <w:tc>
          <w:tcPr>
            <w:tcW w:w="298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检查结果</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0C0C0C" w:themeColor="text1" w:themeTint="F2"/>
                <w:kern w:val="0"/>
                <w:sz w:val="21"/>
                <w:szCs w:val="21"/>
              </w:rPr>
            </w:pPr>
            <w:r>
              <w:rPr>
                <w:rFonts w:hint="eastAsia" w:ascii="黑体" w:hAnsi="黑体" w:eastAsia="黑体" w:cs="黑体"/>
                <w:color w:val="0C0C0C" w:themeColor="text1" w:themeTint="F2"/>
                <w:kern w:val="0"/>
                <w:sz w:val="21"/>
                <w:szCs w:val="21"/>
              </w:rPr>
              <w:t>存在问题</w:t>
            </w:r>
          </w:p>
        </w:tc>
      </w:tr>
      <w:tr>
        <w:tblPrEx>
          <w:tblCellMar>
            <w:top w:w="0" w:type="dxa"/>
            <w:left w:w="108" w:type="dxa"/>
            <w:bottom w:w="0" w:type="dxa"/>
            <w:right w:w="108" w:type="dxa"/>
          </w:tblCellMar>
        </w:tblPrEx>
        <w:trPr>
          <w:trHeight w:val="925" w:hRule="atLeast"/>
        </w:trPr>
        <w:tc>
          <w:tcPr>
            <w:tcW w:w="141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color w:val="0C0C0C" w:themeColor="text1" w:themeTint="F2"/>
                <w:kern w:val="0"/>
                <w:sz w:val="21"/>
                <w:szCs w:val="21"/>
              </w:rPr>
            </w:pPr>
            <w:r>
              <w:rPr>
                <w:rFonts w:hint="eastAsia" w:ascii="仿宋_GB2312" w:eastAsia="仿宋_GB2312" w:cs="宋体"/>
                <w:color w:val="0C0C0C" w:themeColor="text1" w:themeTint="F2"/>
                <w:kern w:val="0"/>
                <w:sz w:val="21"/>
                <w:szCs w:val="21"/>
              </w:rPr>
              <w:t>职业病危害项目管理情况</w:t>
            </w: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sz w:val="21"/>
                <w:szCs w:val="21"/>
              </w:rPr>
            </w:pPr>
            <w:r>
              <w:rPr>
                <w:rFonts w:hint="eastAsia" w:ascii="仿宋_GB2312" w:eastAsia="仿宋_GB2312" w:cs="宋体"/>
                <w:color w:val="0C0C0C" w:themeColor="text1" w:themeTint="F2"/>
                <w:kern w:val="0"/>
                <w:sz w:val="21"/>
                <w:szCs w:val="21"/>
              </w:rPr>
              <w:t>1.新建、扩建、改建建设项目和技术改造、技术引进项目，是否按照规定进行职业病危害预评价、职业病防护设施设计和职业病危害控制效果评价</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sz w:val="21"/>
                <w:szCs w:val="21"/>
              </w:rPr>
            </w:pPr>
            <w:r>
              <w:rPr>
                <w:rFonts w:hint="eastAsia" w:ascii="仿宋_GB2312" w:eastAsia="仿宋_GB2312" w:cs="宋体"/>
                <w:color w:val="0C0C0C" w:themeColor="text1" w:themeTint="F2"/>
                <w:kern w:val="0"/>
                <w:sz w:val="21"/>
                <w:szCs w:val="21"/>
              </w:rPr>
              <w:t>是□  否□  合理缺项□</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sz w:val="21"/>
                <w:szCs w:val="21"/>
              </w:rPr>
            </w:pPr>
          </w:p>
        </w:tc>
      </w:tr>
      <w:tr>
        <w:tblPrEx>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rPr>
                <w:color w:val="0C0C0C" w:themeColor="text1" w:themeTint="F2"/>
              </w:rPr>
            </w:pP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2.是否按照规定及时、如实申报产生职业病危害项目</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是□  否□  合理缺项□</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613" w:hRule="atLeast"/>
        </w:trPr>
        <w:tc>
          <w:tcPr>
            <w:tcW w:w="1416" w:type="dxa"/>
            <w:vMerge w:val="restart"/>
            <w:tcBorders>
              <w:top w:val="nil"/>
              <w:left w:val="single" w:color="auto" w:sz="4" w:space="0"/>
              <w:right w:val="single" w:color="auto" w:sz="4" w:space="0"/>
            </w:tcBorders>
            <w:vAlign w:val="center"/>
          </w:tcPr>
          <w:p>
            <w:pPr>
              <w:widowControl/>
              <w:jc w:val="center"/>
              <w:rPr>
                <w:color w:val="0C0C0C" w:themeColor="text1" w:themeTint="F2"/>
              </w:rPr>
            </w:pPr>
            <w:r>
              <w:rPr>
                <w:rFonts w:hint="eastAsia" w:ascii="仿宋_GB2312" w:eastAsia="仿宋_GB2312" w:cs="宋体"/>
                <w:color w:val="0C0C0C" w:themeColor="text1" w:themeTint="F2"/>
                <w:kern w:val="0"/>
              </w:rPr>
              <w:t>职业病防治管理措施</w:t>
            </w: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s="宋体"/>
                <w:color w:val="0C0C0C" w:themeColor="text1" w:themeTint="F2"/>
                <w:kern w:val="0"/>
              </w:rPr>
            </w:pPr>
            <w:r>
              <w:rPr>
                <w:rFonts w:hint="eastAsia" w:ascii="仿宋_GB2312" w:eastAsia="仿宋_GB2312" w:cs="宋体"/>
                <w:color w:val="0C0C0C" w:themeColor="text1" w:themeTint="F2"/>
                <w:kern w:val="0"/>
              </w:rPr>
              <w:t>3.是否按照规定公布有关职业病防治规章制度、操作规程、职业病危害事故应急救援措施</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s="宋体"/>
                <w:color w:val="0C0C0C" w:themeColor="text1" w:themeTint="F2"/>
                <w:kern w:val="0"/>
              </w:rPr>
            </w:pPr>
            <w:r>
              <w:rPr>
                <w:rFonts w:hint="eastAsia" w:ascii="仿宋_GB2312" w:eastAsia="仿宋_GB2312" w:cs="宋体"/>
                <w:color w:val="0C0C0C" w:themeColor="text1" w:themeTint="F2"/>
                <w:kern w:val="0"/>
              </w:rPr>
              <w:t>是□</w:t>
            </w:r>
            <w:r>
              <w:rPr>
                <w:rFonts w:ascii="仿宋_GB2312" w:eastAsia="仿宋_GB2312" w:cs="宋体"/>
                <w:color w:val="0C0C0C" w:themeColor="text1" w:themeTint="F2"/>
                <w:kern w:val="0"/>
              </w:rPr>
              <w:t xml:space="preserve">  </w:t>
            </w:r>
            <w:r>
              <w:rPr>
                <w:rFonts w:hint="eastAsia" w:ascii="仿宋_GB2312" w:eastAsia="仿宋_GB2312" w:cs="宋体"/>
                <w:color w:val="0C0C0C" w:themeColor="text1" w:themeTint="F2"/>
                <w:kern w:val="0"/>
              </w:rPr>
              <w:t>否□</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613" w:hRule="atLeast"/>
        </w:trPr>
        <w:tc>
          <w:tcPr>
            <w:tcW w:w="1416" w:type="dxa"/>
            <w:vMerge w:val="continue"/>
            <w:tcBorders>
              <w:left w:val="single" w:color="auto" w:sz="4" w:space="0"/>
              <w:bottom w:val="single" w:color="000000" w:sz="4" w:space="0"/>
              <w:right w:val="single" w:color="auto" w:sz="4" w:space="0"/>
            </w:tcBorders>
            <w:vAlign w:val="center"/>
          </w:tcPr>
          <w:p>
            <w:pPr>
              <w:rPr>
                <w:color w:val="0C0C0C" w:themeColor="text1" w:themeTint="F2"/>
              </w:rPr>
            </w:pP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s="宋体"/>
                <w:color w:val="0C0C0C" w:themeColor="text1" w:themeTint="F2"/>
                <w:kern w:val="0"/>
              </w:rPr>
            </w:pPr>
            <w:r>
              <w:rPr>
                <w:rFonts w:hint="eastAsia" w:ascii="仿宋_GB2312" w:eastAsia="仿宋_GB2312" w:cs="宋体"/>
                <w:color w:val="0C0C0C" w:themeColor="text1" w:themeTint="F2"/>
                <w:kern w:val="0"/>
              </w:rPr>
              <w:t>4.是否按照规定在产生严重职业病危害的作业岗位醒目位置设置警示标识和中文警示说明</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s="宋体"/>
                <w:color w:val="0C0C0C" w:themeColor="text1" w:themeTint="F2"/>
                <w:kern w:val="0"/>
              </w:rPr>
            </w:pPr>
            <w:r>
              <w:rPr>
                <w:rFonts w:hint="eastAsia" w:ascii="仿宋_GB2312" w:eastAsia="仿宋_GB2312" w:cs="宋体"/>
                <w:color w:val="0C0C0C" w:themeColor="text1" w:themeTint="F2"/>
                <w:kern w:val="0"/>
              </w:rPr>
              <w:t>是□</w:t>
            </w:r>
            <w:r>
              <w:rPr>
                <w:rFonts w:ascii="仿宋_GB2312" w:eastAsia="仿宋_GB2312" w:cs="宋体"/>
                <w:color w:val="0C0C0C" w:themeColor="text1" w:themeTint="F2"/>
                <w:kern w:val="0"/>
              </w:rPr>
              <w:t xml:space="preserve">  </w:t>
            </w:r>
            <w:r>
              <w:rPr>
                <w:rFonts w:hint="eastAsia" w:ascii="仿宋_GB2312" w:eastAsia="仿宋_GB2312" w:cs="宋体"/>
                <w:color w:val="0C0C0C" w:themeColor="text1" w:themeTint="F2"/>
                <w:kern w:val="0"/>
              </w:rPr>
              <w:t>否□</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270" w:hRule="atLeast"/>
        </w:trPr>
        <w:tc>
          <w:tcPr>
            <w:tcW w:w="141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r>
              <w:rPr>
                <w:rFonts w:hint="eastAsia" w:ascii="仿宋_GB2312" w:eastAsia="仿宋_GB2312" w:cs="宋体"/>
                <w:color w:val="0C0C0C" w:themeColor="text1" w:themeTint="F2"/>
                <w:kern w:val="0"/>
              </w:rPr>
              <w:t>工作场所职业病危害因素管理情况</w:t>
            </w: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5.是否按规定对工作场所职业病危害因素进行定期检测</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是□  否□  </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270" w:hRule="atLeast"/>
        </w:trPr>
        <w:tc>
          <w:tcPr>
            <w:tcW w:w="141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6.工作场所职业病危害因素检测是否合格</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合格□  不合格□  未检测□</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540" w:hRule="atLeast"/>
        </w:trPr>
        <w:tc>
          <w:tcPr>
            <w:tcW w:w="141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7.工作场所职业病危害因素检测不合格的，是否采取相应治理措施</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是□  否□  未检测□</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540" w:hRule="atLeast"/>
        </w:trPr>
        <w:tc>
          <w:tcPr>
            <w:tcW w:w="141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r>
              <w:rPr>
                <w:rFonts w:hint="eastAsia" w:ascii="仿宋_GB2312" w:eastAsia="仿宋_GB2312" w:cs="宋体"/>
                <w:color w:val="0C0C0C" w:themeColor="text1" w:themeTint="F2"/>
                <w:kern w:val="0"/>
              </w:rPr>
              <w:t>劳动者职业健康监护情况</w:t>
            </w: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8.是否按照规定组织上岗前、在岗期间和离岗时的职业健康检查</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是□  否□  </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270" w:hRule="atLeast"/>
        </w:trPr>
        <w:tc>
          <w:tcPr>
            <w:tcW w:w="141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9.是否按规定为劳动者建立职业健康监护档案</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是□  否□  </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525" w:hRule="atLeast"/>
        </w:trPr>
        <w:tc>
          <w:tcPr>
            <w:tcW w:w="141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r>
              <w:rPr>
                <w:rFonts w:hint="eastAsia" w:ascii="仿宋_GB2312" w:eastAsia="仿宋_GB2312" w:cs="宋体"/>
                <w:color w:val="0C0C0C" w:themeColor="text1" w:themeTint="F2"/>
                <w:kern w:val="0"/>
              </w:rPr>
              <w:t>职业健康培训情况</w:t>
            </w: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10.企业主要负责人、职业健康管理人员是否按规定接受职业健康培训</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是□  否□  </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r>
        <w:tblPrEx>
          <w:tblCellMar>
            <w:top w:w="0" w:type="dxa"/>
            <w:left w:w="108" w:type="dxa"/>
            <w:bottom w:w="0" w:type="dxa"/>
            <w:right w:w="108" w:type="dxa"/>
          </w:tblCellMar>
        </w:tblPrEx>
        <w:trPr>
          <w:trHeight w:val="420" w:hRule="atLeast"/>
        </w:trPr>
        <w:tc>
          <w:tcPr>
            <w:tcW w:w="1416" w:type="dxa"/>
            <w:vMerge w:val="continue"/>
            <w:tcBorders>
              <w:top w:val="nil"/>
              <w:left w:val="single" w:color="auto" w:sz="4" w:space="0"/>
              <w:bottom w:val="single" w:color="auto" w:sz="4" w:space="0"/>
              <w:right w:val="single" w:color="auto" w:sz="4" w:space="0"/>
            </w:tcBorders>
            <w:vAlign w:val="center"/>
          </w:tcPr>
          <w:p>
            <w:pPr>
              <w:rPr>
                <w:color w:val="0C0C0C" w:themeColor="text1" w:themeTint="F2"/>
              </w:rPr>
            </w:pPr>
          </w:p>
        </w:tc>
        <w:tc>
          <w:tcPr>
            <w:tcW w:w="5277"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11.企业是否按照规定组织劳动者进行职业健康培训</w:t>
            </w:r>
          </w:p>
        </w:tc>
        <w:tc>
          <w:tcPr>
            <w:tcW w:w="2980" w:type="dxa"/>
            <w:tcBorders>
              <w:top w:val="nil"/>
              <w:left w:val="nil"/>
              <w:bottom w:val="single" w:color="auto" w:sz="4" w:space="0"/>
              <w:right w:val="single" w:color="auto" w:sz="4" w:space="0"/>
            </w:tcBorders>
            <w:vAlign w:val="center"/>
          </w:tcPr>
          <w:p>
            <w:pPr>
              <w:widowControl/>
              <w:jc w:val="left"/>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是□  否□  </w:t>
            </w:r>
          </w:p>
        </w:tc>
        <w:tc>
          <w:tcPr>
            <w:tcW w:w="1100" w:type="dxa"/>
            <w:tcBorders>
              <w:top w:val="nil"/>
              <w:left w:val="nil"/>
              <w:bottom w:val="single" w:color="auto" w:sz="4" w:space="0"/>
              <w:right w:val="single" w:color="auto" w:sz="4" w:space="0"/>
            </w:tcBorders>
            <w:vAlign w:val="center"/>
          </w:tcPr>
          <w:p>
            <w:pPr>
              <w:widowControl/>
              <w:jc w:val="center"/>
              <w:rPr>
                <w:rFonts w:ascii="仿宋_GB2312" w:eastAsia="仿宋_GB2312"/>
                <w:color w:val="0C0C0C" w:themeColor="text1" w:themeTint="F2"/>
                <w:kern w:val="0"/>
              </w:rPr>
            </w:pPr>
          </w:p>
        </w:tc>
      </w:tr>
    </w:tbl>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rPr>
      </w:pPr>
    </w:p>
    <w:p>
      <w:pPr>
        <w:keepNext w:val="0"/>
        <w:keepLines w:val="0"/>
        <w:pageBreakBefore w:val="0"/>
        <w:widowControl w:val="0"/>
        <w:kinsoku/>
        <w:wordWrap/>
        <w:overflowPunct/>
        <w:topLinePunct w:val="0"/>
        <w:autoSpaceDE/>
        <w:autoSpaceDN/>
        <w:bidi w:val="0"/>
        <w:adjustRightInd/>
        <w:snapToGrid/>
        <w:spacing w:line="280" w:lineRule="exact"/>
        <w:ind w:left="105" w:right="108" w:hanging="105"/>
        <w:textAlignment w:val="auto"/>
        <w:outlineLvl w:val="9"/>
        <w:rPr>
          <w:rFonts w:hint="eastAsia" w:ascii="黑体" w:hAnsi="黑体" w:eastAsia="黑体" w:cs="黑体"/>
          <w:color w:val="0C0C0C" w:themeColor="text1" w:themeTint="F2"/>
        </w:rPr>
      </w:pPr>
      <w:r>
        <w:rPr>
          <w:rFonts w:hint="eastAsia" w:ascii="黑体" w:hAnsi="黑体" w:eastAsia="黑体" w:cs="黑体"/>
          <w:color w:val="0C0C0C" w:themeColor="text1" w:themeTint="F2"/>
        </w:rPr>
        <w:t>三、监督执法意见</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kern w:val="0"/>
        </w:rPr>
      </w:pPr>
      <w:r>
        <w:rPr>
          <w:rFonts w:hint="eastAsia" w:ascii="仿宋_GB2312" w:eastAsia="仿宋_GB2312" w:cs="宋体"/>
          <w:color w:val="0C0C0C" w:themeColor="text1" w:themeTint="F2"/>
        </w:rPr>
        <w:t>有无制作卫生监督意见书：有</w:t>
      </w:r>
      <w:r>
        <w:rPr>
          <w:rFonts w:hint="eastAsia" w:ascii="仿宋_GB2312" w:eastAsia="仿宋_GB2312" w:cs="宋体"/>
          <w:color w:val="0C0C0C" w:themeColor="text1" w:themeTint="F2"/>
          <w:kern w:val="0"/>
        </w:rPr>
        <w:t xml:space="preserve">□    无□  </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ascii="仿宋_GB2312" w:eastAsia="仿宋_GB2312"/>
          <w:color w:val="0C0C0C" w:themeColor="text1" w:themeTint="F2"/>
          <w:kern w:val="0"/>
        </w:rPr>
      </w:pPr>
      <w:r>
        <w:rPr>
          <w:rFonts w:hint="eastAsia" w:ascii="仿宋_GB2312" w:eastAsia="仿宋_GB2312" w:cs="宋体"/>
          <w:color w:val="0C0C0C" w:themeColor="text1" w:themeTint="F2"/>
          <w:kern w:val="0"/>
        </w:rPr>
        <w:t>处理情况：□警告</w:t>
      </w:r>
    </w:p>
    <w:p>
      <w:pPr>
        <w:keepNext w:val="0"/>
        <w:keepLines w:val="0"/>
        <w:pageBreakBefore w:val="0"/>
        <w:widowControl w:val="0"/>
        <w:kinsoku/>
        <w:wordWrap/>
        <w:overflowPunct/>
        <w:topLinePunct w:val="0"/>
        <w:autoSpaceDE/>
        <w:autoSpaceDN/>
        <w:bidi w:val="0"/>
        <w:adjustRightInd/>
        <w:snapToGrid/>
        <w:spacing w:line="280" w:lineRule="exact"/>
        <w:ind w:right="108" w:firstLine="1050" w:firstLineChars="500"/>
        <w:textAlignment w:val="auto"/>
        <w:outlineLvl w:val="9"/>
        <w:rPr>
          <w:rFonts w:ascii="仿宋_GB2312" w:eastAsia="仿宋_GB2312"/>
          <w:color w:val="0C0C0C" w:themeColor="text1" w:themeTint="F2"/>
          <w:kern w:val="0"/>
        </w:rPr>
      </w:pPr>
      <w:r>
        <w:rPr>
          <w:rFonts w:hint="eastAsia" w:ascii="仿宋_GB2312" w:eastAsia="仿宋_GB2312" w:cs="宋体"/>
          <w:color w:val="0C0C0C" w:themeColor="text1" w:themeTint="F2"/>
          <w:kern w:val="0"/>
        </w:rPr>
        <w:t>□责令限期改正</w:t>
      </w:r>
    </w:p>
    <w:p>
      <w:pPr>
        <w:keepNext w:val="0"/>
        <w:keepLines w:val="0"/>
        <w:pageBreakBefore w:val="0"/>
        <w:widowControl w:val="0"/>
        <w:kinsoku/>
        <w:wordWrap/>
        <w:overflowPunct/>
        <w:topLinePunct w:val="0"/>
        <w:autoSpaceDE/>
        <w:autoSpaceDN/>
        <w:bidi w:val="0"/>
        <w:adjustRightInd/>
        <w:snapToGrid/>
        <w:spacing w:line="280" w:lineRule="exact"/>
        <w:ind w:right="108" w:firstLine="1050" w:firstLineChars="500"/>
        <w:textAlignment w:val="auto"/>
        <w:outlineLvl w:val="9"/>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□罚款 </w:t>
      </w:r>
    </w:p>
    <w:p>
      <w:pPr>
        <w:keepNext w:val="0"/>
        <w:keepLines w:val="0"/>
        <w:pageBreakBefore w:val="0"/>
        <w:widowControl w:val="0"/>
        <w:kinsoku/>
        <w:wordWrap/>
        <w:overflowPunct/>
        <w:topLinePunct w:val="0"/>
        <w:autoSpaceDE/>
        <w:autoSpaceDN/>
        <w:bidi w:val="0"/>
        <w:adjustRightInd/>
        <w:snapToGrid/>
        <w:spacing w:line="280" w:lineRule="exact"/>
        <w:ind w:right="108" w:firstLine="1050" w:firstLineChars="500"/>
        <w:textAlignment w:val="auto"/>
        <w:outlineLvl w:val="9"/>
        <w:rPr>
          <w:rFonts w:ascii="仿宋_GB2312" w:eastAsia="仿宋_GB2312"/>
          <w:color w:val="0C0C0C" w:themeColor="text1" w:themeTint="F2"/>
          <w:kern w:val="0"/>
        </w:rPr>
      </w:pPr>
      <w:r>
        <w:rPr>
          <w:rFonts w:hint="eastAsia" w:ascii="仿宋_GB2312" w:eastAsia="仿宋_GB2312" w:cs="宋体"/>
          <w:color w:val="0C0C0C" w:themeColor="text1" w:themeTint="F2"/>
          <w:kern w:val="0"/>
        </w:rPr>
        <w:t xml:space="preserve">□责令停止作业 </w:t>
      </w:r>
    </w:p>
    <w:p>
      <w:pPr>
        <w:keepNext w:val="0"/>
        <w:keepLines w:val="0"/>
        <w:pageBreakBefore w:val="0"/>
        <w:widowControl w:val="0"/>
        <w:kinsoku/>
        <w:wordWrap/>
        <w:overflowPunct/>
        <w:topLinePunct w:val="0"/>
        <w:autoSpaceDE/>
        <w:autoSpaceDN/>
        <w:bidi w:val="0"/>
        <w:adjustRightInd/>
        <w:snapToGrid/>
        <w:spacing w:line="280" w:lineRule="exact"/>
        <w:ind w:right="108" w:firstLine="1050" w:firstLineChars="500"/>
        <w:textAlignment w:val="auto"/>
        <w:outlineLvl w:val="9"/>
        <w:rPr>
          <w:rFonts w:ascii="仿宋_GB2312" w:eastAsia="仿宋_GB2312"/>
          <w:color w:val="0C0C0C" w:themeColor="text1" w:themeTint="F2"/>
        </w:rPr>
      </w:pPr>
      <w:r>
        <w:rPr>
          <w:rFonts w:hint="eastAsia" w:ascii="仿宋_GB2312" w:eastAsia="仿宋_GB2312" w:cs="宋体"/>
          <w:color w:val="0C0C0C" w:themeColor="text1" w:themeTint="F2"/>
          <w:kern w:val="0"/>
        </w:rPr>
        <w:t xml:space="preserve">□提请地方人民政府予以关闭 </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hint="eastAsia" w:ascii="仿宋_GB2312" w:eastAsia="仿宋_GB2312" w:cs="宋体"/>
          <w:color w:val="0C0C0C" w:themeColor="text1" w:themeTint="F2"/>
          <w:kern w:val="0"/>
        </w:rPr>
      </w:pPr>
      <w:r>
        <w:rPr>
          <w:rFonts w:hint="eastAsia" w:ascii="仿宋_GB2312" w:eastAsia="仿宋_GB2312" w:cs="宋体"/>
          <w:color w:val="0C0C0C" w:themeColor="text1" w:themeTint="F2"/>
          <w:kern w:val="0"/>
        </w:rPr>
        <w:t>检查人员：</w:t>
      </w:r>
      <w:r>
        <w:rPr>
          <w:rFonts w:hint="eastAsia" w:ascii="仿宋_GB2312" w:eastAsia="仿宋_GB2312" w:cs="宋体"/>
          <w:color w:val="0C0C0C" w:themeColor="text1" w:themeTint="F2"/>
          <w:kern w:val="0"/>
          <w:u w:val="single"/>
        </w:rPr>
        <w:t xml:space="preserve">         </w:t>
      </w:r>
      <w:r>
        <w:rPr>
          <w:rFonts w:hint="eastAsia" w:ascii="仿宋_GB2312" w:eastAsia="仿宋_GB2312" w:cs="宋体"/>
          <w:color w:val="0C0C0C" w:themeColor="text1" w:themeTint="F2"/>
          <w:kern w:val="0"/>
        </w:rPr>
        <w:t>、</w:t>
      </w:r>
      <w:r>
        <w:rPr>
          <w:rFonts w:hint="eastAsia" w:ascii="仿宋_GB2312" w:eastAsia="仿宋_GB2312" w:cs="宋体"/>
          <w:color w:val="0C0C0C" w:themeColor="text1" w:themeTint="F2"/>
          <w:kern w:val="0"/>
          <w:u w:val="single"/>
        </w:rPr>
        <w:t xml:space="preserve">         </w:t>
      </w:r>
      <w:r>
        <w:rPr>
          <w:rFonts w:hint="eastAsia" w:ascii="仿宋_GB2312" w:eastAsia="仿宋_GB2312" w:cs="宋体"/>
          <w:color w:val="0C0C0C" w:themeColor="text1" w:themeTint="F2"/>
          <w:kern w:val="0"/>
        </w:rPr>
        <w:t xml:space="preserve">                  检查日期： </w:t>
      </w:r>
      <w:r>
        <w:rPr>
          <w:rFonts w:hint="eastAsia" w:ascii="仿宋_GB2312" w:eastAsia="仿宋_GB2312" w:cs="宋体"/>
          <w:color w:val="0C0C0C" w:themeColor="text1" w:themeTint="F2"/>
          <w:kern w:val="0"/>
          <w:u w:val="single"/>
        </w:rPr>
        <w:t xml:space="preserve">      </w:t>
      </w:r>
      <w:r>
        <w:rPr>
          <w:rFonts w:hint="eastAsia" w:ascii="仿宋_GB2312" w:eastAsia="仿宋_GB2312" w:cs="宋体"/>
          <w:color w:val="0C0C0C" w:themeColor="text1" w:themeTint="F2"/>
          <w:kern w:val="0"/>
        </w:rPr>
        <w:t>年</w:t>
      </w:r>
      <w:r>
        <w:rPr>
          <w:rFonts w:hint="eastAsia" w:ascii="仿宋_GB2312" w:eastAsia="仿宋_GB2312" w:cs="宋体"/>
          <w:color w:val="0C0C0C" w:themeColor="text1" w:themeTint="F2"/>
          <w:kern w:val="0"/>
          <w:u w:val="single"/>
        </w:rPr>
        <w:t xml:space="preserve">   </w:t>
      </w:r>
      <w:r>
        <w:rPr>
          <w:rFonts w:hint="eastAsia" w:ascii="仿宋_GB2312" w:eastAsia="仿宋_GB2312" w:cs="宋体"/>
          <w:color w:val="0C0C0C" w:themeColor="text1" w:themeTint="F2"/>
          <w:kern w:val="0"/>
        </w:rPr>
        <w:t>月</w:t>
      </w:r>
      <w:r>
        <w:rPr>
          <w:rFonts w:hint="eastAsia" w:ascii="仿宋_GB2312" w:eastAsia="仿宋_GB2312" w:cs="宋体"/>
          <w:color w:val="0C0C0C" w:themeColor="text1" w:themeTint="F2"/>
          <w:kern w:val="0"/>
          <w:u w:val="single"/>
        </w:rPr>
        <w:t xml:space="preserve">   </w:t>
      </w:r>
      <w:r>
        <w:rPr>
          <w:rFonts w:hint="eastAsia" w:ascii="仿宋_GB2312" w:eastAsia="仿宋_GB2312" w:cs="宋体"/>
          <w:color w:val="0C0C0C" w:themeColor="text1" w:themeTint="F2"/>
          <w:kern w:val="0"/>
        </w:rPr>
        <w:t>日</w:t>
      </w:r>
    </w:p>
    <w:p>
      <w:pPr>
        <w:keepNext w:val="0"/>
        <w:keepLines w:val="0"/>
        <w:pageBreakBefore w:val="0"/>
        <w:widowControl w:val="0"/>
        <w:kinsoku/>
        <w:wordWrap/>
        <w:overflowPunct/>
        <w:topLinePunct w:val="0"/>
        <w:autoSpaceDE/>
        <w:autoSpaceDN/>
        <w:bidi w:val="0"/>
        <w:adjustRightInd/>
        <w:snapToGrid/>
        <w:spacing w:line="280" w:lineRule="exact"/>
        <w:ind w:right="108"/>
        <w:textAlignment w:val="auto"/>
        <w:outlineLvl w:val="9"/>
        <w:rPr>
          <w:rFonts w:hint="eastAsia" w:ascii="仿宋_GB2312" w:eastAsia="仿宋_GB2312" w:cs="宋体"/>
          <w:color w:val="0C0C0C" w:themeColor="text1" w:themeTint="F2"/>
          <w:kern w:val="0"/>
        </w:rPr>
        <w:sectPr>
          <w:headerReference r:id="rId9" w:type="default"/>
          <w:footerReference r:id="rId10" w:type="default"/>
          <w:pgSz w:w="11906" w:h="16838"/>
          <w:pgMar w:top="1701" w:right="1418" w:bottom="1418" w:left="1701" w:header="851" w:footer="992"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C0C0C" w:themeColor="text1" w:themeTint="F2"/>
          <w:kern w:val="0"/>
          <w:sz w:val="32"/>
          <w:szCs w:val="32"/>
        </w:rPr>
      </w:pPr>
      <w:r>
        <w:rPr>
          <w:rFonts w:hint="eastAsia" w:ascii="黑体" w:hAnsi="黑体" w:eastAsia="黑体" w:cs="黑体"/>
          <w:color w:val="0C0C0C" w:themeColor="text1" w:themeTint="F2"/>
          <w:kern w:val="0"/>
          <w:sz w:val="32"/>
          <w:szCs w:val="32"/>
        </w:rPr>
        <w:t>附表3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color w:val="0C0C0C" w:themeColor="text1" w:themeTint="F2"/>
          <w:kern w:val="0"/>
          <w:sz w:val="32"/>
          <w:szCs w:val="32"/>
        </w:rPr>
      </w:pPr>
      <w:r>
        <w:rPr>
          <w:rFonts w:hint="eastAsia" w:ascii="方正小标宋简体" w:hAnsi="方正小标宋简体" w:eastAsia="方正小标宋简体" w:cs="方正小标宋简体"/>
          <w:color w:val="0C0C0C" w:themeColor="text1" w:themeTint="F2"/>
          <w:kern w:val="0"/>
          <w:sz w:val="44"/>
          <w:szCs w:val="44"/>
        </w:rPr>
        <w:t>2020年广西尘毒危害企业随机监督抽查汇总表</w:t>
      </w:r>
    </w:p>
    <w:tbl>
      <w:tblPr>
        <w:tblStyle w:val="7"/>
        <w:tblW w:w="15260" w:type="dxa"/>
        <w:jc w:val="center"/>
        <w:tblLayout w:type="fixed"/>
        <w:tblCellMar>
          <w:top w:w="0" w:type="dxa"/>
          <w:left w:w="108" w:type="dxa"/>
          <w:bottom w:w="0" w:type="dxa"/>
          <w:right w:w="108" w:type="dxa"/>
        </w:tblCellMar>
      </w:tblPr>
      <w:tblGrid>
        <w:gridCol w:w="467"/>
        <w:gridCol w:w="1063"/>
        <w:gridCol w:w="1"/>
        <w:gridCol w:w="356"/>
        <w:gridCol w:w="1"/>
        <w:gridCol w:w="356"/>
        <w:gridCol w:w="1"/>
        <w:gridCol w:w="393"/>
        <w:gridCol w:w="1"/>
        <w:gridCol w:w="947"/>
        <w:gridCol w:w="2"/>
        <w:gridCol w:w="730"/>
        <w:gridCol w:w="2"/>
        <w:gridCol w:w="783"/>
        <w:gridCol w:w="2"/>
        <w:gridCol w:w="801"/>
        <w:gridCol w:w="1"/>
        <w:gridCol w:w="1"/>
        <w:gridCol w:w="783"/>
        <w:gridCol w:w="2"/>
        <w:gridCol w:w="712"/>
        <w:gridCol w:w="2"/>
        <w:gridCol w:w="782"/>
        <w:gridCol w:w="1"/>
        <w:gridCol w:w="1"/>
        <w:gridCol w:w="624"/>
        <w:gridCol w:w="2"/>
        <w:gridCol w:w="638"/>
        <w:gridCol w:w="2"/>
        <w:gridCol w:w="1"/>
        <w:gridCol w:w="911"/>
        <w:gridCol w:w="694"/>
        <w:gridCol w:w="562"/>
        <w:gridCol w:w="507"/>
        <w:gridCol w:w="525"/>
        <w:gridCol w:w="543"/>
        <w:gridCol w:w="507"/>
        <w:gridCol w:w="487"/>
        <w:gridCol w:w="525"/>
        <w:gridCol w:w="541"/>
      </w:tblGrid>
      <w:tr>
        <w:tblPrEx>
          <w:tblCellMar>
            <w:top w:w="0" w:type="dxa"/>
            <w:left w:w="108" w:type="dxa"/>
            <w:bottom w:w="0" w:type="dxa"/>
            <w:right w:w="108" w:type="dxa"/>
          </w:tblCellMar>
        </w:tblPrEx>
        <w:trPr>
          <w:trHeight w:val="320" w:hRule="atLeast"/>
          <w:tblHeader/>
          <w:jc w:val="center"/>
        </w:trPr>
        <w:tc>
          <w:tcPr>
            <w:tcW w:w="4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序号</w:t>
            </w:r>
          </w:p>
        </w:tc>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行业领域</w:t>
            </w:r>
          </w:p>
        </w:tc>
        <w:tc>
          <w:tcPr>
            <w:tcW w:w="35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辖区内单位总数</w:t>
            </w:r>
          </w:p>
        </w:tc>
        <w:tc>
          <w:tcPr>
            <w:tcW w:w="357"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检查单位数</w:t>
            </w:r>
          </w:p>
        </w:tc>
        <w:tc>
          <w:tcPr>
            <w:tcW w:w="39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lang w:eastAsia="zh-CN"/>
              </w:rPr>
            </w:pPr>
            <w:r>
              <w:rPr>
                <w:rFonts w:hint="eastAsia" w:ascii="仿宋_GB2312" w:eastAsia="仿宋_GB2312"/>
                <w:color w:val="0C0C0C" w:themeColor="text1" w:themeTint="F2"/>
                <w:kern w:val="0"/>
                <w:sz w:val="18"/>
                <w:szCs w:val="18"/>
                <w:lang w:eastAsia="zh-CN"/>
              </w:rPr>
              <w:t>检查发现已关闭单位数</w:t>
            </w:r>
          </w:p>
        </w:tc>
        <w:tc>
          <w:tcPr>
            <w:tcW w:w="8425" w:type="dxa"/>
            <w:gridSpan w:val="2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不合格情况</w:t>
            </w:r>
          </w:p>
        </w:tc>
        <w:tc>
          <w:tcPr>
            <w:tcW w:w="5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下达卫生监督意见书（份）</w:t>
            </w:r>
          </w:p>
        </w:tc>
        <w:tc>
          <w:tcPr>
            <w:tcW w:w="3635"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执法情况</w:t>
            </w:r>
          </w:p>
        </w:tc>
      </w:tr>
      <w:tr>
        <w:tblPrEx>
          <w:tblCellMar>
            <w:top w:w="0" w:type="dxa"/>
            <w:left w:w="108" w:type="dxa"/>
            <w:bottom w:w="0" w:type="dxa"/>
            <w:right w:w="108" w:type="dxa"/>
          </w:tblCellMar>
        </w:tblPrEx>
        <w:trPr>
          <w:trHeight w:val="615" w:hRule="atLeast"/>
          <w:tblHeader/>
          <w:jc w:val="center"/>
        </w:trPr>
        <w:tc>
          <w:tcPr>
            <w:tcW w:w="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35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35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68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职业病危害项目</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管理情况</w:t>
            </w:r>
          </w:p>
        </w:tc>
        <w:tc>
          <w:tcPr>
            <w:tcW w:w="1589"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lang w:eastAsia="zh-CN"/>
              </w:rPr>
            </w:pPr>
            <w:r>
              <w:rPr>
                <w:rFonts w:hint="eastAsia" w:ascii="仿宋_GB2312" w:eastAsia="仿宋_GB2312"/>
                <w:color w:val="0C0C0C" w:themeColor="text1" w:themeTint="F2"/>
                <w:kern w:val="0"/>
                <w:sz w:val="18"/>
                <w:szCs w:val="18"/>
                <w:lang w:eastAsia="zh-CN"/>
              </w:rPr>
              <w:t>职业病防治</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lang w:eastAsia="zh-CN"/>
              </w:rPr>
            </w:pPr>
            <w:r>
              <w:rPr>
                <w:rFonts w:hint="eastAsia" w:ascii="仿宋_GB2312" w:eastAsia="仿宋_GB2312"/>
                <w:color w:val="0C0C0C" w:themeColor="text1" w:themeTint="F2"/>
                <w:kern w:val="0"/>
                <w:sz w:val="18"/>
                <w:szCs w:val="18"/>
                <w:lang w:eastAsia="zh-CN"/>
              </w:rPr>
              <w:t>管理措施</w:t>
            </w:r>
          </w:p>
        </w:tc>
        <w:tc>
          <w:tcPr>
            <w:tcW w:w="2283"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工作场所职业病危害因素</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管理情况</w:t>
            </w:r>
          </w:p>
        </w:tc>
        <w:tc>
          <w:tcPr>
            <w:tcW w:w="126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劳动者职业</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健康监护情况</w:t>
            </w:r>
          </w:p>
        </w:tc>
        <w:tc>
          <w:tcPr>
            <w:tcW w:w="160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职业健康</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培训情况</w:t>
            </w:r>
          </w:p>
        </w:tc>
        <w:tc>
          <w:tcPr>
            <w:tcW w:w="56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07"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案件查处数（起）</w:t>
            </w:r>
          </w:p>
        </w:tc>
        <w:tc>
          <w:tcPr>
            <w:tcW w:w="52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警告（家）</w:t>
            </w:r>
          </w:p>
        </w:tc>
        <w:tc>
          <w:tcPr>
            <w:tcW w:w="543"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责令限期改正（项）</w:t>
            </w:r>
          </w:p>
        </w:tc>
        <w:tc>
          <w:tcPr>
            <w:tcW w:w="507"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罚款（家）</w:t>
            </w:r>
          </w:p>
        </w:tc>
        <w:tc>
          <w:tcPr>
            <w:tcW w:w="487"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罚款（万元）</w:t>
            </w:r>
          </w:p>
        </w:tc>
        <w:tc>
          <w:tcPr>
            <w:tcW w:w="52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lang w:eastAsia="zh-CN"/>
              </w:rPr>
            </w:pPr>
            <w:r>
              <w:rPr>
                <w:rFonts w:hint="eastAsia" w:ascii="仿宋_GB2312" w:eastAsia="仿宋_GB2312"/>
                <w:color w:val="0C0C0C" w:themeColor="text1" w:themeTint="F2"/>
                <w:kern w:val="0"/>
                <w:sz w:val="18"/>
                <w:szCs w:val="18"/>
              </w:rPr>
              <w:t>责令停作业（家</w:t>
            </w:r>
            <w:r>
              <w:rPr>
                <w:rFonts w:hint="eastAsia" w:ascii="仿宋_GB2312" w:eastAsia="仿宋_GB2312" w:cs="??_GB2312"/>
                <w:color w:val="0C0C0C" w:themeColor="text1" w:themeTint="F2"/>
                <w:kern w:val="0"/>
                <w:sz w:val="18"/>
                <w:szCs w:val="18"/>
                <w:lang w:eastAsia="zh-CN"/>
              </w:rPr>
              <w:t>）</w:t>
            </w:r>
          </w:p>
        </w:tc>
        <w:tc>
          <w:tcPr>
            <w:tcW w:w="541"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提请关闭</w:t>
            </w:r>
            <w:r>
              <w:rPr>
                <w:rFonts w:hint="eastAsia" w:ascii="仿宋_GB2312" w:eastAsia="仿宋_GB2312" w:cs="??_GB2312"/>
                <w:color w:val="0C0C0C" w:themeColor="text1" w:themeTint="F2"/>
                <w:kern w:val="0"/>
                <w:sz w:val="18"/>
                <w:szCs w:val="18"/>
                <w:lang w:eastAsia="zh-CN"/>
              </w:rPr>
              <w:t>（</w:t>
            </w:r>
            <w:r>
              <w:rPr>
                <w:rFonts w:hint="eastAsia" w:ascii="仿宋_GB2312" w:eastAsia="仿宋_GB2312"/>
                <w:color w:val="0C0C0C" w:themeColor="text1" w:themeTint="F2"/>
                <w:kern w:val="0"/>
                <w:sz w:val="18"/>
                <w:szCs w:val="18"/>
              </w:rPr>
              <w:t>家）</w:t>
            </w:r>
          </w:p>
        </w:tc>
      </w:tr>
      <w:tr>
        <w:tblPrEx>
          <w:tblCellMar>
            <w:top w:w="0" w:type="dxa"/>
            <w:left w:w="108" w:type="dxa"/>
            <w:bottom w:w="0" w:type="dxa"/>
            <w:right w:w="108" w:type="dxa"/>
          </w:tblCellMar>
        </w:tblPrEx>
        <w:trPr>
          <w:trHeight w:val="3455" w:hRule="atLeast"/>
          <w:tblHeader/>
          <w:jc w:val="center"/>
        </w:trPr>
        <w:tc>
          <w:tcPr>
            <w:tcW w:w="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35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35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39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新建、扩建、改建建设项目和技术改造、技术引进项目，未按照规定进行职业病危害预评价、职业病防护设施设计和职业病危害控制效果评价单位数</w:t>
            </w: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未按照规定及时、如实申报产生职业病危害项目单位数</w:t>
            </w: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lang w:eastAsia="zh-CN"/>
              </w:rPr>
            </w:pPr>
            <w:r>
              <w:rPr>
                <w:rFonts w:hint="eastAsia" w:ascii="仿宋_GB2312" w:eastAsia="仿宋_GB2312" w:cs="宋体"/>
                <w:color w:val="0C0C0C" w:themeColor="text1" w:themeTint="F2"/>
                <w:kern w:val="0"/>
                <w:sz w:val="18"/>
                <w:szCs w:val="18"/>
                <w:lang w:eastAsia="zh-CN"/>
              </w:rPr>
              <w:t>未</w:t>
            </w:r>
            <w:r>
              <w:rPr>
                <w:rFonts w:hint="eastAsia" w:ascii="仿宋_GB2312" w:eastAsia="仿宋_GB2312" w:cs="宋体"/>
                <w:color w:val="0C0C0C" w:themeColor="text1" w:themeTint="F2"/>
                <w:kern w:val="0"/>
                <w:sz w:val="18"/>
                <w:szCs w:val="18"/>
              </w:rPr>
              <w:t>按照规定公布有关职业病防治规章制度、操作规程、职业病危害事故应急救援措施</w:t>
            </w:r>
            <w:r>
              <w:rPr>
                <w:rFonts w:hint="eastAsia" w:ascii="仿宋_GB2312" w:eastAsia="仿宋_GB2312" w:cs="宋体"/>
                <w:color w:val="0C0C0C" w:themeColor="text1" w:themeTint="F2"/>
                <w:kern w:val="0"/>
                <w:sz w:val="18"/>
                <w:szCs w:val="18"/>
                <w:lang w:eastAsia="zh-CN"/>
              </w:rPr>
              <w:t>的单位数</w:t>
            </w: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lang w:eastAsia="zh-CN"/>
              </w:rPr>
            </w:pPr>
            <w:r>
              <w:rPr>
                <w:rFonts w:hint="eastAsia" w:ascii="仿宋_GB2312" w:eastAsia="仿宋_GB2312" w:cs="宋体"/>
                <w:color w:val="0C0C0C" w:themeColor="text1" w:themeTint="F2"/>
                <w:kern w:val="0"/>
                <w:sz w:val="18"/>
                <w:szCs w:val="18"/>
                <w:lang w:eastAsia="zh-CN"/>
              </w:rPr>
              <w:t>未</w:t>
            </w:r>
            <w:r>
              <w:rPr>
                <w:rFonts w:hint="eastAsia" w:ascii="仿宋_GB2312" w:eastAsia="仿宋_GB2312" w:cs="宋体"/>
                <w:color w:val="0C0C0C" w:themeColor="text1" w:themeTint="F2"/>
                <w:kern w:val="0"/>
                <w:sz w:val="18"/>
                <w:szCs w:val="18"/>
              </w:rPr>
              <w:t>按照规定在产生严重职业病危害的作业岗位醒目位置设置警示标识和中文警示说明</w:t>
            </w:r>
            <w:r>
              <w:rPr>
                <w:rFonts w:hint="eastAsia" w:ascii="仿宋_GB2312" w:eastAsia="仿宋_GB2312" w:cs="宋体"/>
                <w:color w:val="0C0C0C" w:themeColor="text1" w:themeTint="F2"/>
                <w:kern w:val="0"/>
                <w:sz w:val="18"/>
                <w:szCs w:val="18"/>
                <w:lang w:eastAsia="zh-CN"/>
              </w:rPr>
              <w:t>的单位数</w:t>
            </w: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未按规定对工作场所职业病危害因素进行定期检测单位数</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工作场所职业病危害因素检测不合格单位数</w:t>
            </w: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工作场所职业病危害因素检测不合格未采取相应治理措施单位数</w:t>
            </w: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未按照规定组织上岗前、在岗期间和离岗时的职业健康检查单位数</w:t>
            </w: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未按规定为劳动者建立职业健康监护档案单位数</w:t>
            </w: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企业主要负责人、职业健康管理人员未按规定接受职业健康培训单位数</w:t>
            </w: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企业卫按照规定组织劳动者进行职业健康培训单位数</w:t>
            </w:r>
          </w:p>
        </w:tc>
        <w:tc>
          <w:tcPr>
            <w:tcW w:w="56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0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2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4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0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48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2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54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r>
      <w:tr>
        <w:tblPrEx>
          <w:tblCellMar>
            <w:top w:w="0" w:type="dxa"/>
            <w:left w:w="108" w:type="dxa"/>
            <w:bottom w:w="0" w:type="dxa"/>
            <w:right w:w="108" w:type="dxa"/>
          </w:tblCellMar>
        </w:tblPrEx>
        <w:trPr>
          <w:trHeight w:val="255" w:hRule="atLeast"/>
          <w:jc w:val="center"/>
        </w:trPr>
        <w:tc>
          <w:tcPr>
            <w:tcW w:w="46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s="宋体"/>
                <w:color w:val="0C0C0C" w:themeColor="text1" w:themeTint="F2"/>
                <w:kern w:val="0"/>
                <w:sz w:val="18"/>
                <w:szCs w:val="18"/>
              </w:rPr>
              <w:t>1</w:t>
            </w: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矿山</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其中：井工煤矿</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露天煤矿</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非煤地下</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矿山</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438"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非煤露天</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矿山</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s="宋体"/>
                <w:color w:val="0C0C0C" w:themeColor="text1" w:themeTint="F2"/>
                <w:kern w:val="0"/>
                <w:sz w:val="18"/>
                <w:szCs w:val="18"/>
              </w:rPr>
              <w:t>2</w:t>
            </w: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冶金</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513"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其中：黑色金属冶炼</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47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有色金属</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冶炼</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s="宋体"/>
                <w:color w:val="0C0C0C" w:themeColor="text1" w:themeTint="F2"/>
                <w:kern w:val="0"/>
                <w:sz w:val="18"/>
                <w:szCs w:val="18"/>
              </w:rPr>
              <w:t>3</w:t>
            </w: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s="??_GB2312"/>
                <w:color w:val="0C0C0C" w:themeColor="text1" w:themeTint="F2"/>
                <w:kern w:val="0"/>
                <w:sz w:val="18"/>
                <w:szCs w:val="18"/>
              </w:rPr>
              <w:t xml:space="preserve">     </w:t>
            </w:r>
            <w:r>
              <w:rPr>
                <w:rFonts w:hint="eastAsia" w:ascii="仿宋_GB2312" w:eastAsia="仿宋_GB2312"/>
                <w:color w:val="0C0C0C" w:themeColor="text1" w:themeTint="F2"/>
                <w:kern w:val="0"/>
                <w:sz w:val="18"/>
                <w:szCs w:val="18"/>
              </w:rPr>
              <w:t>化工</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其中：炼油</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化工</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s="宋体"/>
                <w:color w:val="0C0C0C" w:themeColor="text1" w:themeTint="F2"/>
                <w:kern w:val="0"/>
                <w:sz w:val="18"/>
                <w:szCs w:val="18"/>
              </w:rPr>
              <w:t>4</w:t>
            </w: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建材</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660"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其中：石材加工</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水泥生产</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陶瓷制造</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color w:val="0C0C0C" w:themeColor="text1" w:themeTint="F2"/>
                <w:sz w:val="18"/>
                <w:szCs w:val="18"/>
              </w:rPr>
            </w:pP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eastAsia"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耐火材料</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制造</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46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s="宋体"/>
                <w:color w:val="0C0C0C" w:themeColor="text1" w:themeTint="F2"/>
                <w:kern w:val="0"/>
                <w:sz w:val="18"/>
                <w:szCs w:val="18"/>
              </w:rPr>
              <w:t>5</w:t>
            </w:r>
          </w:p>
        </w:tc>
        <w:tc>
          <w:tcPr>
            <w:tcW w:w="10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其他</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r>
        <w:tblPrEx>
          <w:tblCellMar>
            <w:top w:w="0" w:type="dxa"/>
            <w:left w:w="108" w:type="dxa"/>
            <w:bottom w:w="0" w:type="dxa"/>
            <w:right w:w="108" w:type="dxa"/>
          </w:tblCellMar>
        </w:tblPrEx>
        <w:trPr>
          <w:trHeight w:val="255" w:hRule="atLeast"/>
          <w:jc w:val="center"/>
        </w:trPr>
        <w:tc>
          <w:tcPr>
            <w:tcW w:w="15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r>
              <w:rPr>
                <w:rFonts w:hint="eastAsia" w:ascii="仿宋_GB2312" w:eastAsia="仿宋_GB2312"/>
                <w:color w:val="0C0C0C" w:themeColor="text1" w:themeTint="F2"/>
                <w:kern w:val="0"/>
                <w:sz w:val="18"/>
                <w:szCs w:val="18"/>
              </w:rPr>
              <w:t>合计</w:t>
            </w: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5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4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3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803"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78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2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4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91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6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4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c>
          <w:tcPr>
            <w:tcW w:w="5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eastAsia="仿宋_GB2312"/>
                <w:color w:val="0C0C0C" w:themeColor="text1" w:themeTint="F2"/>
                <w:kern w:val="0"/>
                <w:sz w:val="18"/>
                <w:szCs w:val="18"/>
              </w:rPr>
            </w:pPr>
          </w:p>
        </w:tc>
      </w:tr>
    </w:tbl>
    <w:p>
      <w:pPr>
        <w:tabs>
          <w:tab w:val="left" w:pos="7980"/>
          <w:tab w:val="left" w:pos="8190"/>
        </w:tabs>
        <w:adjustRightInd w:val="0"/>
        <w:snapToGrid w:val="0"/>
        <w:spacing w:line="560" w:lineRule="exact"/>
        <w:rPr>
          <w:rFonts w:ascii="仿宋_GB2312" w:eastAsia="仿宋_GB2312"/>
          <w:color w:val="0C0C0C" w:themeColor="text1" w:themeTint="F2"/>
          <w:sz w:val="28"/>
          <w:szCs w:val="28"/>
        </w:rPr>
        <w:sectPr>
          <w:pgSz w:w="16838" w:h="11906" w:orient="landscape"/>
          <w:pgMar w:top="1701" w:right="1417" w:bottom="1417" w:left="1418" w:header="851" w:footer="992" w:gutter="0"/>
          <w:pgNumType w:fmt="decimal"/>
          <w:cols w:space="0" w:num="1"/>
          <w:rtlGutter w:val="0"/>
          <w:docGrid w:type="lines" w:linePitch="313" w:charSpace="0"/>
        </w:sectPr>
      </w:pPr>
      <w:bookmarkStart w:id="0" w:name="_GoBack"/>
      <w:bookmarkEnd w:id="0"/>
    </w:p>
    <w:p>
      <w:pPr>
        <w:tabs>
          <w:tab w:val="left" w:pos="7980"/>
          <w:tab w:val="left" w:pos="8190"/>
        </w:tabs>
        <w:adjustRightInd w:val="0"/>
        <w:snapToGrid w:val="0"/>
        <w:spacing w:line="560" w:lineRule="exact"/>
        <w:rPr>
          <w:rFonts w:hint="eastAsia" w:ascii="仿宋_GB2312" w:eastAsia="仿宋_GB2312"/>
          <w:color w:val="0C0C0C" w:themeColor="text1" w:themeTint="F2"/>
          <w:sz w:val="28"/>
          <w:szCs w:val="28"/>
          <w:lang w:val="en-US" w:eastAsia="zh-CN"/>
        </w:rPr>
      </w:pPr>
    </w:p>
    <w:sectPr>
      <w:pgSz w:w="11906" w:h="16838"/>
      <w:pgMar w:top="1701" w:right="1417" w:bottom="1417" w:left="1701" w:header="851" w:footer="992" w:gutter="0"/>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cs="Times New Roman"/>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宋体"/>
                    <w:lang w:eastAsia="zh-CN"/>
                  </w:rPr>
                </w:pPr>
                <w:r>
                  <w:rPr>
                    <w:rFonts w:hint="eastAsia" w:ascii="宋体" w:cs="宋体"/>
                    <w:sz w:val="28"/>
                    <w:szCs w:val="28"/>
                    <w:lang w:eastAsia="zh-CN"/>
                  </w:rPr>
                  <w:t>—</w:t>
                </w:r>
                <w:r>
                  <w:rPr>
                    <w:rFonts w:ascii="宋体" w:cs="宋体"/>
                    <w:sz w:val="28"/>
                    <w:szCs w:val="28"/>
                  </w:rPr>
                  <w:fldChar w:fldCharType="begin"/>
                </w:r>
                <w:r>
                  <w:rPr>
                    <w:rFonts w:ascii="宋体" w:cs="宋体"/>
                    <w:sz w:val="28"/>
                    <w:szCs w:val="28"/>
                  </w:rPr>
                  <w:instrText xml:space="preserve">PAGE   \* MERGEFORMAT</w:instrText>
                </w:r>
                <w:r>
                  <w:rPr>
                    <w:rFonts w:ascii="宋体" w:cs="宋体"/>
                    <w:sz w:val="28"/>
                    <w:szCs w:val="28"/>
                  </w:rPr>
                  <w:fldChar w:fldCharType="separate"/>
                </w:r>
                <w:r>
                  <w:rPr>
                    <w:rFonts w:ascii="宋体" w:cs="宋体"/>
                    <w:sz w:val="28"/>
                    <w:szCs w:val="28"/>
                    <w:lang w:val="zh-CN"/>
                  </w:rPr>
                  <w:t>-</w:t>
                </w:r>
                <w:r>
                  <w:rPr>
                    <w:rFonts w:ascii="宋体" w:cs="宋体"/>
                    <w:sz w:val="28"/>
                    <w:szCs w:val="28"/>
                  </w:rPr>
                  <w:t xml:space="preserve"> 6 -</w:t>
                </w:r>
                <w:r>
                  <w:rPr>
                    <w:rFonts w:ascii="宋体" w:cs="宋体"/>
                    <w:sz w:val="28"/>
                    <w:szCs w:val="28"/>
                  </w:rPr>
                  <w:fldChar w:fldCharType="end"/>
                </w:r>
                <w:r>
                  <w:rPr>
                    <w:rFonts w:hint="eastAsia" w:ascii="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cs="Times New Roman"/>
        <w:sz w:val="28"/>
        <w:szCs w:val="28"/>
      </w:rPr>
    </w:pPr>
    <w:r>
      <w:rPr>
        <w:sz w:val="2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宋体"/>
                    <w:lang w:eastAsia="zh-CN"/>
                  </w:rPr>
                </w:pPr>
                <w:r>
                  <w:rPr>
                    <w:rFonts w:hint="eastAsia" w:ascii="宋体" w:cs="宋体"/>
                    <w:sz w:val="28"/>
                    <w:szCs w:val="28"/>
                    <w:lang w:eastAsia="zh-CN"/>
                  </w:rPr>
                  <w:t>—</w:t>
                </w:r>
                <w:r>
                  <w:rPr>
                    <w:rFonts w:ascii="宋体" w:cs="宋体"/>
                    <w:sz w:val="28"/>
                    <w:szCs w:val="28"/>
                  </w:rPr>
                  <w:fldChar w:fldCharType="begin"/>
                </w:r>
                <w:r>
                  <w:rPr>
                    <w:rFonts w:ascii="宋体" w:cs="宋体"/>
                    <w:sz w:val="28"/>
                    <w:szCs w:val="28"/>
                  </w:rPr>
                  <w:instrText xml:space="preserve">PAGE   \* MERGEFORMAT</w:instrText>
                </w:r>
                <w:r>
                  <w:rPr>
                    <w:rFonts w:ascii="宋体" w:cs="宋体"/>
                    <w:sz w:val="28"/>
                    <w:szCs w:val="28"/>
                  </w:rPr>
                  <w:fldChar w:fldCharType="separate"/>
                </w:r>
                <w:r>
                  <w:rPr>
                    <w:rFonts w:ascii="宋体" w:cs="宋体"/>
                    <w:sz w:val="28"/>
                    <w:szCs w:val="28"/>
                    <w:lang w:val="zh-CN"/>
                  </w:rPr>
                  <w:t>-</w:t>
                </w:r>
                <w:r>
                  <w:rPr>
                    <w:rFonts w:ascii="宋体" w:cs="宋体"/>
                    <w:sz w:val="28"/>
                    <w:szCs w:val="28"/>
                  </w:rPr>
                  <w:t xml:space="preserve"> 16 -</w:t>
                </w:r>
                <w:r>
                  <w:rPr>
                    <w:rFonts w:ascii="宋体" w:cs="宋体"/>
                    <w:sz w:val="28"/>
                    <w:szCs w:val="28"/>
                  </w:rPr>
                  <w:fldChar w:fldCharType="end"/>
                </w:r>
                <w:r>
                  <w:rPr>
                    <w:rFonts w:hint="eastAsia" w:ascii="宋体" w:cs="宋体"/>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sz w:val="18"/>
      </w:rP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p>
    <w:pPr>
      <w:pStyle w:val="5"/>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sz w:val="18"/>
      </w:rPr>
      <w:pict>
        <v:shape id="_x0000_s3076" o:spid="_x0000_s307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p>
    <w:pPr>
      <w:pStyle w:val="5"/>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cs="Times New Roman"/>
        <w:sz w:val="28"/>
        <w:szCs w:val="28"/>
      </w:rPr>
    </w:pPr>
    <w:r>
      <w:rPr>
        <w:sz w:val="28"/>
      </w:rPr>
      <w:pict>
        <v:shape id="_x0000_s3077" o:spid="_x0000_s307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宋体"/>
                    <w:lang w:eastAsia="zh-CN"/>
                  </w:rPr>
                </w:pPr>
                <w:r>
                  <w:rPr>
                    <w:rFonts w:hint="eastAsia" w:ascii="宋体" w:cs="宋体"/>
                    <w:sz w:val="28"/>
                    <w:szCs w:val="28"/>
                    <w:lang w:eastAsia="zh-CN"/>
                  </w:rPr>
                  <w:t>—</w:t>
                </w:r>
                <w:r>
                  <w:rPr>
                    <w:rFonts w:ascii="宋体" w:cs="宋体"/>
                    <w:sz w:val="28"/>
                    <w:szCs w:val="28"/>
                  </w:rPr>
                  <w:fldChar w:fldCharType="begin"/>
                </w:r>
                <w:r>
                  <w:rPr>
                    <w:rFonts w:ascii="宋体" w:cs="宋体"/>
                    <w:sz w:val="28"/>
                    <w:szCs w:val="28"/>
                  </w:rPr>
                  <w:instrText xml:space="preserve">PAGE   \* MERGEFORMAT</w:instrText>
                </w:r>
                <w:r>
                  <w:rPr>
                    <w:rFonts w:ascii="宋体" w:cs="宋体"/>
                    <w:sz w:val="28"/>
                    <w:szCs w:val="28"/>
                  </w:rPr>
                  <w:fldChar w:fldCharType="separate"/>
                </w:r>
                <w:r>
                  <w:rPr>
                    <w:rFonts w:ascii="宋体" w:cs="宋体"/>
                    <w:sz w:val="28"/>
                    <w:szCs w:val="28"/>
                    <w:lang w:val="zh-CN"/>
                  </w:rPr>
                  <w:t>60</w:t>
                </w:r>
                <w:r>
                  <w:rPr>
                    <w:rFonts w:ascii="宋体" w:cs="宋体"/>
                    <w:sz w:val="28"/>
                    <w:szCs w:val="28"/>
                  </w:rPr>
                  <w:fldChar w:fldCharType="end"/>
                </w:r>
                <w:r>
                  <w:rPr>
                    <w:rFonts w:hint="eastAsia" w:ascii="宋体" w:cs="宋体"/>
                    <w:sz w:val="28"/>
                    <w:szCs w:val="28"/>
                    <w:lang w:eastAsia="zh-CN"/>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sz w:val="18"/>
      </w:rPr>
      <w:pict>
        <v:shape id="_x0000_s3078" o:spid="_x0000_s3078"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66</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sz w:val="18"/>
      </w:rPr>
      <w:pict>
        <v:shape id="_x0000_s3080" o:spid="_x0000_s3080"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41594"/>
    <w:multiLevelType w:val="singleLevel"/>
    <w:tmpl w:val="8B441594"/>
    <w:lvl w:ilvl="0" w:tentative="0">
      <w:start w:val="9"/>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DC76FD"/>
    <w:rsid w:val="00081A1D"/>
    <w:rsid w:val="00095E21"/>
    <w:rsid w:val="000B5131"/>
    <w:rsid w:val="000D7854"/>
    <w:rsid w:val="00296FFE"/>
    <w:rsid w:val="002C4DE5"/>
    <w:rsid w:val="003D102A"/>
    <w:rsid w:val="004B44AC"/>
    <w:rsid w:val="0058770F"/>
    <w:rsid w:val="006902A1"/>
    <w:rsid w:val="00692629"/>
    <w:rsid w:val="00797557"/>
    <w:rsid w:val="007D4AA5"/>
    <w:rsid w:val="007E31A3"/>
    <w:rsid w:val="007E48BB"/>
    <w:rsid w:val="008E1F42"/>
    <w:rsid w:val="008F032B"/>
    <w:rsid w:val="00A9479E"/>
    <w:rsid w:val="00B13F04"/>
    <w:rsid w:val="00C233B1"/>
    <w:rsid w:val="00C73811"/>
    <w:rsid w:val="00CB5E1A"/>
    <w:rsid w:val="00CF1F0B"/>
    <w:rsid w:val="00D32CCC"/>
    <w:rsid w:val="00DC76FD"/>
    <w:rsid w:val="00F95190"/>
    <w:rsid w:val="00FB692D"/>
    <w:rsid w:val="03BE3F8D"/>
    <w:rsid w:val="0A016DD7"/>
    <w:rsid w:val="0A84476E"/>
    <w:rsid w:val="0DBD6E02"/>
    <w:rsid w:val="147B1902"/>
    <w:rsid w:val="14AD4288"/>
    <w:rsid w:val="16274741"/>
    <w:rsid w:val="167C3D76"/>
    <w:rsid w:val="17D119FD"/>
    <w:rsid w:val="18705F20"/>
    <w:rsid w:val="19026411"/>
    <w:rsid w:val="1F4F0EEB"/>
    <w:rsid w:val="20786929"/>
    <w:rsid w:val="26075B53"/>
    <w:rsid w:val="2C571B54"/>
    <w:rsid w:val="2C815D08"/>
    <w:rsid w:val="2CE077A6"/>
    <w:rsid w:val="2D2F7A07"/>
    <w:rsid w:val="2FCB4F9E"/>
    <w:rsid w:val="321F5B29"/>
    <w:rsid w:val="32DD50CB"/>
    <w:rsid w:val="33A049CD"/>
    <w:rsid w:val="34CB6091"/>
    <w:rsid w:val="35A247F8"/>
    <w:rsid w:val="3720354C"/>
    <w:rsid w:val="38C06EFB"/>
    <w:rsid w:val="3A4004E5"/>
    <w:rsid w:val="3B3B0EF5"/>
    <w:rsid w:val="3B403E8D"/>
    <w:rsid w:val="41A13AE3"/>
    <w:rsid w:val="431F5F66"/>
    <w:rsid w:val="43562EB1"/>
    <w:rsid w:val="446209DF"/>
    <w:rsid w:val="46F64184"/>
    <w:rsid w:val="48C808B8"/>
    <w:rsid w:val="4C327E02"/>
    <w:rsid w:val="4D04548E"/>
    <w:rsid w:val="4D2F7F1B"/>
    <w:rsid w:val="4E176997"/>
    <w:rsid w:val="50252351"/>
    <w:rsid w:val="534C44BE"/>
    <w:rsid w:val="53B4396A"/>
    <w:rsid w:val="562868DC"/>
    <w:rsid w:val="56362580"/>
    <w:rsid w:val="59623014"/>
    <w:rsid w:val="5EC7247D"/>
    <w:rsid w:val="60675E6C"/>
    <w:rsid w:val="625B07A2"/>
    <w:rsid w:val="63C17A30"/>
    <w:rsid w:val="63EC1124"/>
    <w:rsid w:val="64586573"/>
    <w:rsid w:val="64E97C99"/>
    <w:rsid w:val="675F1BB3"/>
    <w:rsid w:val="69352D9B"/>
    <w:rsid w:val="695118A1"/>
    <w:rsid w:val="712B5880"/>
    <w:rsid w:val="71B74C66"/>
    <w:rsid w:val="76A656D5"/>
    <w:rsid w:val="77C10209"/>
    <w:rsid w:val="7C1623C7"/>
    <w:rsid w:val="7C1D2581"/>
    <w:rsid w:val="7CFD3648"/>
    <w:rsid w:val="7E9D1C60"/>
    <w:rsid w:val="7F9B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Date"/>
    <w:basedOn w:val="1"/>
    <w:next w:val="1"/>
    <w:qFormat/>
    <w:uiPriority w:val="0"/>
    <w:pPr>
      <w:ind w:left="2500" w:leftChars="2500"/>
    </w:pPr>
  </w:style>
  <w:style w:type="paragraph" w:styleId="4">
    <w:name w:val="Balloon Text"/>
    <w:basedOn w:val="1"/>
    <w:link w:val="15"/>
    <w:semiHidden/>
    <w:unhideWhenUsed/>
    <w:qFormat/>
    <w:uiPriority w:val="99"/>
    <w:rPr>
      <w:sz w:val="18"/>
      <w:szCs w:val="18"/>
    </w:rPr>
  </w:style>
  <w:style w:type="paragraph" w:styleId="5">
    <w:name w:val="footer"/>
    <w:basedOn w:val="1"/>
    <w:uiPriority w:val="0"/>
    <w:pPr>
      <w:tabs>
        <w:tab w:val="center" w:pos="4153"/>
        <w:tab w:val="right" w:pos="8306"/>
      </w:tabs>
      <w:snapToGrid w:val="0"/>
      <w:jc w:val="left"/>
    </w:pPr>
    <w:rPr>
      <w:rFonts w:ascii="Calibri" w:hAnsi="Calibri" w:cs="Calibr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character" w:styleId="9">
    <w:name w:val="Hyperlink"/>
    <w:qFormat/>
    <w:uiPriority w:val="0"/>
    <w:rPr>
      <w:color w:val="0000FF"/>
      <w:u w:val="single"/>
    </w:rPr>
  </w:style>
  <w:style w:type="character" w:customStyle="1" w:styleId="10">
    <w:name w:val="font41"/>
    <w:qFormat/>
    <w:uiPriority w:val="0"/>
    <w:rPr>
      <w:rFonts w:ascii="??_GB2312" w:hAnsi="??_GB2312" w:eastAsia="Times New Roman" w:cs="??_GB2312"/>
      <w:color w:val="000000"/>
      <w:sz w:val="20"/>
      <w:szCs w:val="20"/>
      <w:u w:val="none"/>
    </w:rPr>
  </w:style>
  <w:style w:type="character" w:customStyle="1" w:styleId="11">
    <w:name w:val="font11"/>
    <w:qFormat/>
    <w:uiPriority w:val="0"/>
    <w:rPr>
      <w:rFonts w:ascii="??_GB2312" w:hAnsi="??_GB2312" w:eastAsia="Times New Roman" w:cs="??_GB2312"/>
      <w:color w:val="000000"/>
      <w:sz w:val="20"/>
      <w:szCs w:val="20"/>
      <w:u w:val="none"/>
    </w:rPr>
  </w:style>
  <w:style w:type="paragraph" w:customStyle="1" w:styleId="12">
    <w:name w:val="列出段落1"/>
    <w:basedOn w:val="1"/>
    <w:qFormat/>
    <w:uiPriority w:val="0"/>
    <w:pPr>
      <w:ind w:firstLine="200" w:firstLineChars="200"/>
    </w:pPr>
    <w:rPr>
      <w:rFonts w:ascii="Calibri" w:hAnsi="Calibri" w:cs="Calibri"/>
    </w:rPr>
  </w:style>
  <w:style w:type="character" w:customStyle="1" w:styleId="13">
    <w:name w:val="Char Char6"/>
    <w:qFormat/>
    <w:uiPriority w:val="0"/>
    <w:rPr>
      <w:kern w:val="2"/>
      <w:sz w:val="18"/>
      <w:szCs w:val="18"/>
    </w:rPr>
  </w:style>
  <w:style w:type="paragraph" w:customStyle="1" w:styleId="14">
    <w:name w:val="列出段落11"/>
    <w:basedOn w:val="1"/>
    <w:qFormat/>
    <w:uiPriority w:val="0"/>
    <w:pPr>
      <w:ind w:firstLine="200" w:firstLineChars="200"/>
    </w:pPr>
    <w:rPr>
      <w:rFonts w:ascii="Calibri" w:hAnsi="Calibri" w:cs="Calibri"/>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3074" textRotate="1"/>
    <customShpInfo spid="_x0000_s3075" textRotate="1"/>
    <customShpInfo spid="_x0000_s3076" textRotate="1"/>
    <customShpInfo spid="_x0000_s3077" textRotate="1"/>
    <customShpInfo spid="_x0000_s3078" textRotate="1"/>
    <customShpInfo spid="_x0000_s308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70</Pages>
  <Words>5398</Words>
  <Characters>30773</Characters>
  <Lines>256</Lines>
  <Paragraphs>72</Paragraphs>
  <TotalTime>0</TotalTime>
  <ScaleCrop>false</ScaleCrop>
  <LinksUpToDate>false</LinksUpToDate>
  <CharactersWithSpaces>36099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2020-05-27T10:20:00Z</dcterms:created>
  <dc:creator>Sky123.Org</dc:creator>
  <cp:lastModifiedBy>DELL</cp:lastModifiedBy>
  <cp:lastPrinted>2020-05-29T03:30:00Z</cp:lastPrinted>
  <dcterms:modified xsi:type="dcterms:W3CDTF">2020-05-29T09:15:18Z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