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b/>
          <w:bCs/>
          <w:color w:val="000000"/>
          <w:lang w:eastAsia="zh-CN"/>
        </w:rPr>
      </w:pPr>
      <w:r>
        <w:rPr>
          <w:rFonts w:hint="eastAsia" w:ascii="黑体" w:hAnsi="黑体" w:eastAsia="黑体"/>
          <w:b/>
          <w:bCs/>
          <w:color w:val="000000"/>
        </w:rPr>
        <w:t>附</w:t>
      </w:r>
      <w:r>
        <w:rPr>
          <w:rFonts w:hint="eastAsia" w:ascii="黑体" w:hAnsi="黑体" w:eastAsia="黑体"/>
          <w:b/>
          <w:bCs/>
          <w:color w:val="000000"/>
          <w:lang w:eastAsia="zh-CN"/>
        </w:rPr>
        <w:t>件</w:t>
      </w:r>
      <w:r>
        <w:rPr>
          <w:rFonts w:hint="eastAsia" w:ascii="黑体" w:hAnsi="黑体" w:eastAsia="黑体"/>
          <w:b/>
          <w:bCs/>
          <w:color w:val="000000"/>
          <w:lang w:val="en-US" w:eastAsia="zh-CN"/>
        </w:rPr>
        <w:t>1</w:t>
      </w:r>
    </w:p>
    <w:p>
      <w:pPr>
        <w:pStyle w:val="6"/>
        <w:spacing w:line="240" w:lineRule="auto"/>
        <w:rPr>
          <w:rFonts w:ascii="Times New Roman" w:hAnsi="Times New Roman" w:eastAsia="方正小标宋简体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 w:val="0"/>
          <w:sz w:val="44"/>
          <w:szCs w:val="44"/>
        </w:rPr>
        <w:t>生产涉及的主要标准</w:t>
      </w:r>
    </w:p>
    <w:tbl>
      <w:tblPr>
        <w:tblStyle w:val="5"/>
        <w:tblW w:w="8661" w:type="dxa"/>
        <w:jc w:val="center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043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法规/标准号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GB/T 20880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食用葡萄糖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GB 15203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食品安全国家标准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淀粉糖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新资源公告2017年第7号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国家卫生计生委关于乳木果油等10种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3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新食品原料的公告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GB 5749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生活饮用水卫生标准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GB 14881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食品安全国家标准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食品生产通用卫生规范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GB 2760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食品安全国家标准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食品添加剂使用标准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GB 276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食品安全国家标准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食品中真菌毒素限量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GB 2762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食品安全国家标准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食品中污染物限量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GB 2763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食品安全国家标准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食品中农药最大残留限量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GB 14880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食品安全国家标准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食品营养强化剂使用标准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GB 7718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食品安全国家标准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预包装食品标签通则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GB 28050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食品安全国家标准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预包装食品营养标签通则</w:t>
            </w:r>
          </w:p>
        </w:tc>
      </w:tr>
    </w:tbl>
    <w:p>
      <w:pPr>
        <w:rPr>
          <w:rFonts w:hint="eastAsia" w:ascii="黑体" w:hAnsi="黑体" w:eastAsia="黑体"/>
          <w:color w:val="000000"/>
          <w:sz w:val="32"/>
        </w:rPr>
      </w:pPr>
    </w:p>
    <w:p>
      <w:pPr>
        <w:rPr>
          <w:rFonts w:hint="eastAsia" w:ascii="黑体" w:hAnsi="黑体" w:eastAsia="黑体"/>
          <w:color w:val="000000"/>
          <w:sz w:val="32"/>
        </w:rPr>
        <w:sectPr>
          <w:footerReference r:id="rId3" w:type="default"/>
          <w:pgSz w:w="11906" w:h="16838"/>
          <w:pgMar w:top="2098" w:right="1474" w:bottom="1984" w:left="1588" w:header="851" w:footer="1587" w:gutter="0"/>
          <w:pgNumType w:fmt="numberInDash" w:start="1"/>
          <w:cols w:space="720" w:num="1"/>
          <w:rtlGutter w:val="0"/>
          <w:docGrid w:type="linesAndChars" w:linePitch="579" w:charSpace="-2758"/>
        </w:sectPr>
      </w:pPr>
    </w:p>
    <w:p>
      <w:pPr>
        <w:rPr>
          <w:rFonts w:hint="eastAsia" w:eastAsia="黑体"/>
          <w:b/>
          <w:bCs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2"/>
        </w:rPr>
        <w:t>附件</w:t>
      </w:r>
      <w:r>
        <w:rPr>
          <w:rFonts w:hint="eastAsia" w:ascii="黑体" w:hAnsi="黑体" w:eastAsia="黑体"/>
          <w:b/>
          <w:bCs/>
          <w:color w:val="000000"/>
          <w:sz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</w:rPr>
        <w:t>生产涉及的生产记录表单</w:t>
      </w:r>
    </w:p>
    <w:tbl>
      <w:tblPr>
        <w:tblStyle w:val="5"/>
        <w:tblW w:w="13974" w:type="dxa"/>
        <w:jc w:val="center"/>
        <w:tblInd w:w="-21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700"/>
        <w:gridCol w:w="6361"/>
        <w:gridCol w:w="40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记录名称</w:t>
            </w:r>
          </w:p>
        </w:tc>
        <w:tc>
          <w:tcPr>
            <w:tcW w:w="6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记录应包括但不限于以下内容</w:t>
            </w:r>
          </w:p>
        </w:tc>
        <w:tc>
          <w:tcPr>
            <w:tcW w:w="4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进货查验记录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查验：食品原料、食品添加剂及食品相关产品供货者的许可证和产品合格证明。如实记录：采购产品名称、规格、生产日期或生产批号、保质期、供货者名称、地址及联系方式、进货日期、进货量等信息。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《食品安全法》第五十条第二款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原料检验记录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原料名称、规格、批号、数量、到货日期、检验日期（检验批号）、检测项目、检测方法、检验结果、检验人员、复核人员签字等。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《食品安全法》第四十六条（三）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食品添加剂使用记录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食品添加剂及营养强化剂的名称、生产日期（生产批次）、领用日期、领用量、使用量、领用人、复核人签字等。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《食品安全法》第四十六条（二）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67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14881-2013 8.3.6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配料记录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物料名称、规格、生产日期（生产批次）、称量量、配料人、复核人签字等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《食品安全法》第四十六条（二）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生产投料记录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配料名称、批号、使用数量、投料时间、投料人、复核人签字等。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《食品安全法》第四十六条（二）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关键控制点的控制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产品名称、关键控制点（工序）名称、时间、关键控制参数（如：杀菌温度、时间等）及实施情况检查、责任人签字。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《食品安全法》第四十六条（二）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清洁消毒剂（领用）使用记录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清洁剂和消毒剂名称、用途、领用人、领用时间、领用量、使用量等。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《GB14881-2013食品生产通用卫生规范》8.3.6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消毒液配制记录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清洁剂和消毒剂名称、用途、配制浓度、配制人、配制时间、配制量、使用量等。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14881-2013 8.2.1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设备（设施）清洗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（消毒）记录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设备（设施）名称、清洗（消毒）方法、清洗剂（消毒剂）名称和用量、时间、责任人签字等。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14881-2013 6.1.4/8.2.1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设备（设施）维护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保养记录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设备（设施）名称、维修保养内容、时间、责任人。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《GB 14881-2013食品生产通用卫生规范》5.2.3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不合格品处理记录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食品原料、食品添加剂、食品相关产品、半成品和成品的名称、规格、生产日期（生产批次）、数量、不合格情况、处理情况、责任人。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《食品生产许可审查通则（2016）》5.4.2.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检验设备使用记录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名称、型号、状态、使用时间、使用人。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14881-2013 9.3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出厂检验记录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食品的名称、规格、抽样数量、生产日期（生产批号）、执行标准、检验项目、检验方法、检验结果、检验人员、复核人员签字、检验日期等。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《食品安全法》第五十二条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《食品安全法》第四十六条（三）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产品留样记录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产品名称、规格、生产日期（生产批号）、留样数量、留样日期、责任人。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14881-2013 9.3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库房管理记录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名称、规格、批号、入库日期、入库量、出库日期、出库量、库存量、负责人、库房温湿度。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《食品安全法》第四十六条（二）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产品出厂放行记录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产品名称、规格、数量、生产日期或生产批号、保质期、检验合格证号或检验报告编号、批准人、放行日期。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《食品安全法》第五十一条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销售记录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产品的名称、规格、数量、生产日期（生产批号）、购货者名称、地址及联系方式、检验合格单、销售日期。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《食品安全法》第五十一条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退货处置记录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产品名称、规格、生产日期（批号）、退货数量、退货原因、处理情况、责任人。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《食品生产许可审查通则（2016）》5.4.2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产品召回及处理记录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食品名称、规格、批次、数量、召回原因、召回产品处理情况、处理时间、处理地点、后续整改方案、向主管行政部门汇报情况、主管行政部门监督处理情况、责任人等。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《食品安全法》第六十三条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客户投诉及处理记录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客户姓名、联系方式、投诉产品名称、规格、生产日期（批号）、投诉事项、处理情况、责任人等。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14881-2013食品生产通用卫生规范14.1.3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食品安全事故处置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发生时间、地点、事故原因、相应产品名称、规格、生产日期（批号）、数量、处理情况、责任人等。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《食品生产许可审查通则（2016）》5.6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食品安全自查记录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检查地点、内容、时间、结果评价、处理措施、责任人。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《食品安全法》第四十七条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人员培训考核记录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培训人、培训对象、培训内容、时间、地点、考核。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《食品安全法》第四十四条第一款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人员健康管理记录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人员姓名、健康检查时间、项目、评价。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《食品安全法》第四十五条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除虫灭害记录</w:t>
            </w:r>
          </w:p>
        </w:tc>
        <w:tc>
          <w:tcPr>
            <w:tcW w:w="6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除虫灭害日期、范围、除虫灭害方式、药剂名称及用量、杀虫效果评价、药剂残留验证、责任人等。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《GB 14881-2013食品生产通用卫生规范》6.4  虫害控制</w:t>
            </w:r>
          </w:p>
        </w:tc>
      </w:tr>
    </w:tbl>
    <w:p>
      <w:pPr>
        <w:tabs>
          <w:tab w:val="left" w:pos="2244"/>
        </w:tabs>
        <w:jc w:val="left"/>
        <w:rPr>
          <w:rFonts w:hint="eastAsia"/>
          <w:color w:val="auto"/>
          <w:szCs w:val="22"/>
        </w:rPr>
      </w:pPr>
      <w:r>
        <w:t>注</w:t>
      </w:r>
      <w:r>
        <w:rPr>
          <w:rFonts w:hint="eastAsia"/>
        </w:rPr>
        <w:t>：</w:t>
      </w:r>
      <w:r>
        <w:t>记录内容来自于</w:t>
      </w:r>
      <w:r>
        <w:rPr>
          <w:rFonts w:hint="eastAsia"/>
        </w:rPr>
        <w:t>《中华人民共和国食品安全法》《</w:t>
      </w:r>
      <w:r>
        <w:t>食品安全国家标准食品生产通用卫</w:t>
      </w:r>
      <w:r>
        <w:rPr>
          <w:color w:val="auto"/>
        </w:rPr>
        <w:t>生规范</w:t>
      </w:r>
      <w:r>
        <w:rPr>
          <w:rFonts w:hint="eastAsia"/>
          <w:color w:val="auto"/>
        </w:rPr>
        <w:t>》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GB14881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szCs w:val="22"/>
        </w:rPr>
        <w:t>《食品生产许可审查通则（2016）》</w:t>
      </w:r>
    </w:p>
    <w:p>
      <w:pPr>
        <w:tabs>
          <w:tab w:val="left" w:pos="2244"/>
        </w:tabs>
        <w:jc w:val="left"/>
        <w:rPr>
          <w:rFonts w:hint="eastAsia"/>
          <w:color w:val="auto"/>
          <w:szCs w:val="22"/>
        </w:rPr>
        <w:sectPr>
          <w:pgSz w:w="16838" w:h="11906" w:orient="landscape"/>
          <w:pgMar w:top="1588" w:right="2098" w:bottom="1474" w:left="1984" w:header="851" w:footer="1587" w:gutter="0"/>
          <w:pgNumType w:fmt="numberInDash"/>
          <w:cols w:space="720" w:num="1"/>
          <w:rtlGutter w:val="0"/>
          <w:docGrid w:type="linesAndChars" w:linePitch="579" w:charSpace="-2758"/>
        </w:sectPr>
      </w:pPr>
    </w:p>
    <w:p>
      <w:pPr>
        <w:rPr>
          <w:rFonts w:hint="eastAsia" w:ascii="黑体" w:hAnsi="黑体" w:eastAsia="黑体"/>
          <w:b/>
          <w:bCs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2"/>
        </w:rPr>
        <w:t>附</w:t>
      </w:r>
      <w:r>
        <w:rPr>
          <w:rFonts w:hint="eastAsia" w:ascii="黑体" w:hAnsi="黑体" w:eastAsia="黑体"/>
          <w:b/>
          <w:bCs/>
          <w:color w:val="000000"/>
          <w:sz w:val="32"/>
          <w:lang w:val="en-US" w:eastAsia="zh-CN"/>
        </w:rPr>
        <w:t>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N-乙酰神经氨酸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涉及的检验项目与方法</w:t>
      </w:r>
    </w:p>
    <w:tbl>
      <w:tblPr>
        <w:tblStyle w:val="5"/>
        <w:tblW w:w="9179" w:type="dxa"/>
        <w:jc w:val="center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830"/>
        <w:gridCol w:w="1360"/>
        <w:gridCol w:w="239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8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检验项目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标准号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感官</w:t>
            </w:r>
          </w:p>
        </w:tc>
        <w:tc>
          <w:tcPr>
            <w:tcW w:w="136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企业标准</w:t>
            </w:r>
          </w:p>
        </w:tc>
        <w:tc>
          <w:tcPr>
            <w:tcW w:w="239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企业标准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按企业标准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30" w:type="dxa"/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 w:bidi="ar-SA"/>
              </w:rPr>
              <w:t>N-乙酰神经氨酸，g/100g</w:t>
            </w:r>
          </w:p>
        </w:tc>
        <w:tc>
          <w:tcPr>
            <w:tcW w:w="136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按企业标准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pH值（2%水溶液）</w:t>
            </w:r>
          </w:p>
        </w:tc>
        <w:tc>
          <w:tcPr>
            <w:tcW w:w="136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5009.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水分（g/100g）</w:t>
            </w:r>
          </w:p>
        </w:tc>
        <w:tc>
          <w:tcPr>
            <w:tcW w:w="136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5009.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灰分（g/100g）</w:t>
            </w:r>
          </w:p>
        </w:tc>
        <w:tc>
          <w:tcPr>
            <w:tcW w:w="136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5009.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铅（以Pb计）,mg/kg</w:t>
            </w:r>
          </w:p>
        </w:tc>
        <w:tc>
          <w:tcPr>
            <w:tcW w:w="136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2762</w:t>
            </w:r>
          </w:p>
        </w:tc>
        <w:tc>
          <w:tcPr>
            <w:tcW w:w="239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食品安全国家标准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食品中污染物限量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5009.1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砷（以As计）,mg/kg</w:t>
            </w:r>
          </w:p>
        </w:tc>
        <w:tc>
          <w:tcPr>
            <w:tcW w:w="136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5009.1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菌落总数</w:t>
            </w:r>
          </w:p>
        </w:tc>
        <w:tc>
          <w:tcPr>
            <w:tcW w:w="1360" w:type="dxa"/>
            <w:vMerge w:val="restart"/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企业标准</w:t>
            </w:r>
          </w:p>
        </w:tc>
        <w:tc>
          <w:tcPr>
            <w:tcW w:w="239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企业标准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4789.2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大肠菌群</w:t>
            </w:r>
          </w:p>
        </w:tc>
        <w:tc>
          <w:tcPr>
            <w:tcW w:w="136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4789.3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平板计数法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8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食品添加剂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"http://220.181.176.160/stdlinfo/servlet/com.sac.sacQuery.GjbzcxDetailServlet?std_code=GB%202759.2-2003"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GB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2760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sz w:val="28"/>
                <w:szCs w:val="28"/>
              </w:rPr>
              <w:t>食品安全国家标准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kern w:val="0"/>
                <w:sz w:val="28"/>
                <w:szCs w:val="28"/>
              </w:rPr>
              <w:t>食品添加剂使用标准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按照对应标准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营养强化剂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14880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食品安全国家标准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食品营养强化剂使用标准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按照对应标准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3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标签</w:t>
            </w: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7718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sz w:val="28"/>
                <w:szCs w:val="28"/>
              </w:rPr>
              <w:t>食品安全国家标准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sz w:val="28"/>
                <w:szCs w:val="28"/>
              </w:rPr>
              <w:t>预包装食品标签通则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GB 28050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食品安全国家标准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预包装食品营养标签通则</w:t>
            </w:r>
          </w:p>
        </w:tc>
        <w:tc>
          <w:tcPr>
            <w:tcW w:w="184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注：产品执行有效的企业标准，本表规定了其他食品（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N-乙酰神经氨酸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）检验项目和方法标准，仅供参考。企业标准应符合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国家卫生计生委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2017年第7号公告相关要求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793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kS0q0QAAAAUBAAAPAAAAAAAAAAEAIAAAACIAAABkcnMvZG93bnJldi54bWxQSwECFAAUAAAACACH&#10;TuJAaVPfa7kBAABVAwAADgAAAAAAAAABACAAAAAgAQAAZHJzL2Uyb0RvYy54bWxQSwUGAAAAAAYA&#10;BgBZAQAASwUAAAAA&#10;">
              <v:fill on="f" focussize="0,0"/>
              <v:stroke on="f" weight="6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8"/>
      <w:suff w:val="nothing"/>
      <w:lvlText w:val="%1.%2　"/>
      <w:lvlJc w:val="left"/>
      <w:pPr>
        <w:ind w:left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7"/>
      <w:suff w:val="nothing"/>
      <w:lvlText w:val="%1.%2.%3　"/>
      <w:lvlJc w:val="left"/>
      <w:pPr>
        <w:ind w:left="735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373B1"/>
    <w:rsid w:val="3AE37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表头"/>
    <w:basedOn w:val="1"/>
    <w:qFormat/>
    <w:uiPriority w:val="0"/>
    <w:pPr>
      <w:widowControl/>
      <w:spacing w:line="440" w:lineRule="exact"/>
      <w:jc w:val="center"/>
    </w:pPr>
    <w:rPr>
      <w:rFonts w:ascii="黑体" w:hAnsi="黑体" w:eastAsia="黑体" w:cs="Times New Roman"/>
      <w:b/>
      <w:bCs/>
      <w:color w:val="000000"/>
      <w:kern w:val="0"/>
      <w:sz w:val="32"/>
      <w:szCs w:val="28"/>
    </w:rPr>
  </w:style>
  <w:style w:type="paragraph" w:customStyle="1" w:styleId="7">
    <w:name w:val="二级条标题"/>
    <w:basedOn w:val="8"/>
    <w:next w:val="9"/>
    <w:qFormat/>
    <w:uiPriority w:val="0"/>
    <w:pPr>
      <w:numPr>
        <w:ilvl w:val="2"/>
        <w:numId w:val="1"/>
      </w:numPr>
      <w:spacing w:before="50" w:after="50"/>
      <w:ind w:left="735"/>
      <w:outlineLvl w:val="3"/>
    </w:pPr>
  </w:style>
  <w:style w:type="paragraph" w:customStyle="1" w:styleId="8">
    <w:name w:val="一级条标题"/>
    <w:next w:val="9"/>
    <w:qFormat/>
    <w:uiPriority w:val="0"/>
    <w:pPr>
      <w:numPr>
        <w:ilvl w:val="1"/>
        <w:numId w:val="1"/>
      </w:numPr>
      <w:spacing w:beforeLines="50" w:afterLines="50"/>
      <w:ind w:left="105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1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2020-03-18T01:46:00Z</dcterms:created>
  <dc:creator>朱晓明</dc:creator>
  <cp:lastModifiedBy>朱晓明</cp:lastModifiedBy>
  <dcterms:modified xsi:type="dcterms:W3CDTF">2020-03-18T01:47:00Z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