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Style w:val="6"/>
          <w:rFonts w:ascii="黑体" w:hAnsi="黑体" w:eastAsia="黑体"/>
          <w:b w:val="0"/>
          <w:bCs/>
          <w:sz w:val="32"/>
          <w:szCs w:val="32"/>
        </w:rPr>
      </w:pPr>
      <w:r>
        <w:rPr>
          <w:rStyle w:val="6"/>
          <w:rFonts w:hint="eastAsia" w:ascii="黑体" w:hAnsi="黑体" w:eastAsia="黑体"/>
          <w:b w:val="0"/>
          <w:bCs/>
          <w:sz w:val="32"/>
          <w:szCs w:val="32"/>
        </w:rPr>
        <w:t>附件</w:t>
      </w:r>
    </w:p>
    <w:p>
      <w:pPr>
        <w:jc w:val="left"/>
        <w:rPr>
          <w:rStyle w:val="6"/>
          <w:rFonts w:ascii="黑体" w:hAnsi="黑体" w:eastAsia="黑体"/>
          <w:b w:val="0"/>
          <w:bCs/>
          <w:sz w:val="32"/>
          <w:szCs w:val="32"/>
        </w:rPr>
      </w:pPr>
    </w:p>
    <w:p>
      <w:pPr>
        <w:pStyle w:val="4"/>
        <w:widowControl/>
        <w:spacing w:before="0" w:beforeAutospacing="0" w:after="0" w:afterAutospacing="0" w:line="600" w:lineRule="exact"/>
        <w:jc w:val="center"/>
        <w:rPr>
          <w:rStyle w:val="6"/>
          <w:rFonts w:ascii="方正小标宋简体" w:eastAsia="方正小标宋简体"/>
          <w:b w:val="0"/>
          <w:bCs/>
          <w:sz w:val="44"/>
          <w:szCs w:val="44"/>
        </w:rPr>
      </w:pPr>
      <w:r>
        <w:rPr>
          <w:rStyle w:val="6"/>
          <w:rFonts w:hint="eastAsia" w:ascii="方正小标宋简体" w:eastAsia="方正小标宋简体"/>
          <w:b w:val="0"/>
          <w:bCs/>
          <w:sz w:val="44"/>
          <w:szCs w:val="44"/>
        </w:rPr>
        <w:t>四川省畜禽养殖废弃物资源化利用</w:t>
      </w:r>
    </w:p>
    <w:p>
      <w:pPr>
        <w:pStyle w:val="4"/>
        <w:widowControl/>
        <w:spacing w:before="0" w:beforeAutospacing="0" w:afterLines="50" w:afterAutospacing="0" w:line="600" w:lineRule="exact"/>
        <w:jc w:val="center"/>
        <w:rPr>
          <w:rFonts w:ascii="方正小标宋简体" w:eastAsia="方正小标宋简体"/>
          <w:b w:val="0"/>
          <w:bCs/>
          <w:sz w:val="44"/>
          <w:szCs w:val="44"/>
        </w:rPr>
      </w:pPr>
      <w:bookmarkStart w:id="0" w:name="_GoBack"/>
      <w:bookmarkEnd w:id="0"/>
      <w:r>
        <w:rPr>
          <w:rStyle w:val="6"/>
          <w:rFonts w:hint="eastAsia" w:ascii="方正小标宋简体" w:eastAsia="方正小标宋简体"/>
          <w:b w:val="0"/>
          <w:bCs/>
          <w:sz w:val="44"/>
          <w:szCs w:val="44"/>
        </w:rPr>
        <w:t>重点工作任务清单</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513"/>
        <w:gridCol w:w="850"/>
        <w:gridCol w:w="851"/>
        <w:gridCol w:w="836"/>
        <w:gridCol w:w="915"/>
      </w:tblGrid>
      <w:tr>
        <w:trPr>
          <w:tblHeader/>
          <w:jc w:val="center"/>
        </w:trPr>
        <w:tc>
          <w:tcPr>
            <w:tcW w:w="557" w:type="dxa"/>
            <w:vAlign w:val="center"/>
          </w:tcPr>
          <w:p>
            <w:pPr>
              <w:spacing w:line="400" w:lineRule="exact"/>
              <w:jc w:val="center"/>
              <w:rPr>
                <w:rFonts w:ascii="宋体" w:hAnsi="宋体"/>
                <w:b w:val="0"/>
                <w:bCs/>
                <w:sz w:val="28"/>
                <w:szCs w:val="28"/>
              </w:rPr>
            </w:pPr>
            <w:r>
              <w:rPr>
                <w:rFonts w:hint="eastAsia" w:ascii="宋体" w:hAnsi="宋体"/>
                <w:b w:val="0"/>
                <w:bCs/>
                <w:sz w:val="28"/>
                <w:szCs w:val="28"/>
              </w:rPr>
              <w:t>序号</w:t>
            </w:r>
          </w:p>
        </w:tc>
        <w:tc>
          <w:tcPr>
            <w:tcW w:w="4513" w:type="dxa"/>
            <w:vAlign w:val="center"/>
          </w:tcPr>
          <w:p>
            <w:pPr>
              <w:spacing w:line="400" w:lineRule="exact"/>
              <w:jc w:val="center"/>
              <w:rPr>
                <w:rFonts w:ascii="宋体" w:hAnsi="宋体"/>
                <w:b w:val="0"/>
                <w:bCs/>
                <w:sz w:val="28"/>
                <w:szCs w:val="28"/>
              </w:rPr>
            </w:pPr>
            <w:r>
              <w:rPr>
                <w:rFonts w:hint="eastAsia" w:ascii="宋体" w:hAnsi="宋体"/>
                <w:b w:val="0"/>
                <w:bCs/>
                <w:sz w:val="28"/>
                <w:szCs w:val="28"/>
              </w:rPr>
              <w:t>主要任务</w:t>
            </w:r>
          </w:p>
        </w:tc>
        <w:tc>
          <w:tcPr>
            <w:tcW w:w="850" w:type="dxa"/>
            <w:vAlign w:val="center"/>
          </w:tcPr>
          <w:p>
            <w:pPr>
              <w:spacing w:line="400" w:lineRule="exact"/>
              <w:jc w:val="center"/>
              <w:rPr>
                <w:rFonts w:ascii="宋体" w:hAnsi="宋体"/>
                <w:b w:val="0"/>
                <w:bCs/>
                <w:sz w:val="28"/>
                <w:szCs w:val="28"/>
              </w:rPr>
            </w:pPr>
            <w:r>
              <w:rPr>
                <w:rFonts w:hint="eastAsia" w:ascii="宋体" w:hAnsi="宋体"/>
                <w:b w:val="0"/>
                <w:bCs/>
                <w:sz w:val="28"/>
                <w:szCs w:val="28"/>
              </w:rPr>
              <w:t>牵头部门</w:t>
            </w:r>
          </w:p>
        </w:tc>
        <w:tc>
          <w:tcPr>
            <w:tcW w:w="851" w:type="dxa"/>
            <w:vAlign w:val="center"/>
          </w:tcPr>
          <w:p>
            <w:pPr>
              <w:spacing w:line="400" w:lineRule="exact"/>
              <w:jc w:val="center"/>
              <w:rPr>
                <w:rFonts w:ascii="宋体" w:hAnsi="宋体"/>
                <w:b w:val="0"/>
                <w:bCs/>
                <w:sz w:val="28"/>
                <w:szCs w:val="28"/>
              </w:rPr>
            </w:pPr>
            <w:r>
              <w:rPr>
                <w:rFonts w:hint="eastAsia" w:ascii="宋体" w:hAnsi="宋体"/>
                <w:b w:val="0"/>
                <w:bCs/>
                <w:sz w:val="28"/>
                <w:szCs w:val="28"/>
              </w:rPr>
              <w:t>参与部门</w:t>
            </w:r>
          </w:p>
        </w:tc>
        <w:tc>
          <w:tcPr>
            <w:tcW w:w="836" w:type="dxa"/>
            <w:vAlign w:val="center"/>
          </w:tcPr>
          <w:p>
            <w:pPr>
              <w:spacing w:line="400" w:lineRule="exact"/>
              <w:jc w:val="center"/>
              <w:rPr>
                <w:rFonts w:ascii="宋体" w:hAnsi="宋体"/>
                <w:b w:val="0"/>
                <w:bCs/>
                <w:sz w:val="28"/>
                <w:szCs w:val="28"/>
              </w:rPr>
            </w:pPr>
            <w:r>
              <w:rPr>
                <w:rFonts w:hint="eastAsia" w:ascii="宋体" w:hAnsi="宋体"/>
                <w:b w:val="0"/>
                <w:bCs/>
                <w:sz w:val="28"/>
                <w:szCs w:val="28"/>
              </w:rPr>
              <w:t>责任单位</w:t>
            </w:r>
          </w:p>
        </w:tc>
        <w:tc>
          <w:tcPr>
            <w:tcW w:w="915" w:type="dxa"/>
            <w:vAlign w:val="center"/>
          </w:tcPr>
          <w:p>
            <w:pPr>
              <w:spacing w:line="400" w:lineRule="exact"/>
              <w:jc w:val="center"/>
              <w:rPr>
                <w:rFonts w:ascii="宋体" w:hAnsi="宋体"/>
                <w:b w:val="0"/>
                <w:bCs/>
                <w:sz w:val="28"/>
                <w:szCs w:val="28"/>
              </w:rPr>
            </w:pPr>
            <w:r>
              <w:rPr>
                <w:rFonts w:hint="eastAsia" w:ascii="宋体" w:hAnsi="宋体"/>
                <w:b w:val="0"/>
                <w:bCs/>
                <w:sz w:val="28"/>
                <w:szCs w:val="28"/>
              </w:rPr>
              <w:t>完成年限</w:t>
            </w:r>
          </w:p>
        </w:tc>
      </w:tr>
      <w:tr>
        <w:trPr>
          <w:trHeight w:val="3613" w:hRule="atLeast"/>
          <w:jc w:val="center"/>
        </w:trPr>
        <w:tc>
          <w:tcPr>
            <w:tcW w:w="8522" w:type="dxa"/>
            <w:gridSpan w:val="6"/>
            <w:vAlign w:val="top"/>
          </w:tcPr>
          <w:p>
            <w:pPr>
              <w:spacing w:line="400" w:lineRule="exact"/>
              <w:rPr>
                <w:rFonts w:ascii="宋体" w:hAnsi="宋体"/>
                <w:b w:val="0"/>
                <w:bCs/>
                <w:sz w:val="32"/>
                <w:szCs w:val="32"/>
              </w:rPr>
            </w:pPr>
            <w:r>
              <w:rPr>
                <w:rFonts w:hint="eastAsia" w:ascii="宋体" w:hAnsi="宋体"/>
                <w:b w:val="0"/>
                <w:bCs/>
                <w:sz w:val="22"/>
                <w:szCs w:val="22"/>
              </w:rPr>
              <w:t>主要目标：到</w:t>
            </w:r>
            <w:r>
              <w:rPr>
                <w:rFonts w:ascii="宋体" w:hAnsi="宋体"/>
                <w:b w:val="0"/>
                <w:bCs/>
                <w:sz w:val="22"/>
                <w:szCs w:val="22"/>
              </w:rPr>
              <w:t>2020</w:t>
            </w:r>
            <w:r>
              <w:rPr>
                <w:rFonts w:hint="eastAsia" w:ascii="宋体" w:hAnsi="宋体"/>
                <w:b w:val="0"/>
                <w:bCs/>
                <w:sz w:val="22"/>
                <w:szCs w:val="22"/>
              </w:rPr>
              <w:t>年，建立科学规范、权责清晰、约束有力的畜禽养殖废弃物资源化利用制度，构建种养结合循环发展机制。全省创建</w:t>
            </w:r>
            <w:r>
              <w:rPr>
                <w:rFonts w:ascii="宋体" w:hAnsi="宋体"/>
                <w:b w:val="0"/>
                <w:bCs/>
                <w:sz w:val="22"/>
                <w:szCs w:val="22"/>
              </w:rPr>
              <w:t>10</w:t>
            </w:r>
            <w:r>
              <w:rPr>
                <w:rFonts w:hint="eastAsia" w:ascii="宋体" w:hAnsi="宋体"/>
                <w:b w:val="0"/>
                <w:bCs/>
                <w:sz w:val="22"/>
                <w:szCs w:val="22"/>
              </w:rPr>
              <w:t>个国家畜牧业绿色发展示范县，每年创建部省级标准化示范场</w:t>
            </w:r>
            <w:r>
              <w:rPr>
                <w:rFonts w:ascii="宋体" w:hAnsi="宋体"/>
                <w:b w:val="0"/>
                <w:bCs/>
                <w:sz w:val="22"/>
                <w:szCs w:val="22"/>
              </w:rPr>
              <w:t>100</w:t>
            </w:r>
            <w:r>
              <w:rPr>
                <w:rFonts w:hint="eastAsia" w:ascii="宋体" w:hAnsi="宋体"/>
                <w:b w:val="0"/>
                <w:bCs/>
                <w:sz w:val="22"/>
                <w:szCs w:val="22"/>
              </w:rPr>
              <w:t>个，每年选择</w:t>
            </w:r>
            <w:r>
              <w:rPr>
                <w:rFonts w:ascii="宋体" w:hAnsi="宋体"/>
                <w:b w:val="0"/>
                <w:bCs/>
                <w:sz w:val="22"/>
                <w:szCs w:val="22"/>
              </w:rPr>
              <w:t>10</w:t>
            </w:r>
            <w:r>
              <w:rPr>
                <w:rFonts w:hint="eastAsia" w:ascii="宋体" w:hAnsi="宋体"/>
                <w:b w:val="0"/>
                <w:bCs/>
                <w:sz w:val="22"/>
                <w:szCs w:val="22"/>
              </w:rPr>
              <w:t>个县（市、区）开展省级畜禽粪污资源化利用重点县项目整县推进试点。全省畜禽粪污综合利用率达到</w:t>
            </w:r>
            <w:r>
              <w:rPr>
                <w:rFonts w:ascii="宋体" w:hAnsi="宋体"/>
                <w:b w:val="0"/>
                <w:bCs/>
                <w:sz w:val="22"/>
                <w:szCs w:val="22"/>
              </w:rPr>
              <w:t>75%</w:t>
            </w:r>
            <w:r>
              <w:rPr>
                <w:rFonts w:hint="eastAsia" w:ascii="宋体" w:hAnsi="宋体"/>
                <w:b w:val="0"/>
                <w:bCs/>
                <w:sz w:val="22"/>
                <w:szCs w:val="22"/>
              </w:rPr>
              <w:t>以上，规模养殖场粪污处理设施装备配套率达到</w:t>
            </w:r>
            <w:r>
              <w:rPr>
                <w:rFonts w:ascii="宋体" w:hAnsi="宋体"/>
                <w:b w:val="0"/>
                <w:bCs/>
                <w:sz w:val="22"/>
                <w:szCs w:val="22"/>
              </w:rPr>
              <w:t>95%</w:t>
            </w:r>
            <w:r>
              <w:rPr>
                <w:rFonts w:hint="eastAsia" w:ascii="宋体" w:hAnsi="宋体"/>
                <w:b w:val="0"/>
                <w:bCs/>
                <w:sz w:val="22"/>
                <w:szCs w:val="22"/>
              </w:rPr>
              <w:t>以上，大型规模养殖场粪污处理设施装备配套率提前</w:t>
            </w:r>
            <w:r>
              <w:rPr>
                <w:rFonts w:ascii="宋体" w:hAnsi="宋体"/>
                <w:b w:val="0"/>
                <w:bCs/>
                <w:sz w:val="22"/>
                <w:szCs w:val="22"/>
              </w:rPr>
              <w:t>1</w:t>
            </w:r>
            <w:r>
              <w:rPr>
                <w:rFonts w:hint="eastAsia" w:ascii="宋体" w:hAnsi="宋体"/>
                <w:b w:val="0"/>
                <w:bCs/>
                <w:sz w:val="22"/>
                <w:szCs w:val="22"/>
              </w:rPr>
              <w:t>年达到</w:t>
            </w:r>
            <w:r>
              <w:rPr>
                <w:rFonts w:ascii="宋体" w:hAnsi="宋体"/>
                <w:b w:val="0"/>
                <w:bCs/>
                <w:sz w:val="22"/>
                <w:szCs w:val="22"/>
              </w:rPr>
              <w:t>100%</w:t>
            </w:r>
            <w:r>
              <w:rPr>
                <w:rFonts w:hint="eastAsia" w:ascii="宋体" w:hAnsi="宋体"/>
                <w:b w:val="0"/>
                <w:bCs/>
                <w:sz w:val="22"/>
                <w:szCs w:val="22"/>
              </w:rPr>
              <w:t>，畜禽粪污基本实现资源化利用。病死畜禽全面实现集中收集、统一无害化处理。畜牧大县、国家现代农业示范区、农业可持续发展试验示范区、畜禽养殖废弃物资源化利用试点县、现代农业产业园、现代农业示范县、现代农业畜牧业重点县、省级现代农业产业融合示范园区和全省“四区四基地”率先实现上述目标。</w:t>
            </w:r>
          </w:p>
        </w:tc>
      </w:tr>
      <w:tr>
        <w:trPr>
          <w:trHeight w:val="1411"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w:t>
            </w:r>
          </w:p>
        </w:tc>
        <w:tc>
          <w:tcPr>
            <w:tcW w:w="4513" w:type="dxa"/>
            <w:vAlign w:val="top"/>
          </w:tcPr>
          <w:p>
            <w:pPr>
              <w:spacing w:line="400" w:lineRule="exact"/>
              <w:rPr>
                <w:rFonts w:ascii="宋体" w:hAnsi="宋体"/>
                <w:b w:val="0"/>
                <w:bCs/>
                <w:sz w:val="22"/>
              </w:rPr>
            </w:pPr>
            <w:r>
              <w:rPr>
                <w:rFonts w:ascii="宋体" w:hAnsi="宋体"/>
                <w:b w:val="0"/>
                <w:bCs/>
                <w:sz w:val="22"/>
                <w:szCs w:val="22"/>
              </w:rPr>
              <w:t>2017</w:t>
            </w:r>
            <w:r>
              <w:rPr>
                <w:rFonts w:hint="eastAsia" w:ascii="宋体" w:hAnsi="宋体"/>
                <w:b w:val="0"/>
                <w:bCs/>
                <w:sz w:val="22"/>
                <w:szCs w:val="22"/>
              </w:rPr>
              <w:t>年底前制定并公布畜禽养殖废弃物资源化利用工作方案，细化分年度重点任务和工作清单，并抄送农业厅备案。</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各市（州）人民政府</w:t>
            </w:r>
          </w:p>
        </w:tc>
        <w:tc>
          <w:tcPr>
            <w:tcW w:w="851" w:type="dxa"/>
            <w:vAlign w:val="center"/>
          </w:tcPr>
          <w:p>
            <w:pPr>
              <w:spacing w:line="400" w:lineRule="exact"/>
              <w:rPr>
                <w:rFonts w:ascii="宋体" w:hAnsi="宋体"/>
                <w:b w:val="0"/>
                <w:bCs/>
                <w:sz w:val="22"/>
              </w:rPr>
            </w:pPr>
          </w:p>
        </w:tc>
        <w:tc>
          <w:tcPr>
            <w:tcW w:w="836" w:type="dxa"/>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2017</w:t>
            </w:r>
            <w:r>
              <w:rPr>
                <w:rFonts w:hint="eastAsia" w:ascii="宋体" w:hAnsi="宋体"/>
                <w:b w:val="0"/>
                <w:bCs/>
                <w:sz w:val="22"/>
                <w:szCs w:val="22"/>
              </w:rPr>
              <w:t>年</w:t>
            </w:r>
          </w:p>
        </w:tc>
      </w:tr>
      <w:tr>
        <w:trPr>
          <w:trHeight w:val="1615"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2</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基本摸清本区域内的养殖废弃物资源量和利用现状，调整优化产业布局，编制种养循环发展规划，完善畜牧业发展规划。</w:t>
            </w:r>
            <w:r>
              <w:rPr>
                <w:rFonts w:ascii="宋体" w:hAnsi="宋体"/>
                <w:b w:val="0"/>
                <w:bCs/>
                <w:sz w:val="22"/>
                <w:szCs w:val="22"/>
              </w:rPr>
              <w:tab/>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环境保护厅</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2017</w:t>
            </w:r>
            <w:r>
              <w:rPr>
                <w:rFonts w:hint="eastAsia" w:ascii="宋体" w:hAnsi="宋体"/>
                <w:b w:val="0"/>
                <w:bCs/>
                <w:sz w:val="22"/>
                <w:szCs w:val="22"/>
              </w:rPr>
              <w:t>年</w:t>
            </w:r>
          </w:p>
        </w:tc>
      </w:tr>
      <w:tr>
        <w:trPr>
          <w:trHeight w:val="2762"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3</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畜禽规模养殖相关规划及建设项目应依法依规开展环境影响评价。畜禽养殖项目应严格按照《建设项目环境影响分类管理目录》分类开展项目环评工作。设有固定排污口的畜禽规模养殖场应依法申请排污许可证。对未依法进行环境影响评价的畜禽规模养殖场，环保部门予以处罚。</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环境保护厅、农业厅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4</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加强畜禽养殖信息化管理，完善监管体系，建立畜禽规模养殖场直联直报信息系统。建立畜禽规模养殖场废弃物减排核算制度，制定畜禽养殖粪污土地承载能力测算方法，改革完善畜禽粪污产生、排放统计核算方法，对畜禽粪污全部还田利用的畜禽规模养殖场，将无害化还田利用量作为统计污染物削减量的重要依据。对畜禽养殖中产生的废弃物种类、数量、综合利用、无害化处理以及向环境直接排放的情况实行定期登记备案。</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财政厅</w:t>
            </w:r>
          </w:p>
        </w:tc>
        <w:tc>
          <w:tcPr>
            <w:tcW w:w="836" w:type="dxa"/>
            <w:vMerge w:val="restart"/>
            <w:vAlign w:val="center"/>
          </w:tcPr>
          <w:p>
            <w:pPr>
              <w:spacing w:line="400" w:lineRule="exact"/>
              <w:rPr>
                <w:rFonts w:ascii="宋体" w:hAnsi="宋体"/>
                <w:b w:val="0"/>
                <w:bCs/>
                <w:sz w:val="22"/>
              </w:rPr>
            </w:pP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5</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科学编制种养循环发展规划，大力发展种养循环农业，推广农牧结合生态治理模式，精准引导畜牧业和种植业发展。按照“以种带养、以养促种、种养结合、循环利用”的原则，重点支持在种养配套工程、粪污高效处理、有机肥高效利用、生物饲料和有机微量元素等方面开展研发与推广应用，建立种养循环技术支撑体系。鼓励养殖场（小区）通过自身流转承包周边农田林地方式，采取“养殖场（小区）→种植基地（农户）”模式，实现畜禽粪污就近还田利用。对不能就近还田消纳的，养殖场（小区）应通过与第三方签订协议的方式，采取“养殖场（小区）→第三方主体→种植基地（农户）”模式，实现畜禽养殖粪污的异地还田利用。鼓励建立受益者付费机制，保障第三方主体合理收益。畜禽粪污资源化利用重点县要探索规模化、专业化、社会化运营机制，建立健全畜禽粪污等农业有机废弃物收集、转化、利用体系，形成畜禽粪污资源化利用路线图，初步建立畜禽粪污“从哪里来，到哪里去”的追溯机制</w:t>
            </w:r>
          </w:p>
          <w:p>
            <w:pPr>
              <w:spacing w:line="400" w:lineRule="exact"/>
              <w:rPr>
                <w:rFonts w:ascii="宋体" w:hAnsi="宋体"/>
                <w:b w:val="0"/>
                <w:bCs/>
                <w:sz w:val="22"/>
              </w:rPr>
            </w:pPr>
            <w:r>
              <w:rPr>
                <w:rFonts w:hint="eastAsia" w:ascii="宋体" w:hAnsi="宋体"/>
                <w:b w:val="0"/>
                <w:bCs/>
                <w:sz w:val="22"/>
                <w:szCs w:val="22"/>
              </w:rPr>
              <w:t>。</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省发展改革委、财政厅</w:t>
            </w:r>
          </w:p>
        </w:tc>
        <w:tc>
          <w:tcPr>
            <w:tcW w:w="836" w:type="dxa"/>
            <w:vMerge w:val="continue"/>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6</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深入推进畜禽粪污沼气转化利用，科学规划、布局建设各类沼气工程，推进畜禽养殖沼气工程建设，不断提高养殖场（小区）沼气工程配套率。积极推进规模化大型沼气工程建设，综合考虑沼气工程沼渣沼液产量和种植业基地消纳能力，做到生产消纳平衡，沼渣沼液高质利用。积极推进新农村综合体和新村聚居点的沼气集中供气工程建设，解决农户清洁能源使用问题，为种植基地提供优质的有机肥。深入推进沼气高值高效深度开发利用，因地制宜推进沼气发电上网，开展规模化生物天然气项目试点示范。</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农业厅、科技厅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省发展改革委、财政厅</w:t>
            </w:r>
          </w:p>
        </w:tc>
        <w:tc>
          <w:tcPr>
            <w:tcW w:w="836" w:type="dxa"/>
            <w:vMerge w:val="restart"/>
            <w:vAlign w:val="center"/>
          </w:tcPr>
          <w:p>
            <w:pPr>
              <w:spacing w:line="400" w:lineRule="exact"/>
              <w:ind w:left="90" w:leftChars="43" w:firstLine="450" w:firstLineChars="250"/>
              <w:rPr>
                <w:rFonts w:ascii="宋体" w:hAnsi="宋体"/>
                <w:b w:val="0"/>
                <w:bCs/>
                <w:sz w:val="22"/>
              </w:rPr>
            </w:pPr>
            <w:r>
              <w:rPr>
                <w:rFonts w:ascii="宋体" w:hAnsi="宋体"/>
                <w:b w:val="0"/>
                <w:bCs/>
                <w:spacing w:val="-20"/>
                <w:kern w:val="0"/>
                <w:sz w:val="22"/>
                <w:szCs w:val="22"/>
              </w:rPr>
              <w:t xml:space="preserve"> </w:t>
            </w: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7</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深入推进固体粪便肥料化利用，大力推广工厂化堆肥处理和商品化有机肥生产技术，根据畜禽饲养量和固体粪便产生量，科学布局、建设配套有机肥加工厂和堆肥场。支持发展以畜禽粪便为原料的商品有机肥产业，鼓励现有有机肥企业扩大生产规模，提高畜禽粪污深度加工和利用水平。加强畜禽干粪加工、有机肥生产管理，从源头保证商品有机肥质量。加强商品有机肥生产证后监管，进一步规范有机肥生产和经营行为。</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省发展改革委、省经济和信息化委、</w:t>
            </w:r>
          </w:p>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科技厅、财政厅、省工商局、</w:t>
            </w:r>
          </w:p>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省质监局</w:t>
            </w:r>
          </w:p>
        </w:tc>
        <w:tc>
          <w:tcPr>
            <w:tcW w:w="836" w:type="dxa"/>
            <w:vMerge w:val="continue"/>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1840"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8</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地方各级人民政府对本行政区域内的畜禽养殖废弃物资源化利用工作负总责，要结合本地实际，依法明确部门职责，细化任务分工，加强协作配合，健全工作机制，指导督促其行政区域内全面开展畜禽养殖废弃物资源化利用工作，建立完善的畜禽养殖废弃物资源化利用制度，确保各项任务落实到位。落实“菜篮子”市长负责制，统筹兼顾畜禽产品供给和畜禽污染治理之间的关系，推进农牧结合、资源化利用，因势利导推动解决畜牧业养殖污染问题。</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环境保护厅</w:t>
            </w: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4214"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9</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督促畜禽规模养殖场切实履行环境保护主体责任，按要求建设污染防治配套设施并保持正常运行，或者委托第三方进行粪污处理。新建或改（扩）建畜禽规模养殖场，必须配套与养殖规模和处理工艺相适应的粪污消纳用地，配备废弃物收集、贮存、处理、利用设施，已经委托他人对畜禽养殖废弃物代为综合利用和无害化处理的，可不再自行建设综合利用和无害化处理设施。</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6041"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10</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以规模养殖场粪污处理、有机肥还田利用、沼气和生物天然气使用等指标为重点，建立畜禽养殖废弃物资源化利用绩效评价考核制度，纳入地方政府绩效评价考核体系。根据农业部、环境保护部联合制定的考核办法，农业厅、环境保护厅要联合制定四川省具体考核办法，对各市（州）人民政府开展考核。各市（州）人民政府要对本行政区域内畜禽养殖废弃物资源化利用工作开展考核，定期通报工作进展，层层传导压力。强化考核结果应用，把履行环境保护、安全生产职责情况作为重要参考，纳入干部工作调研、领导班子综合研判、干部考察的重要内容。</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省委组织部</w:t>
            </w: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11</w:t>
            </w:r>
          </w:p>
        </w:tc>
        <w:tc>
          <w:tcPr>
            <w:tcW w:w="4513" w:type="dxa"/>
            <w:vAlign w:val="center"/>
          </w:tcPr>
          <w:p>
            <w:pPr>
              <w:spacing w:line="380" w:lineRule="exact"/>
              <w:rPr>
                <w:rFonts w:ascii="宋体" w:hAnsi="宋体"/>
                <w:b w:val="0"/>
                <w:bCs/>
                <w:sz w:val="22"/>
              </w:rPr>
            </w:pPr>
            <w:r>
              <w:rPr>
                <w:rFonts w:hint="eastAsia" w:ascii="宋体" w:hAnsi="宋体"/>
                <w:b w:val="0"/>
                <w:bCs/>
                <w:sz w:val="22"/>
                <w:szCs w:val="22"/>
              </w:rPr>
              <w:t>各地各有关部门要按照职责分工，加大养殖废弃物污染治理工作力度，抓紧制定和完善具体政策措施。农业厅要会同省直有关部门对本方案实施情况进行定期督查和跟踪评估，并向省政府报告。</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90"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12</w:t>
            </w:r>
          </w:p>
        </w:tc>
        <w:tc>
          <w:tcPr>
            <w:tcW w:w="4513" w:type="dxa"/>
            <w:vAlign w:val="center"/>
          </w:tcPr>
          <w:p>
            <w:pPr>
              <w:spacing w:line="380" w:lineRule="exact"/>
              <w:rPr>
                <w:rFonts w:ascii="宋体" w:hAnsi="宋体"/>
                <w:b w:val="0"/>
                <w:bCs/>
                <w:sz w:val="22"/>
              </w:rPr>
            </w:pPr>
            <w:r>
              <w:rPr>
                <w:rFonts w:hint="eastAsia" w:ascii="宋体" w:hAnsi="宋体"/>
                <w:b w:val="0"/>
                <w:bCs/>
                <w:sz w:val="22"/>
                <w:szCs w:val="22"/>
              </w:rPr>
              <w:t>鼓励地方政府利用中央财政农机购置补贴资金，对畜禽养殖废弃物资源化利用装备实行敞开补贴。落实《财政部</w:t>
            </w:r>
            <w:r>
              <w:rPr>
                <w:rFonts w:ascii="宋体" w:hAnsi="宋体"/>
                <w:b w:val="0"/>
                <w:bCs/>
                <w:sz w:val="22"/>
                <w:szCs w:val="22"/>
              </w:rPr>
              <w:t xml:space="preserve"> </w:t>
            </w:r>
            <w:r>
              <w:rPr>
                <w:rFonts w:hint="eastAsia" w:ascii="宋体" w:hAnsi="宋体"/>
                <w:b w:val="0"/>
                <w:bCs/>
                <w:sz w:val="22"/>
                <w:szCs w:val="22"/>
              </w:rPr>
              <w:t>国家税务总局关于印发</w:t>
            </w:r>
            <w:r>
              <w:rPr>
                <w:rFonts w:ascii="宋体" w:hAnsi="宋体"/>
                <w:b w:val="0"/>
                <w:bCs/>
                <w:sz w:val="22"/>
                <w:szCs w:val="22"/>
              </w:rPr>
              <w:t>&lt;</w:t>
            </w:r>
            <w:r>
              <w:rPr>
                <w:rFonts w:hint="eastAsia" w:ascii="宋体" w:hAnsi="宋体"/>
                <w:b w:val="0"/>
                <w:bCs/>
                <w:sz w:val="22"/>
                <w:szCs w:val="22"/>
              </w:rPr>
              <w:t>资源综合利用产品和劳务增值税优惠目录</w:t>
            </w:r>
            <w:r>
              <w:rPr>
                <w:rFonts w:ascii="宋体" w:hAnsi="宋体"/>
                <w:b w:val="0"/>
                <w:bCs/>
                <w:sz w:val="22"/>
                <w:szCs w:val="22"/>
              </w:rPr>
              <w:t>&gt;</w:t>
            </w:r>
            <w:r>
              <w:rPr>
                <w:rFonts w:hint="eastAsia" w:ascii="宋体" w:hAnsi="宋体"/>
                <w:b w:val="0"/>
                <w:bCs/>
                <w:sz w:val="22"/>
                <w:szCs w:val="22"/>
              </w:rPr>
              <w:t>的通知》（财税〔</w:t>
            </w:r>
            <w:r>
              <w:rPr>
                <w:rFonts w:ascii="宋体" w:hAnsi="宋体"/>
                <w:b w:val="0"/>
                <w:bCs/>
                <w:sz w:val="22"/>
                <w:szCs w:val="22"/>
              </w:rPr>
              <w:t>2015</w:t>
            </w:r>
            <w:r>
              <w:rPr>
                <w:rFonts w:hint="eastAsia" w:ascii="宋体" w:hAnsi="宋体"/>
                <w:b w:val="0"/>
                <w:bCs/>
                <w:sz w:val="22"/>
                <w:szCs w:val="22"/>
              </w:rPr>
              <w:t>〕</w:t>
            </w:r>
            <w:r>
              <w:rPr>
                <w:rFonts w:ascii="宋体" w:hAnsi="宋体"/>
                <w:b w:val="0"/>
                <w:bCs/>
                <w:sz w:val="22"/>
                <w:szCs w:val="22"/>
              </w:rPr>
              <w:t>78</w:t>
            </w:r>
            <w:r>
              <w:rPr>
                <w:rFonts w:hint="eastAsia" w:ascii="宋体" w:hAnsi="宋体"/>
                <w:b w:val="0"/>
                <w:bCs/>
                <w:sz w:val="22"/>
                <w:szCs w:val="22"/>
              </w:rPr>
              <w:t>号）规定，纳税人利用畜禽粪便生产的沼气，以及利用畜禽粪便发酵产生的沼气生产的电力，可以享受增值税即征即退</w:t>
            </w:r>
            <w:r>
              <w:rPr>
                <w:rFonts w:ascii="宋体" w:hAnsi="宋体"/>
                <w:b w:val="0"/>
                <w:bCs/>
                <w:sz w:val="22"/>
                <w:szCs w:val="22"/>
              </w:rPr>
              <w:t>100%</w:t>
            </w:r>
            <w:r>
              <w:rPr>
                <w:rFonts w:hint="eastAsia" w:ascii="宋体" w:hAnsi="宋体"/>
                <w:b w:val="0"/>
                <w:bCs/>
                <w:sz w:val="22"/>
                <w:szCs w:val="22"/>
              </w:rPr>
              <w:t>的优惠政策。支持规模养殖场、第三方处理企业、社会化服务组织建设粪污处理设施，积极推广使用有机肥。鼓励地方政府和社会资本设立投资基金，创新粪污资源化利用设施建设和运营模式。</w:t>
            </w:r>
          </w:p>
        </w:tc>
        <w:tc>
          <w:tcPr>
            <w:tcW w:w="850" w:type="dxa"/>
            <w:vAlign w:val="center"/>
          </w:tcPr>
          <w:p>
            <w:pPr>
              <w:adjustRightInd w:val="0"/>
              <w:snapToGrid w:val="0"/>
              <w:spacing w:line="400" w:lineRule="exact"/>
              <w:rPr>
                <w:rFonts w:ascii="宋体" w:hAnsi="宋体"/>
                <w:b w:val="0"/>
                <w:bCs/>
                <w:spacing w:val="-20"/>
                <w:kern w:val="0"/>
                <w:sz w:val="22"/>
              </w:rPr>
            </w:pP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财政厅、省发展改革委、农业厅、环境保护厅、</w:t>
            </w:r>
          </w:p>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省国税局等负责</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785"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13</w:t>
            </w:r>
          </w:p>
        </w:tc>
        <w:tc>
          <w:tcPr>
            <w:tcW w:w="4513" w:type="dxa"/>
            <w:vAlign w:val="center"/>
          </w:tcPr>
          <w:p>
            <w:pPr>
              <w:spacing w:line="380" w:lineRule="exact"/>
              <w:rPr>
                <w:rFonts w:ascii="宋体" w:hAnsi="宋体"/>
                <w:b w:val="0"/>
                <w:bCs/>
                <w:sz w:val="22"/>
              </w:rPr>
            </w:pPr>
            <w:r>
              <w:rPr>
                <w:rFonts w:hint="eastAsia" w:ascii="宋体" w:hAnsi="宋体"/>
                <w:b w:val="0"/>
                <w:bCs/>
                <w:sz w:val="22"/>
                <w:szCs w:val="22"/>
              </w:rPr>
              <w:t>落实规模养殖场内养殖相关活动农业用电政策，对规模养殖场内为获得各种畜禽产品而从事的动物饲养活动用电执行农业生产电价。落实《中华人民共和国可再生能源法》《四川省可再生能源发电全额保障性收购管理实施细则》，督促电网公司对生物质发电实行全额保障性收购。降低单机发电功率门槛，沼气发电项目实行属地备案管理，接收符合入网技术标准的生物天然气入网城市燃气管网。将符合要求的规模化养殖设施、规模养殖场粪污资源化和有机肥生产积造设施纳入设施农用地管理，将以畜禽养殖废弃物为主要原料的规模化生物天然气工程、大型沼气工程、有机肥厂、集中处理中心建设用地纳入土地利用总体规划，积极保障合理用地要求。</w:t>
            </w:r>
          </w:p>
        </w:tc>
        <w:tc>
          <w:tcPr>
            <w:tcW w:w="850" w:type="dxa"/>
            <w:vAlign w:val="center"/>
          </w:tcPr>
          <w:p>
            <w:pPr>
              <w:adjustRightInd w:val="0"/>
              <w:snapToGrid w:val="0"/>
              <w:spacing w:line="400" w:lineRule="exact"/>
              <w:rPr>
                <w:rFonts w:ascii="宋体" w:hAnsi="宋体"/>
                <w:b w:val="0"/>
                <w:bCs/>
                <w:spacing w:val="-20"/>
                <w:kern w:val="0"/>
                <w:sz w:val="22"/>
              </w:rPr>
            </w:pP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财政厅、省发展改革委、国土资源厅、农业厅、环境保护厅、住房城乡建设厅、国网四川电力等负责</w:t>
            </w: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1520"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14</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开展各类规模养殖粪便、沼液处理利用模式研究，规范养殖企业的粪便处理行为。开展包括对水果、经济作物、蔬菜及牧草等的有机肥使用和施肥方法研究。健全畜禽粪污还田利用和检测标准体系，制定有机肥使用技术指南，科学利用和促进有机肥产业发展，推进饲料中有机矿物元素替代无机矿物元素。结合农业部发布的畜禽粪污资源化利用模式，因地制宜确定本地主推模式，细化工艺技术并加以创新推广。深入开展畜禽粪污处理工艺、安全利用途径研究以及粪污处理模式技术经济效果评价，建立畜禽粪污资源化综合利用创新示范基地，形成具有四川特色的畜禽粪污资源化利用方式。</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科技厅</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r>
        <w:trPr>
          <w:trHeight w:val="1520" w:hRule="atLeast"/>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15</w:t>
            </w:r>
          </w:p>
        </w:tc>
        <w:tc>
          <w:tcPr>
            <w:tcW w:w="4513" w:type="dxa"/>
            <w:vAlign w:val="center"/>
          </w:tcPr>
          <w:p>
            <w:pPr>
              <w:spacing w:line="400" w:lineRule="exact"/>
              <w:rPr>
                <w:rFonts w:ascii="宋体" w:hAnsi="宋体"/>
                <w:b w:val="0"/>
                <w:bCs/>
                <w:sz w:val="22"/>
              </w:rPr>
            </w:pPr>
            <w:r>
              <w:rPr>
                <w:rFonts w:hint="eastAsia" w:ascii="宋体" w:hAnsi="宋体"/>
                <w:b w:val="0"/>
                <w:bCs/>
                <w:sz w:val="22"/>
                <w:szCs w:val="22"/>
              </w:rPr>
              <w:t>围绕供给侧结构性改革，提升畜牧产业结构特色化水平。大力开展畜牧业绿色发展示范县创建，加快畜禽粪污资源化利用重点县项目整县推进，做好畜禽粪污综合利用和病死畜禽无害化处理，促进畜牧业生产和生态环境保护协调发展。</w:t>
            </w:r>
          </w:p>
        </w:tc>
        <w:tc>
          <w:tcPr>
            <w:tcW w:w="850"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hint="eastAsia" w:ascii="宋体" w:hAnsi="宋体"/>
                <w:b w:val="0"/>
                <w:bCs/>
                <w:spacing w:val="-20"/>
                <w:kern w:val="0"/>
                <w:sz w:val="22"/>
                <w:szCs w:val="22"/>
              </w:rPr>
              <w:t>省发展改革委、财政厅</w:t>
            </w:r>
          </w:p>
        </w:tc>
        <w:tc>
          <w:tcPr>
            <w:tcW w:w="836" w:type="dxa"/>
            <w:vMerge w:val="continu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hint="eastAsia" w:ascii="宋体" w:hAnsi="宋体"/>
                <w:b w:val="0"/>
                <w:bCs/>
                <w:sz w:val="22"/>
                <w:szCs w:val="22"/>
              </w:rPr>
              <w:t>年</w:t>
            </w:r>
          </w:p>
        </w:tc>
      </w:tr>
    </w:tbl>
    <w:p>
      <w:pPr>
        <w:spacing w:line="600" w:lineRule="exact"/>
        <w:ind w:firstLine="640" w:firstLineChars="200"/>
        <w:rPr>
          <w:rFonts w:ascii="仿宋_GB2312" w:eastAsia="仿宋_GB2312"/>
          <w:b w:val="0"/>
          <w:bCs/>
          <w:sz w:val="32"/>
          <w:szCs w:val="32"/>
        </w:rPr>
      </w:pPr>
    </w:p>
    <w:p>
      <w:pPr>
        <w:spacing w:line="600" w:lineRule="exact"/>
        <w:ind w:firstLine="640" w:firstLineChars="200"/>
        <w:rPr>
          <w:rFonts w:ascii="仿宋_GB2312" w:eastAsia="仿宋_GB2312"/>
          <w:b w:val="0"/>
          <w:bCs/>
          <w:sz w:val="32"/>
          <w:szCs w:val="32"/>
        </w:rPr>
      </w:pPr>
    </w:p>
    <w:p>
      <w:pPr>
        <w:spacing w:line="600" w:lineRule="exact"/>
        <w:ind w:firstLine="640" w:firstLineChars="200"/>
        <w:rPr>
          <w:rFonts w:ascii="仿宋_GB2312" w:eastAsia="仿宋_GB2312"/>
          <w:b w:val="0"/>
          <w:bCs/>
          <w:sz w:val="32"/>
          <w:szCs w:val="32"/>
        </w:rPr>
      </w:pPr>
    </w:p>
    <w:p>
      <w:pPr>
        <w:rPr>
          <w:b w:val="0"/>
          <w:bCs/>
        </w:rPr>
      </w:pPr>
    </w:p>
    <w:sectPr>
      <w:footerReference r:id="rId4" w:type="default"/>
      <w:pgSz w:w="11906" w:h="16838"/>
      <w:pgMar w:top="1757" w:right="1474" w:bottom="1757" w:left="1474" w:header="851" w:footer="1417" w:gutter="0"/>
      <w:pgNumType w:start="9"/>
      <w:cols w:space="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Calibri" w:hAnsi="Calibri" w:eastAsia="宋体" w:cs="Times New Roman"/>
        <w:kern w:val="2"/>
        <w:sz w:val="18"/>
        <w:szCs w:val="18"/>
        <w:lang w:val="en-US" w:eastAsia="zh-CN" w:bidi="ar-SA"/>
      </w:rPr>
      <w:pict>
        <v:shape id="文本框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center"/>
                  <w:rPr>
                    <w:rFonts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rPr>
                  <w:t>9</w:t>
                </w:r>
                <w:r>
                  <w:rPr>
                    <w:rFonts w:ascii="Times New Roman" w:hAnsi="Times New Roman"/>
                    <w:sz w:val="28"/>
                    <w:szCs w:val="28"/>
                    <w:lang w:val="zh-CN"/>
                  </w:rPr>
                  <w:fldChar w:fldCharType="end"/>
                </w:r>
                <w:r>
                  <w:rPr>
                    <w:rFonts w:ascii="Times New Roman" w:hAnsi="Times New Roman"/>
                    <w:sz w:val="28"/>
                    <w:szCs w:val="28"/>
                  </w:rPr>
                  <w:t xml:space="preserve"> </w:t>
                </w:r>
                <w:r>
                  <w:rPr>
                    <w:rFonts w:hint="eastAsia" w:ascii="宋体" w:hAnsi="宋体" w:cs="宋体"/>
                    <w:sz w:val="28"/>
                    <w:szCs w:val="28"/>
                    <w:lang w:val="zh-CN"/>
                  </w:rPr>
                  <w:t>—</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kern w:val="0"/>
      <w:sz w:val="24"/>
    </w:rPr>
  </w:style>
  <w:style w:type="character" w:styleId="6">
    <w:name w:val="Strong"/>
    <w:basedOn w:val="5"/>
    <w:qFormat/>
    <w:uiPriority w:val="99"/>
    <w:rPr>
      <w:rFonts w:cs="Times New Roman"/>
      <w:b/>
    </w:rPr>
  </w:style>
  <w:style w:type="paragraph" w:customStyle="1" w:styleId="7">
    <w:name w:val="二级标题"/>
    <w:basedOn w:val="1"/>
    <w:uiPriority w:val="99"/>
    <w:pPr>
      <w:spacing w:line="560" w:lineRule="exact"/>
      <w:ind w:firstLine="200" w:firstLineChars="200"/>
      <w:outlineLvl w:val="1"/>
    </w:pPr>
    <w:rPr>
      <w:rFonts w:eastAsia="黑体"/>
      <w:bCs/>
      <w:sz w:val="32"/>
    </w:rPr>
  </w:style>
  <w:style w:type="character" w:customStyle="1" w:styleId="8">
    <w:name w:val="页眉 Char Char"/>
    <w:basedOn w:val="5"/>
    <w:link w:val="3"/>
    <w:uiPriority w:val="99"/>
    <w:rPr>
      <w:rFonts w:cs="Times New Roman"/>
      <w:sz w:val="18"/>
      <w:szCs w:val="18"/>
    </w:rPr>
  </w:style>
  <w:style w:type="character" w:customStyle="1" w:styleId="9">
    <w:name w:val="页脚 Char Char"/>
    <w:basedOn w:val="5"/>
    <w:link w:val="2"/>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566</Words>
  <Characters>3230</Characters>
  <Lines>26</Lines>
  <Paragraphs>7</Paragraphs>
  <TotalTime>0</TotalTime>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2017-11-02T10:14:00Z</dcterms:created>
  <dc:creator>NTKO</dc:creator>
  <cp:lastModifiedBy>Administrator</cp:lastModifiedBy>
  <cp:lastPrinted>2017-11-03T03:16:00Z</cp:lastPrinted>
  <dcterms:modified xsi:type="dcterms:W3CDTF">2017-11-03T07:32:00Z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