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beforeLines="50" w:afterLines="50" w:line="420" w:lineRule="exact"/>
        <w:ind w:right="0" w:rightChars="0"/>
        <w:jc w:val="left"/>
        <w:textAlignment w:val="auto"/>
        <w:outlineLvl w:val="9"/>
        <w:rPr>
          <w:rFonts w:hint="eastAsia" w:ascii="仿宋" w:hAnsi="仿宋" w:eastAsia="仿宋" w:cs="仿宋"/>
          <w:b w:val="0"/>
          <w:bCs w:val="0"/>
          <w:color w:val="434343"/>
          <w:kern w:val="0"/>
          <w:sz w:val="32"/>
          <w:szCs w:val="32"/>
        </w:rPr>
      </w:pPr>
      <w:r>
        <w:rPr>
          <w:rFonts w:hint="eastAsia" w:ascii="仿宋" w:hAnsi="仿宋" w:eastAsia="仿宋" w:cs="仿宋"/>
          <w:b w:val="0"/>
          <w:bCs w:val="0"/>
          <w:color w:val="434343"/>
          <w:kern w:val="0"/>
          <w:sz w:val="32"/>
          <w:szCs w:val="32"/>
        </w:rPr>
        <w:t>附件</w:t>
      </w:r>
      <w:r>
        <w:rPr>
          <w:rFonts w:hint="eastAsia" w:ascii="仿宋" w:hAnsi="仿宋" w:eastAsia="仿宋" w:cs="仿宋"/>
          <w:b w:val="0"/>
          <w:bCs w:val="0"/>
          <w:color w:val="434343"/>
          <w:kern w:val="0"/>
          <w:sz w:val="32"/>
          <w:szCs w:val="32"/>
          <w:lang w:val="en-US" w:eastAsia="zh-CN"/>
        </w:rPr>
        <w:t>1</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黑体" w:hAnsi="黑体" w:eastAsia="黑体" w:cs="黑体"/>
          <w:b w:val="0"/>
          <w:bCs w:val="0"/>
          <w:color w:val="000000"/>
          <w:sz w:val="36"/>
          <w:szCs w:val="36"/>
        </w:rPr>
      </w:pPr>
      <w:r>
        <w:rPr>
          <w:rFonts w:hint="eastAsia" w:ascii="黑体" w:hAnsi="黑体" w:eastAsia="黑体" w:cs="黑体"/>
          <w:b w:val="0"/>
          <w:bCs w:val="0"/>
          <w:color w:val="000000"/>
          <w:sz w:val="36"/>
          <w:szCs w:val="36"/>
        </w:rPr>
        <w:t>汤料</w:t>
      </w:r>
      <w:r>
        <w:rPr>
          <w:rFonts w:hint="eastAsia" w:ascii="黑体" w:hAnsi="黑体" w:eastAsia="黑体" w:cs="黑体"/>
          <w:b w:val="0"/>
          <w:bCs w:val="0"/>
          <w:color w:val="000000"/>
          <w:sz w:val="36"/>
          <w:szCs w:val="36"/>
          <w:lang w:eastAsia="zh-CN"/>
        </w:rPr>
        <w:t>食品</w:t>
      </w:r>
      <w:r>
        <w:rPr>
          <w:rFonts w:hint="eastAsia" w:ascii="黑体" w:hAnsi="黑体" w:eastAsia="黑体" w:cs="黑体"/>
          <w:b w:val="0"/>
          <w:bCs w:val="0"/>
          <w:color w:val="000000"/>
          <w:sz w:val="36"/>
          <w:szCs w:val="36"/>
        </w:rPr>
        <w:t>生产许可审查</w:t>
      </w:r>
      <w:r>
        <w:rPr>
          <w:rFonts w:hint="eastAsia" w:ascii="黑体" w:hAnsi="黑体" w:eastAsia="黑体" w:cs="黑体"/>
          <w:b w:val="0"/>
          <w:bCs w:val="0"/>
          <w:color w:val="000000"/>
          <w:sz w:val="36"/>
          <w:szCs w:val="36"/>
          <w:lang w:eastAsia="zh-CN"/>
        </w:rPr>
        <w:t>规范</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color w:val="000000"/>
          <w:sz w:val="32"/>
          <w:szCs w:val="32"/>
          <w:lang w:eastAsia="zh-CN"/>
        </w:rPr>
      </w:pP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第一章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总则</w:t>
      </w:r>
    </w:p>
    <w:p>
      <w:pPr>
        <w:keepNext w:val="0"/>
        <w:keepLines w:val="0"/>
        <w:pageBreakBefore w:val="0"/>
        <w:kinsoku/>
        <w:wordWrap/>
        <w:overflowPunct/>
        <w:topLinePunct w:val="0"/>
        <w:bidi w:val="0"/>
        <w:snapToGrid/>
        <w:spacing w:line="420" w:lineRule="exact"/>
        <w:ind w:right="0" w:rightChars="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第一条 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适用于江西省内汤料</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生产许可条件审查。</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中所称汤料是指以</w:t>
      </w:r>
      <w:r>
        <w:rPr>
          <w:rFonts w:hint="eastAsia" w:ascii="仿宋" w:hAnsi="仿宋" w:eastAsia="仿宋" w:cs="仿宋"/>
          <w:b w:val="0"/>
          <w:bCs w:val="0"/>
          <w:kern w:val="0"/>
          <w:sz w:val="32"/>
          <w:szCs w:val="32"/>
          <w:lang w:eastAsia="zh-CN"/>
        </w:rPr>
        <w:t>普通食品或</w:t>
      </w:r>
      <w:r>
        <w:rPr>
          <w:rFonts w:hint="eastAsia" w:ascii="仿宋" w:hAnsi="仿宋" w:eastAsia="仿宋" w:cs="仿宋"/>
          <w:b w:val="0"/>
          <w:bCs w:val="0"/>
          <w:kern w:val="0"/>
          <w:sz w:val="32"/>
          <w:szCs w:val="32"/>
        </w:rPr>
        <w:t>药食同源食品原料为原料，添加或不添加香辛料、蔬菜、水果、水产加工品、肉制品等食品，经挑选去杂、粉碎（或不粉碎）、干燥（或不干燥）、拼配、包装等工艺加工而成，用于煲汤的</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。汤料</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的申证单元为1个，即其他食品(汤料)。</w:t>
      </w:r>
    </w:p>
    <w:p>
      <w:pPr>
        <w:keepNext w:val="0"/>
        <w:keepLines w:val="0"/>
        <w:pageBreakBefore w:val="0"/>
        <w:kinsoku/>
        <w:wordWrap/>
        <w:overflowPunct/>
        <w:topLinePunct w:val="0"/>
        <w:autoSpaceDE w:val="0"/>
        <w:autoSpaceDN w:val="0"/>
        <w:bidi w:val="0"/>
        <w:adjustRightInd w:val="0"/>
        <w:snapToGrid/>
        <w:spacing w:line="420" w:lineRule="exact"/>
        <w:ind w:right="0" w:rightChars="0" w:firstLine="643" w:firstLineChars="200"/>
        <w:jc w:val="left"/>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第二条 汤料的食品类别为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其他食品</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，其类别名称（品种明细）为：其他食品（汤料），类别编号为3101。汤料食品类别、类别名称、品种明细及执行标准等见</w:t>
      </w:r>
      <w:r>
        <w:rPr>
          <w:rFonts w:hint="eastAsia" w:ascii="仿宋" w:hAnsi="仿宋" w:eastAsia="仿宋" w:cs="仿宋"/>
          <w:b w:val="0"/>
          <w:bCs w:val="0"/>
          <w:kern w:val="0"/>
          <w:sz w:val="32"/>
          <w:szCs w:val="32"/>
          <w:lang w:eastAsia="zh-CN"/>
        </w:rPr>
        <w:t>下表</w:t>
      </w:r>
      <w:r>
        <w:rPr>
          <w:rFonts w:hint="eastAsia" w:ascii="仿宋" w:hAnsi="仿宋" w:eastAsia="仿宋" w:cs="仿宋"/>
          <w:b w:val="0"/>
          <w:bCs w:val="0"/>
          <w:kern w:val="0"/>
          <w:sz w:val="32"/>
          <w:szCs w:val="32"/>
        </w:rPr>
        <w:t>。</w:t>
      </w:r>
    </w:p>
    <w:p>
      <w:pPr>
        <w:keepNext w:val="0"/>
        <w:keepLines w:val="0"/>
        <w:pageBreakBefore w:val="0"/>
        <w:tabs>
          <w:tab w:val="left" w:pos="0"/>
          <w:tab w:val="left" w:pos="425"/>
        </w:tabs>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汤料食品类别目录列表</w:t>
      </w:r>
    </w:p>
    <w:tbl>
      <w:tblPr>
        <w:tblStyle w:val="8"/>
        <w:tblW w:w="8883" w:type="dxa"/>
        <w:jc w:val="center"/>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9"/>
        <w:gridCol w:w="1135"/>
        <w:gridCol w:w="1378"/>
        <w:gridCol w:w="3455"/>
        <w:gridCol w:w="1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blHeader/>
          <w:jc w:val="center"/>
        </w:trPr>
        <w:tc>
          <w:tcPr>
            <w:tcW w:w="14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食品</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类别</w:t>
            </w:r>
          </w:p>
        </w:tc>
        <w:tc>
          <w:tcPr>
            <w:tcW w:w="11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类别</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名称</w:t>
            </w:r>
          </w:p>
        </w:tc>
        <w:tc>
          <w:tcPr>
            <w:tcW w:w="13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品种</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明细</w:t>
            </w:r>
          </w:p>
        </w:tc>
        <w:tc>
          <w:tcPr>
            <w:tcW w:w="34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定义</w:t>
            </w:r>
          </w:p>
        </w:tc>
        <w:tc>
          <w:tcPr>
            <w:tcW w:w="15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4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食品</w:t>
            </w:r>
          </w:p>
        </w:tc>
        <w:tc>
          <w:tcPr>
            <w:tcW w:w="11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食品</w:t>
            </w:r>
          </w:p>
        </w:tc>
        <w:tc>
          <w:tcPr>
            <w:tcW w:w="13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其他食品（汤料）</w:t>
            </w:r>
          </w:p>
        </w:tc>
        <w:tc>
          <w:tcPr>
            <w:tcW w:w="34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以</w:t>
            </w:r>
            <w:r>
              <w:rPr>
                <w:rFonts w:hint="eastAsia" w:ascii="仿宋" w:hAnsi="仿宋" w:eastAsia="仿宋" w:cs="仿宋"/>
                <w:b w:val="0"/>
                <w:bCs w:val="0"/>
                <w:kern w:val="0"/>
                <w:sz w:val="28"/>
                <w:szCs w:val="28"/>
                <w:lang w:eastAsia="zh-CN"/>
              </w:rPr>
              <w:t>普通食品或</w:t>
            </w:r>
            <w:r>
              <w:rPr>
                <w:rFonts w:hint="eastAsia" w:ascii="仿宋" w:hAnsi="仿宋" w:eastAsia="仿宋" w:cs="仿宋"/>
                <w:b w:val="0"/>
                <w:bCs w:val="0"/>
                <w:kern w:val="0"/>
                <w:sz w:val="28"/>
                <w:szCs w:val="28"/>
              </w:rPr>
              <w:t>药食同源食品原料为原料，添加或不添加香辛料、蔬菜、水果、水产加工品、肉制品等食品，经挑选去杂、粉碎（或不粉碎）、干燥（或不干燥）、拼配、包装等工艺加工而成，用于煲汤的</w:t>
            </w:r>
            <w:r>
              <w:rPr>
                <w:rFonts w:hint="eastAsia" w:ascii="仿宋" w:hAnsi="仿宋" w:eastAsia="仿宋" w:cs="仿宋"/>
                <w:b w:val="0"/>
                <w:bCs w:val="0"/>
                <w:kern w:val="0"/>
                <w:sz w:val="28"/>
                <w:szCs w:val="28"/>
                <w:lang w:eastAsia="zh-CN"/>
              </w:rPr>
              <w:t>食品</w:t>
            </w:r>
            <w:r>
              <w:rPr>
                <w:rFonts w:hint="eastAsia" w:ascii="仿宋" w:hAnsi="仿宋" w:eastAsia="仿宋" w:cs="仿宋"/>
                <w:b w:val="0"/>
                <w:bCs w:val="0"/>
                <w:kern w:val="0"/>
                <w:sz w:val="28"/>
                <w:szCs w:val="28"/>
              </w:rPr>
              <w:t>。</w:t>
            </w:r>
          </w:p>
        </w:tc>
        <w:tc>
          <w:tcPr>
            <w:tcW w:w="15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经</w:t>
            </w:r>
            <w:r>
              <w:rPr>
                <w:rFonts w:hint="eastAsia" w:ascii="仿宋" w:hAnsi="仿宋" w:eastAsia="仿宋" w:cs="仿宋"/>
                <w:b w:val="0"/>
                <w:bCs w:val="0"/>
                <w:kern w:val="0"/>
                <w:sz w:val="28"/>
                <w:szCs w:val="28"/>
                <w:lang w:eastAsia="zh-CN"/>
              </w:rPr>
              <w:t>省卫计委</w:t>
            </w:r>
            <w:r>
              <w:rPr>
                <w:rFonts w:hint="eastAsia" w:ascii="仿宋" w:hAnsi="仿宋" w:eastAsia="仿宋" w:cs="仿宋"/>
                <w:b w:val="0"/>
                <w:bCs w:val="0"/>
                <w:kern w:val="0"/>
                <w:sz w:val="28"/>
                <w:szCs w:val="28"/>
              </w:rPr>
              <w:t>备案</w:t>
            </w:r>
            <w:r>
              <w:rPr>
                <w:rFonts w:hint="eastAsia" w:ascii="仿宋" w:hAnsi="仿宋" w:eastAsia="仿宋" w:cs="仿宋"/>
                <w:b w:val="0"/>
                <w:bCs w:val="0"/>
                <w:kern w:val="0"/>
                <w:sz w:val="28"/>
                <w:szCs w:val="28"/>
                <w:lang w:eastAsia="zh-CN"/>
              </w:rPr>
              <w:t>现行有效</w:t>
            </w:r>
            <w:r>
              <w:rPr>
                <w:rFonts w:hint="eastAsia" w:ascii="仿宋" w:hAnsi="仿宋" w:eastAsia="仿宋" w:cs="仿宋"/>
                <w:b w:val="0"/>
                <w:bCs w:val="0"/>
                <w:kern w:val="0"/>
                <w:sz w:val="28"/>
                <w:szCs w:val="28"/>
              </w:rPr>
              <w:t>的企业标准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28"/>
                <w:szCs w:val="28"/>
              </w:rPr>
            </w:pPr>
          </w:p>
        </w:tc>
      </w:tr>
    </w:tbl>
    <w:p>
      <w:pPr>
        <w:keepNext w:val="0"/>
        <w:keepLines w:val="0"/>
        <w:pageBreakBefore w:val="0"/>
        <w:numPr>
          <w:ilvl w:val="0"/>
          <w:numId w:val="1"/>
        </w:numPr>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rPr>
        <w:t>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中引用的文件、标准通过引用成为本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的内容。凡是引用文件、标准，其最新版本（包括所有的修改单）适用于本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w:t>
      </w:r>
    </w:p>
    <w:p>
      <w:pPr>
        <w:keepNext w:val="0"/>
        <w:keepLines w:val="0"/>
        <w:pageBreakBefore w:val="0"/>
        <w:numPr>
          <w:ilvl w:val="0"/>
          <w:numId w:val="0"/>
        </w:numPr>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第二章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生产场所</w:t>
      </w:r>
    </w:p>
    <w:p>
      <w:pPr>
        <w:keepNext w:val="0"/>
        <w:keepLines w:val="0"/>
        <w:pageBreakBefore w:val="0"/>
        <w:widowControl/>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第四条 企业厂房选址和设计、内部建筑结构、辅助生产设施应当能够避免污染、交叉污染、微生物孳生，便于清洁、操作和维护。人流、物流走向应当合理，有效控制人员、设备和物料流动造成的污染。</w:t>
      </w:r>
    </w:p>
    <w:p>
      <w:pPr>
        <w:keepNext w:val="0"/>
        <w:keepLines w:val="0"/>
        <w:pageBreakBefore w:val="0"/>
        <w:kinsoku/>
        <w:wordWrap/>
        <w:overflowPunct/>
        <w:topLinePunct w:val="0"/>
        <w:autoSpaceDE w:val="0"/>
        <w:autoSpaceDN w:val="0"/>
        <w:bidi w:val="0"/>
        <w:adjustRightInd w:val="0"/>
        <w:snapToGrid/>
        <w:spacing w:line="420" w:lineRule="exact"/>
        <w:ind w:right="0" w:rightChars="0" w:firstLine="643" w:firstLineChars="200"/>
        <w:jc w:val="left"/>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第五条 生产车间及辅助设施的设置应按生产流程需要及卫生要求，有序而合理布局，根据生产流程、生产操作需要和清洁度的要求进行隔离，避免交叉污染。</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第六条 企业应具备原辅料仓库、成品仓库、生产车间、包装车间等生产场所。包装车间相对独立，配备有效的消毒设施。生产车间进口处配备消毒设施。</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第三章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设备设施</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u w:val="single"/>
        </w:rPr>
      </w:pPr>
      <w:r>
        <w:rPr>
          <w:rFonts w:hint="eastAsia" w:ascii="仿宋" w:hAnsi="仿宋" w:eastAsia="仿宋" w:cs="仿宋"/>
          <w:b w:val="0"/>
          <w:bCs w:val="0"/>
          <w:kern w:val="0"/>
          <w:sz w:val="32"/>
          <w:szCs w:val="32"/>
        </w:rPr>
        <w:t>第七条 企业应具有与申报品种相适应的生产设备设施，各个设备的设计产能应能相互匹配，其性能与精密度应符合生产要求，便于操作、清洁、维护和消毒或灭菌。</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第八条 应根据实际工艺需要配备相应的生产设备、设施。如：原材料前处理设施；粉碎设备（按需要）；干燥设备（按需要）；拼配设施；包装设备、设施；封口设备；生产日期或批号标注设备、设施。</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bookmarkStart w:id="0" w:name="_Toc9507"/>
      <w:r>
        <w:rPr>
          <w:rFonts w:hint="eastAsia" w:ascii="仿宋" w:hAnsi="仿宋" w:eastAsia="仿宋" w:cs="仿宋"/>
          <w:b w:val="0"/>
          <w:bCs w:val="0"/>
          <w:kern w:val="0"/>
          <w:sz w:val="32"/>
          <w:szCs w:val="32"/>
        </w:rPr>
        <w:t>第九条</w:t>
      </w:r>
      <w:bookmarkEnd w:id="0"/>
      <w:r>
        <w:rPr>
          <w:rFonts w:hint="eastAsia" w:ascii="仿宋" w:hAnsi="仿宋" w:eastAsia="仿宋" w:cs="仿宋"/>
          <w:b w:val="0"/>
          <w:bCs w:val="0"/>
          <w:kern w:val="0"/>
          <w:sz w:val="32"/>
          <w:szCs w:val="32"/>
        </w:rPr>
        <w:t xml:space="preserve"> 生产用水的水质应符合生活饮用水卫生标准。</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第十条 企业应具备满足成品检验所需</w:t>
      </w:r>
      <w:bookmarkStart w:id="1" w:name="OLE_LINK9"/>
      <w:bookmarkEnd w:id="1"/>
      <w:r>
        <w:rPr>
          <w:rFonts w:hint="eastAsia" w:ascii="仿宋" w:hAnsi="仿宋" w:eastAsia="仿宋" w:cs="仿宋"/>
          <w:b w:val="0"/>
          <w:bCs w:val="0"/>
          <w:kern w:val="0"/>
          <w:sz w:val="32"/>
          <w:szCs w:val="32"/>
        </w:rPr>
        <w:t>的实验室、检验设备、设施和试剂。如：分析天平（0.1mg）、天平（0.1g）、干燥箱，如有其它出厂检验项目的还应具备相应检验设备。</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第四章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设备布局与工艺流程</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第十一条 生产设备的布局、安装和维护必须符合工艺需要，便于操作、清洁、维护和消毒或灭菌。不合格、报废设备应搬出生产区，暂停使用的设备应有明显标志。</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第十二条 企业应建立工艺文件、操作规程等生产技术文件，技术文件与实际操作应保持一致性。</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第十三条 关键工序或关键点可设为：原料验收、拼配、包装。</w:t>
      </w:r>
    </w:p>
    <w:p>
      <w:pPr>
        <w:keepNext w:val="0"/>
        <w:keepLines w:val="0"/>
        <w:pageBreakBefore w:val="0"/>
        <w:kinsoku/>
        <w:wordWrap/>
        <w:overflowPunct/>
        <w:topLinePunct w:val="0"/>
        <w:bidi w:val="0"/>
        <w:snapToGrid/>
        <w:spacing w:line="420" w:lineRule="exact"/>
        <w:ind w:right="0" w:rightChars="0" w:firstLine="643" w:firstLineChars="20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第五章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人员管理</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第十四条 企业应建立人员管理制度，各岗位人员的数量和能力应与企业规模、工艺、设备水平相适应，与产品质量相关的岗位应设置岗位责任。</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第十五条 企业应当建立培训与考核制度，制定培训计划，培训的内容应与岗位的要求相适应，并有相应记录。食品安全管理、检验等与质量相关岗位的人员应定期培训考核，不具备能力的不得上岗。</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color w:val="000000"/>
          <w:sz w:val="32"/>
          <w:szCs w:val="32"/>
        </w:rPr>
      </w:pPr>
      <w:bookmarkStart w:id="2" w:name="_Toc23260"/>
      <w:bookmarkStart w:id="3" w:name="_Toc415228657"/>
      <w:bookmarkStart w:id="4" w:name="_Toc416939944"/>
      <w:r>
        <w:rPr>
          <w:rFonts w:hint="eastAsia" w:ascii="仿宋" w:hAnsi="仿宋" w:eastAsia="仿宋" w:cs="仿宋"/>
          <w:b w:val="0"/>
          <w:bCs w:val="0"/>
          <w:kern w:val="0"/>
          <w:sz w:val="32"/>
          <w:szCs w:val="32"/>
        </w:rPr>
        <w:t>第十六条</w:t>
      </w:r>
      <w:bookmarkEnd w:id="2"/>
      <w:bookmarkEnd w:id="3"/>
      <w:bookmarkEnd w:id="4"/>
      <w:r>
        <w:rPr>
          <w:rFonts w:hint="eastAsia" w:ascii="仿宋" w:hAnsi="仿宋" w:eastAsia="仿宋" w:cs="仿宋"/>
          <w:b w:val="0"/>
          <w:bCs w:val="0"/>
          <w:kern w:val="0"/>
          <w:sz w:val="32"/>
          <w:szCs w:val="32"/>
        </w:rPr>
        <w:t xml:space="preserve"> 企业应建立食品加工人员健康管理制度，食品加工人员每年应当进行健康检查，取得健康证明后方可从事食品加工。建立人员健康检查记录，保证食品加工人员患有法律法规规定的有碍食品安全的疾病时，应调整到其他不影响食品安全的工作岗位。</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第六章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管理制度</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第十七条 制定原辅料的采购管理制度，保证原辅料符合国家法律法规和标准要求。</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第十八条 如使用的原辅材料为实施生产许可证管理的产品，必须选用获得生产许可证企业生产的产品。采用进口原辅料的生产企业，应审核进口原辅料供应商、贸易商的资质证明文件、质量标准、每批原辅料出入境检验检疫部门出具的相关合格证明。</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第十九条 包装材料应清洁、无毒且符合国家或行业相关标准及规定。</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第二十条 所有物料应规定适当的贮存期限，遵循“先进先出”或“近有效期先出”的原则制定物料的使用计划，定期检查质量和卫生情况，及时清理且不得使用变质或超过保质期的食品原辅料。</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第二十一条 建立检验管理制度，检验记录应真实、准确。产品出厂检验应依据产品执行标准规定的出厂检验项目进行每批次检验。检验合格的产品应标注检验合格证号，检验合格证号可追溯到相应的出厂检验报告。</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第七章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试制产品检验合格报告</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 xml:space="preserve">第二十二条 </w:t>
      </w:r>
      <w:r>
        <w:rPr>
          <w:rFonts w:hint="eastAsia" w:ascii="仿宋" w:hAnsi="仿宋" w:eastAsia="仿宋" w:cs="仿宋"/>
          <w:b w:val="0"/>
          <w:bCs w:val="0"/>
          <w:sz w:val="32"/>
          <w:szCs w:val="32"/>
        </w:rPr>
        <w:t>企业提供试制产品的有资质第三方检验合格报告，</w:t>
      </w:r>
      <w:r>
        <w:rPr>
          <w:rFonts w:hint="eastAsia" w:ascii="仿宋" w:hAnsi="仿宋" w:eastAsia="仿宋" w:cs="仿宋"/>
          <w:b w:val="0"/>
          <w:bCs w:val="0"/>
          <w:kern w:val="0"/>
          <w:sz w:val="32"/>
          <w:szCs w:val="32"/>
        </w:rPr>
        <w:t>检验项目应涵盖附表中的全部项目</w:t>
      </w:r>
      <w:r>
        <w:rPr>
          <w:rFonts w:hint="eastAsia" w:ascii="仿宋" w:hAnsi="仿宋" w:eastAsia="仿宋" w:cs="仿宋"/>
          <w:b w:val="0"/>
          <w:bCs w:val="0"/>
          <w:sz w:val="32"/>
          <w:szCs w:val="32"/>
        </w:rPr>
        <w:t>。出厂检验注有“*”标记的，企业应当每年检验2次。</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第八章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附则</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color w:val="0000FF"/>
          <w:sz w:val="32"/>
          <w:szCs w:val="32"/>
        </w:rPr>
      </w:pPr>
      <w:r>
        <w:rPr>
          <w:rFonts w:hint="eastAsia" w:ascii="仿宋" w:hAnsi="仿宋" w:eastAsia="仿宋" w:cs="仿宋"/>
          <w:b w:val="0"/>
          <w:bCs w:val="0"/>
          <w:sz w:val="32"/>
          <w:szCs w:val="32"/>
          <w:lang w:eastAsia="zh-CN"/>
        </w:rPr>
        <w:t>第二十三条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本类产品不允许分装</w:t>
      </w:r>
      <w:r>
        <w:rPr>
          <w:rFonts w:hint="eastAsia" w:ascii="仿宋" w:hAnsi="仿宋" w:eastAsia="仿宋" w:cs="仿宋"/>
          <w:b w:val="0"/>
          <w:bCs w:val="0"/>
          <w:color w:val="0000FF"/>
          <w:sz w:val="32"/>
          <w:szCs w:val="32"/>
        </w:rPr>
        <w:t>。</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四</w:t>
      </w:r>
      <w:r>
        <w:rPr>
          <w:rFonts w:hint="eastAsia" w:ascii="仿宋" w:hAnsi="仿宋" w:eastAsia="仿宋" w:cs="仿宋"/>
          <w:b w:val="0"/>
          <w:bCs w:val="0"/>
          <w:kern w:val="0"/>
          <w:sz w:val="32"/>
          <w:szCs w:val="32"/>
        </w:rPr>
        <w:t>条 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自</w:t>
      </w:r>
      <w:r>
        <w:rPr>
          <w:rFonts w:hint="eastAsia" w:ascii="仿宋" w:hAnsi="仿宋" w:eastAsia="仿宋" w:cs="仿宋"/>
          <w:b w:val="0"/>
          <w:bCs w:val="0"/>
          <w:sz w:val="32"/>
          <w:szCs w:val="32"/>
        </w:rPr>
        <w:t>发布之</w:t>
      </w:r>
      <w:r>
        <w:rPr>
          <w:rFonts w:hint="eastAsia" w:ascii="仿宋" w:hAnsi="仿宋" w:eastAsia="仿宋" w:cs="仿宋"/>
          <w:b w:val="0"/>
          <w:bCs w:val="0"/>
          <w:kern w:val="0"/>
          <w:sz w:val="32"/>
          <w:szCs w:val="32"/>
        </w:rPr>
        <w:t>日起施行。</w:t>
      </w:r>
    </w:p>
    <w:p>
      <w:pPr>
        <w:keepNext w:val="0"/>
        <w:keepLines w:val="0"/>
        <w:pageBreakBefore w:val="0"/>
        <w:kinsoku/>
        <w:wordWrap/>
        <w:overflowPunct/>
        <w:topLinePunct w:val="0"/>
        <w:bidi w:val="0"/>
        <w:snapToGrid/>
        <w:spacing w:line="420" w:lineRule="exact"/>
        <w:ind w:right="0" w:rightChars="0"/>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附表</w:t>
      </w:r>
      <w:r>
        <w:rPr>
          <w:rFonts w:hint="eastAsia" w:ascii="仿宋" w:hAnsi="仿宋" w:eastAsia="仿宋" w:cs="仿宋"/>
          <w:b w:val="0"/>
          <w:bCs w:val="0"/>
          <w:color w:val="000000"/>
          <w:sz w:val="32"/>
          <w:szCs w:val="32"/>
        </w:rPr>
        <w:t>：</w:t>
      </w:r>
    </w:p>
    <w:p>
      <w:pPr>
        <w:keepNext w:val="0"/>
        <w:keepLines w:val="0"/>
        <w:pageBreakBefore w:val="0"/>
        <w:kinsoku/>
        <w:wordWrap/>
        <w:overflowPunct/>
        <w:topLinePunct w:val="0"/>
        <w:bidi w:val="0"/>
        <w:snapToGrid/>
        <w:spacing w:line="420" w:lineRule="exact"/>
        <w:ind w:right="0" w:rightChars="0" w:firstLine="720" w:firstLineChars="20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汤料</w:t>
      </w:r>
      <w:r>
        <w:rPr>
          <w:rFonts w:hint="eastAsia" w:ascii="仿宋" w:hAnsi="仿宋" w:eastAsia="仿宋" w:cs="仿宋"/>
          <w:b w:val="0"/>
          <w:bCs w:val="0"/>
          <w:sz w:val="32"/>
          <w:szCs w:val="32"/>
          <w:lang w:eastAsia="zh-CN"/>
        </w:rPr>
        <w:t>食品</w:t>
      </w:r>
      <w:r>
        <w:rPr>
          <w:rFonts w:hint="eastAsia" w:ascii="仿宋" w:hAnsi="仿宋" w:eastAsia="仿宋" w:cs="仿宋"/>
          <w:b w:val="0"/>
          <w:bCs w:val="0"/>
          <w:sz w:val="32"/>
          <w:szCs w:val="32"/>
        </w:rPr>
        <w:t>检验项目及技术要求表</w:t>
      </w:r>
    </w:p>
    <w:tbl>
      <w:tblPr>
        <w:tblStyle w:val="8"/>
        <w:tblW w:w="9633" w:type="dxa"/>
        <w:jc w:val="center"/>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18"/>
        <w:gridCol w:w="1169"/>
        <w:gridCol w:w="623"/>
        <w:gridCol w:w="709"/>
        <w:gridCol w:w="2835"/>
        <w:gridCol w:w="1477"/>
        <w:gridCol w:w="220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Header/>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序号</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检验项目</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监督</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出厂</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技术要求</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检测方法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感官</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符合企业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准规定</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的方法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净含量</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符合</w:t>
            </w:r>
            <w:r>
              <w:rPr>
                <w:rFonts w:hint="eastAsia" w:ascii="仿宋" w:hAnsi="仿宋" w:eastAsia="仿宋" w:cs="仿宋"/>
                <w:b w:val="0"/>
                <w:bCs w:val="0"/>
                <w:sz w:val="28"/>
                <w:szCs w:val="28"/>
              </w:rPr>
              <w:t>《定量包装商品计量监督管理办法》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国家质检</w:t>
            </w:r>
            <w:r>
              <w:rPr>
                <w:rFonts w:hint="eastAsia" w:ascii="仿宋" w:hAnsi="仿宋" w:eastAsia="仿宋" w:cs="仿宋"/>
                <w:b w:val="0"/>
                <w:bCs w:val="0"/>
                <w:sz w:val="28"/>
                <w:szCs w:val="28"/>
                <w:lang w:eastAsia="zh-CN"/>
              </w:rPr>
              <w:t>总</w:t>
            </w:r>
            <w:bookmarkStart w:id="5" w:name="_GoBack"/>
            <w:bookmarkEnd w:id="5"/>
            <w:r>
              <w:rPr>
                <w:rFonts w:hint="eastAsia" w:ascii="仿宋" w:hAnsi="仿宋" w:eastAsia="仿宋" w:cs="仿宋"/>
                <w:b w:val="0"/>
                <w:bCs w:val="0"/>
                <w:sz w:val="28"/>
                <w:szCs w:val="28"/>
              </w:rPr>
              <w:t>局</w:t>
            </w:r>
            <w:r>
              <w:rPr>
                <w:rFonts w:hint="eastAsia" w:ascii="仿宋" w:hAnsi="仿宋" w:eastAsia="仿宋" w:cs="仿宋"/>
                <w:b w:val="0"/>
                <w:bCs w:val="0"/>
                <w:sz w:val="28"/>
                <w:szCs w:val="28"/>
                <w:lang w:eastAsia="zh-CN"/>
              </w:rPr>
              <w:t>令第</w:t>
            </w:r>
            <w:r>
              <w:rPr>
                <w:rFonts w:hint="eastAsia" w:ascii="仿宋" w:hAnsi="仿宋" w:eastAsia="仿宋" w:cs="仿宋"/>
                <w:b w:val="0"/>
                <w:bCs w:val="0"/>
                <w:sz w:val="28"/>
                <w:szCs w:val="28"/>
              </w:rPr>
              <w:t>75号</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、企业执行标准</w:t>
            </w:r>
            <w:r>
              <w:rPr>
                <w:rFonts w:hint="eastAsia" w:ascii="仿宋" w:hAnsi="仿宋" w:eastAsia="仿宋" w:cs="仿宋"/>
                <w:b w:val="0"/>
                <w:bCs w:val="0"/>
                <w:sz w:val="28"/>
                <w:szCs w:val="28"/>
                <w:lang w:eastAsia="zh-CN"/>
              </w:rPr>
              <w:t>和</w:t>
            </w:r>
            <w:r>
              <w:rPr>
                <w:rFonts w:hint="eastAsia" w:ascii="仿宋" w:hAnsi="仿宋" w:eastAsia="仿宋" w:cs="仿宋"/>
                <w:b w:val="0"/>
                <w:bCs w:val="0"/>
                <w:sz w:val="28"/>
                <w:szCs w:val="28"/>
              </w:rPr>
              <w:t>标签明示</w:t>
            </w:r>
            <w:r>
              <w:rPr>
                <w:rFonts w:hint="eastAsia" w:ascii="仿宋" w:hAnsi="仿宋" w:eastAsia="仿宋" w:cs="仿宋"/>
                <w:b w:val="0"/>
                <w:bCs w:val="0"/>
                <w:sz w:val="28"/>
                <w:szCs w:val="28"/>
                <w:lang w:eastAsia="zh-CN"/>
              </w:rPr>
              <w:t>要求</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准规定</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的方法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3</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水分</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符合企业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GB5009.3</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r>
              <w:rPr>
                <w:rFonts w:hint="eastAsia" w:ascii="仿宋" w:hAnsi="仿宋" w:eastAsia="仿宋" w:cs="仿宋"/>
                <w:b w:val="0"/>
                <w:bCs w:val="0"/>
                <w:sz w:val="28"/>
                <w:szCs w:val="28"/>
                <w:lang w:eastAsia="zh-CN"/>
              </w:rPr>
              <w:t>有此规定的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37" w:hRule="atLeast"/>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4</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总灰分</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符合企业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GB5009.4</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r>
              <w:rPr>
                <w:rFonts w:hint="eastAsia" w:ascii="仿宋" w:hAnsi="仿宋" w:eastAsia="仿宋" w:cs="仿宋"/>
                <w:b w:val="0"/>
                <w:bCs w:val="0"/>
                <w:sz w:val="28"/>
                <w:szCs w:val="28"/>
                <w:lang w:eastAsia="zh-CN"/>
              </w:rPr>
              <w:t>有此规定的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787" w:hRule="atLeast"/>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5</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污染物</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限量</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32"/>
                <w:szCs w:val="32"/>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GB2762</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相应检</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验方法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firstLine="560" w:firstLineChars="200"/>
              <w:jc w:val="center"/>
              <w:textAlignment w:val="auto"/>
              <w:outlineLvl w:val="9"/>
              <w:rPr>
                <w:rFonts w:hint="eastAsia" w:ascii="仿宋" w:hAnsi="仿宋" w:eastAsia="仿宋" w:cs="仿宋"/>
                <w:b w:val="0"/>
                <w:bCs w:val="0"/>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23" w:hRule="atLeast"/>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6</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食品添</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加剂</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32"/>
                <w:szCs w:val="32"/>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GB2760</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相应检</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验方法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firstLine="560" w:firstLineChars="200"/>
              <w:jc w:val="center"/>
              <w:textAlignment w:val="auto"/>
              <w:outlineLvl w:val="9"/>
              <w:rPr>
                <w:rFonts w:hint="eastAsia" w:ascii="仿宋" w:hAnsi="仿宋" w:eastAsia="仿宋" w:cs="仿宋"/>
                <w:b w:val="0"/>
                <w:bCs w:val="0"/>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429" w:hRule="atLeast"/>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7</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农药最大残留限量</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32"/>
                <w:szCs w:val="32"/>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GB2763</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相应检</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验方法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可根据配料的主要种类制定农药最大残留限量检测项目</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618"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8</w:t>
            </w:r>
          </w:p>
        </w:tc>
        <w:tc>
          <w:tcPr>
            <w:tcW w:w="116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企业执行标准及标签明示的其他项目</w:t>
            </w:r>
          </w:p>
        </w:tc>
        <w:tc>
          <w:tcPr>
            <w:tcW w:w="62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w:t>
            </w:r>
          </w:p>
        </w:tc>
        <w:tc>
          <w:tcPr>
            <w:tcW w:w="709"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32"/>
                <w:szCs w:val="32"/>
              </w:rPr>
              <w:t>*</w:t>
            </w:r>
          </w:p>
        </w:tc>
        <w:tc>
          <w:tcPr>
            <w:tcW w:w="283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符合企业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p>
        </w:tc>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企业标</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准规定</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的方法</w:t>
            </w:r>
          </w:p>
        </w:tc>
        <w:tc>
          <w:tcPr>
            <w:tcW w:w="2202"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rPr>
              <w:t>企业</w:t>
            </w:r>
            <w:r>
              <w:rPr>
                <w:rFonts w:hint="eastAsia" w:ascii="仿宋" w:hAnsi="仿宋" w:eastAsia="仿宋" w:cs="仿宋"/>
                <w:b w:val="0"/>
                <w:bCs w:val="0"/>
                <w:sz w:val="28"/>
                <w:szCs w:val="28"/>
                <w:lang w:eastAsia="zh-CN"/>
              </w:rPr>
              <w:t>执行</w:t>
            </w:r>
            <w:r>
              <w:rPr>
                <w:rFonts w:hint="eastAsia" w:ascii="仿宋" w:hAnsi="仿宋" w:eastAsia="仿宋" w:cs="仿宋"/>
                <w:b w:val="0"/>
                <w:bCs w:val="0"/>
                <w:sz w:val="28"/>
                <w:szCs w:val="28"/>
              </w:rPr>
              <w:t>标准</w:t>
            </w:r>
          </w:p>
          <w:p>
            <w:pPr>
              <w:keepNext w:val="0"/>
              <w:keepLines w:val="0"/>
              <w:pageBreakBefore w:val="0"/>
              <w:kinsoku/>
              <w:wordWrap/>
              <w:overflowPunct/>
              <w:topLinePunct w:val="0"/>
              <w:bidi w:val="0"/>
              <w:snapToGrid/>
              <w:spacing w:line="420" w:lineRule="exact"/>
              <w:ind w:right="0" w:rightChars="0"/>
              <w:jc w:val="center"/>
              <w:textAlignment w:val="auto"/>
              <w:outlineLvl w:val="9"/>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和标签</w:t>
            </w:r>
            <w:r>
              <w:rPr>
                <w:rFonts w:hint="eastAsia" w:ascii="仿宋" w:hAnsi="仿宋" w:eastAsia="仿宋" w:cs="仿宋"/>
                <w:b w:val="0"/>
                <w:bCs w:val="0"/>
                <w:sz w:val="28"/>
                <w:szCs w:val="28"/>
              </w:rPr>
              <w:t>明示要求</w:t>
            </w:r>
            <w:r>
              <w:rPr>
                <w:rFonts w:hint="eastAsia" w:ascii="仿宋" w:hAnsi="仿宋" w:eastAsia="仿宋" w:cs="仿宋"/>
                <w:b w:val="0"/>
                <w:bCs w:val="0"/>
                <w:sz w:val="28"/>
                <w:szCs w:val="28"/>
                <w:lang w:eastAsia="zh-CN"/>
              </w:rPr>
              <w:t>有此规定的</w:t>
            </w:r>
          </w:p>
        </w:tc>
      </w:tr>
    </w:tbl>
    <w:p>
      <w:pPr>
        <w:keepNext w:val="0"/>
        <w:keepLines w:val="0"/>
        <w:pageBreakBefore w:val="0"/>
        <w:widowControl/>
        <w:shd w:val="clear" w:color="auto" w:fill="FFFFFF"/>
        <w:kinsoku/>
        <w:wordWrap/>
        <w:overflowPunct/>
        <w:topLinePunct w:val="0"/>
        <w:bidi w:val="0"/>
        <w:snapToGrid/>
        <w:spacing w:line="420" w:lineRule="exact"/>
        <w:ind w:left="720" w:right="0" w:rightChars="0" w:firstLine="480"/>
        <w:textAlignment w:val="auto"/>
        <w:outlineLvl w:val="9"/>
        <w:rPr>
          <w:rFonts w:hint="eastAsia" w:ascii="仿宋" w:hAnsi="仿宋" w:eastAsia="仿宋" w:cs="仿宋"/>
          <w:b w:val="0"/>
          <w:bCs w:val="0"/>
          <w:color w:val="434343"/>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67330"/>
    <w:multiLevelType w:val="singleLevel"/>
    <w:tmpl w:val="59367330"/>
    <w:lvl w:ilvl="0" w:tentative="0">
      <w:start w:val="3"/>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27D1"/>
    <w:rsid w:val="003027D1"/>
    <w:rsid w:val="00510874"/>
    <w:rsid w:val="005A2168"/>
    <w:rsid w:val="005B1C3C"/>
    <w:rsid w:val="00633613"/>
    <w:rsid w:val="00695A39"/>
    <w:rsid w:val="007662E6"/>
    <w:rsid w:val="00864461"/>
    <w:rsid w:val="00940C08"/>
    <w:rsid w:val="00D77E07"/>
    <w:rsid w:val="21737F20"/>
    <w:rsid w:val="31D12C0C"/>
    <w:rsid w:val="35622469"/>
    <w:rsid w:val="435F4F02"/>
    <w:rsid w:val="4ED013A8"/>
    <w:rsid w:val="56152C66"/>
    <w:rsid w:val="587D67AB"/>
    <w:rsid w:val="653B53D5"/>
    <w:rsid w:val="78097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qFormat/>
    <w:uiPriority w:val="99"/>
    <w:rPr>
      <w:color w:val="0000FF"/>
      <w:u w:val="single"/>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character" w:customStyle="1" w:styleId="11">
    <w:name w:val="apple-converted-space"/>
    <w:basedOn w:val="6"/>
    <w:qFormat/>
    <w:uiPriority w:val="0"/>
  </w:style>
  <w:style w:type="character" w:customStyle="1" w:styleId="12">
    <w:name w:val="批注框文本 Char"/>
    <w:basedOn w:val="6"/>
    <w:link w:val="2"/>
    <w:semiHidden/>
    <w:qFormat/>
    <w:uiPriority w:val="99"/>
    <w:rPr>
      <w:sz w:val="18"/>
      <w:szCs w:val="18"/>
    </w:rPr>
  </w:style>
  <w:style w:type="paragraph" w:customStyle="1" w:styleId="13">
    <w:name w:val="列出段落1"/>
    <w:basedOn w:val="1"/>
    <w:qFormat/>
    <w:uiPriority w:val="34"/>
    <w:pPr>
      <w:widowControl/>
      <w:ind w:firstLine="420" w:firstLineChars="200"/>
      <w:jc w:val="left"/>
    </w:pPr>
    <w:rPr>
      <w:rFonts w:ascii="宋体" w:hAnsi="宋体" w:eastAsia="宋体" w:cs="宋体"/>
      <w:kern w:val="0"/>
      <w:sz w:val="24"/>
      <w:szCs w:val="24"/>
    </w:rPr>
  </w:style>
  <w:style w:type="character" w:customStyle="1" w:styleId="14">
    <w:name w:val="附录一级条标题 Char"/>
    <w:basedOn w:val="15"/>
    <w:link w:val="18"/>
    <w:qFormat/>
    <w:uiPriority w:val="0"/>
  </w:style>
  <w:style w:type="character" w:customStyle="1" w:styleId="15">
    <w:name w:val="附录章标题 Char"/>
    <w:link w:val="16"/>
    <w:qFormat/>
    <w:uiPriority w:val="0"/>
    <w:rPr>
      <w:rFonts w:ascii="黑体" w:eastAsia="黑体"/>
      <w:kern w:val="21"/>
    </w:rPr>
  </w:style>
  <w:style w:type="paragraph" w:customStyle="1" w:styleId="16">
    <w:name w:val="附录章标题"/>
    <w:next w:val="17"/>
    <w:link w:val="15"/>
    <w:qFormat/>
    <w:uiPriority w:val="0"/>
    <w:pPr>
      <w:wordWrap w:val="0"/>
      <w:overflowPunct w:val="0"/>
      <w:autoSpaceDE w:val="0"/>
      <w:spacing w:beforeLines="50" w:afterLines="50"/>
      <w:jc w:val="both"/>
      <w:textAlignment w:val="baseline"/>
      <w:outlineLvl w:val="1"/>
    </w:pPr>
    <w:rPr>
      <w:rFonts w:ascii="黑体" w:eastAsia="黑体" w:hAnsiTheme="minorHAnsi" w:cstheme="minorBidi"/>
      <w:kern w:val="21"/>
      <w:sz w:val="21"/>
      <w:szCs w:val="22"/>
      <w:lang w:val="en-US" w:eastAsia="zh-CN" w:bidi="ar-SA"/>
    </w:rPr>
  </w:style>
  <w:style w:type="paragraph" w:customStyle="1" w:styleId="1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8">
    <w:name w:val="附录一级条标题"/>
    <w:basedOn w:val="16"/>
    <w:next w:val="17"/>
    <w:link w:val="14"/>
    <w:qFormat/>
    <w:uiPriority w:val="0"/>
    <w:pPr>
      <w:autoSpaceDN w:val="0"/>
      <w:spacing w:beforeLines="0" w:afterLines="0"/>
      <w:ind w:firstLine="400"/>
      <w:outlineLvl w:val="2"/>
    </w:pPr>
  </w:style>
  <w:style w:type="paragraph" w:customStyle="1" w:styleId="19">
    <w:name w:val="附录二级条标题"/>
    <w:basedOn w:val="18"/>
    <w:next w:val="17"/>
    <w:qFormat/>
    <w:uiPriority w:val="0"/>
    <w:pPr>
      <w:ind w:firstLine="400"/>
      <w:outlineLvl w:val="3"/>
    </w:pPr>
  </w:style>
  <w:style w:type="paragraph" w:customStyle="1" w:styleId="20">
    <w:name w:val="List Paragraph"/>
    <w:basedOn w:val="1"/>
    <w:qFormat/>
    <w:uiPriority w:val="34"/>
    <w:pPr>
      <w:ind w:firstLine="420" w:firstLineChars="200"/>
    </w:pPr>
    <w:rPr>
      <w:rFonts w:ascii="宋体" w:hAnsi="宋体" w:eastAsia="宋体" w:cs="Times New Roman"/>
      <w:sz w:val="24"/>
      <w:szCs w:val="24"/>
    </w:rPr>
  </w:style>
  <w:style w:type="paragraph" w:customStyle="1" w:styleId="21">
    <w:name w:val="列出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2912</Words>
  <Characters>16602</Characters>
  <Lines>138</Lines>
  <Paragraphs>38</Paragraphs>
  <ScaleCrop>false</ScaleCrop>
  <LinksUpToDate>false</LinksUpToDate>
  <CharactersWithSpaces>19476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2017-06-06T07:04:00Z</dcterms:created>
  <dc:creator>张婷</dc:creator>
  <cp:lastModifiedBy>Administrator</cp:lastModifiedBy>
  <cp:lastPrinted>2017-07-04T05:57:21Z</cp:lastPrinted>
  <dcterms:modified xsi:type="dcterms:W3CDTF">2017-07-04T05:58:41Z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