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topLinePunct w:val="0"/>
        <w:bidi w:val="0"/>
        <w:snapToGrid/>
        <w:spacing w:line="400" w:lineRule="exact"/>
        <w:ind w:right="0" w:rightChars="0"/>
        <w:jc w:val="left"/>
        <w:rPr>
          <w:rFonts w:hint="eastAsia" w:ascii="仿宋" w:hAnsi="仿宋" w:eastAsia="仿宋" w:cs="仿宋"/>
          <w:b w:val="0"/>
          <w:bCs w:val="0"/>
          <w:color w:val="434343"/>
          <w:kern w:val="0"/>
          <w:sz w:val="32"/>
          <w:szCs w:val="32"/>
        </w:rPr>
      </w:pPr>
      <w:r>
        <w:rPr>
          <w:rFonts w:hint="eastAsia" w:ascii="仿宋" w:hAnsi="仿宋" w:eastAsia="仿宋" w:cs="仿宋"/>
          <w:b w:val="0"/>
          <w:bCs w:val="0"/>
          <w:color w:val="434343"/>
          <w:kern w:val="0"/>
          <w:sz w:val="32"/>
          <w:szCs w:val="32"/>
        </w:rPr>
        <w:t>附件</w:t>
      </w:r>
      <w:r>
        <w:rPr>
          <w:rFonts w:hint="eastAsia" w:ascii="仿宋" w:hAnsi="仿宋" w:eastAsia="仿宋" w:cs="仿宋"/>
          <w:b w:val="0"/>
          <w:bCs w:val="0"/>
          <w:color w:val="434343"/>
          <w:kern w:val="0"/>
          <w:sz w:val="32"/>
          <w:szCs w:val="32"/>
          <w:lang w:val="en-US" w:eastAsia="zh-CN"/>
        </w:rPr>
        <w:t>3</w:t>
      </w:r>
    </w:p>
    <w:p>
      <w:pPr>
        <w:keepNext w:val="0"/>
        <w:keepLines w:val="0"/>
        <w:pageBreakBefore w:val="0"/>
        <w:kinsoku/>
        <w:topLinePunct w:val="0"/>
        <w:bidi w:val="0"/>
        <w:snapToGrid/>
        <w:spacing w:line="400" w:lineRule="exact"/>
        <w:ind w:right="0" w:rightChars="0"/>
        <w:jc w:val="center"/>
        <w:rPr>
          <w:rFonts w:hint="eastAsia" w:ascii="黑体" w:hAnsi="黑体" w:eastAsia="黑体" w:cs="黑体"/>
          <w:b w:val="0"/>
          <w:bCs w:val="0"/>
          <w:color w:val="000000"/>
          <w:sz w:val="36"/>
          <w:szCs w:val="36"/>
        </w:rPr>
      </w:pPr>
      <w:bookmarkStart w:id="0" w:name="zhengwen"/>
      <w:r>
        <w:rPr>
          <w:rFonts w:hint="eastAsia" w:ascii="黑体" w:hAnsi="黑体" w:eastAsia="黑体" w:cs="黑体"/>
          <w:b w:val="0"/>
          <w:bCs w:val="0"/>
          <w:color w:val="000000"/>
          <w:sz w:val="36"/>
          <w:szCs w:val="36"/>
        </w:rPr>
        <w:t>胶原蛋白</w:t>
      </w:r>
      <w:r>
        <w:rPr>
          <w:rFonts w:hint="eastAsia" w:ascii="黑体" w:hAnsi="黑体" w:eastAsia="黑体" w:cs="黑体"/>
          <w:b w:val="0"/>
          <w:bCs w:val="0"/>
          <w:color w:val="000000"/>
          <w:sz w:val="36"/>
          <w:szCs w:val="36"/>
          <w:lang w:eastAsia="zh-CN"/>
        </w:rPr>
        <w:t>食品</w:t>
      </w:r>
      <w:r>
        <w:rPr>
          <w:rFonts w:hint="eastAsia" w:ascii="黑体" w:hAnsi="黑体" w:eastAsia="黑体" w:cs="黑体"/>
          <w:b w:val="0"/>
          <w:bCs w:val="0"/>
          <w:color w:val="000000"/>
          <w:sz w:val="36"/>
          <w:szCs w:val="36"/>
        </w:rPr>
        <w:t>生产许可审查</w:t>
      </w:r>
      <w:r>
        <w:rPr>
          <w:rFonts w:hint="eastAsia" w:ascii="黑体" w:hAnsi="黑体" w:eastAsia="黑体" w:cs="黑体"/>
          <w:b w:val="0"/>
          <w:bCs w:val="0"/>
          <w:color w:val="000000"/>
          <w:sz w:val="36"/>
          <w:szCs w:val="36"/>
          <w:lang w:eastAsia="zh-CN"/>
        </w:rPr>
        <w:t>规范</w:t>
      </w: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kern w:val="0"/>
          <w:sz w:val="32"/>
          <w:szCs w:val="32"/>
        </w:rPr>
      </w:pP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第一章 总则</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bookmarkStart w:id="1" w:name="_Toc416939932"/>
      <w:bookmarkStart w:id="2" w:name="_Toc416939933"/>
      <w:bookmarkStart w:id="3" w:name="_Toc415228645"/>
      <w:r>
        <w:rPr>
          <w:rFonts w:hint="eastAsia" w:ascii="仿宋" w:hAnsi="仿宋" w:eastAsia="仿宋" w:cs="仿宋"/>
          <w:b w:val="0"/>
          <w:bCs w:val="0"/>
          <w:kern w:val="0"/>
          <w:sz w:val="32"/>
          <w:szCs w:val="32"/>
        </w:rPr>
        <w:t>第一条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本</w:t>
      </w:r>
      <w:r>
        <w:rPr>
          <w:rFonts w:hint="eastAsia" w:ascii="仿宋" w:hAnsi="仿宋" w:eastAsia="仿宋" w:cs="仿宋"/>
          <w:b w:val="0"/>
          <w:bCs w:val="0"/>
          <w:sz w:val="32"/>
          <w:szCs w:val="32"/>
          <w:lang w:eastAsia="zh-CN"/>
        </w:rPr>
        <w:t>规范</w:t>
      </w:r>
      <w:r>
        <w:rPr>
          <w:rFonts w:hint="eastAsia" w:ascii="仿宋" w:hAnsi="仿宋" w:eastAsia="仿宋" w:cs="仿宋"/>
          <w:b w:val="0"/>
          <w:bCs w:val="0"/>
          <w:sz w:val="32"/>
          <w:szCs w:val="32"/>
        </w:rPr>
        <w:t>适用于江西省内胶原蛋白</w:t>
      </w:r>
      <w:r>
        <w:rPr>
          <w:rFonts w:hint="eastAsia" w:ascii="仿宋" w:hAnsi="仿宋" w:eastAsia="仿宋" w:cs="仿宋"/>
          <w:b w:val="0"/>
          <w:bCs w:val="0"/>
          <w:sz w:val="32"/>
          <w:szCs w:val="32"/>
          <w:lang w:eastAsia="zh-CN"/>
        </w:rPr>
        <w:t>食品</w:t>
      </w:r>
      <w:r>
        <w:rPr>
          <w:rFonts w:hint="eastAsia" w:ascii="仿宋" w:hAnsi="仿宋" w:eastAsia="仿宋" w:cs="仿宋"/>
          <w:b w:val="0"/>
          <w:bCs w:val="0"/>
          <w:sz w:val="32"/>
          <w:szCs w:val="32"/>
        </w:rPr>
        <w:t>生产许可条件审查。</w:t>
      </w:r>
      <w:r>
        <w:rPr>
          <w:rFonts w:hint="eastAsia" w:ascii="仿宋" w:hAnsi="仿宋" w:eastAsia="仿宋" w:cs="仿宋"/>
          <w:b w:val="0"/>
          <w:bCs w:val="0"/>
          <w:sz w:val="32"/>
          <w:szCs w:val="32"/>
          <w:lang w:eastAsia="zh-CN"/>
        </w:rPr>
        <w:t>规范</w:t>
      </w:r>
      <w:r>
        <w:rPr>
          <w:rFonts w:hint="eastAsia" w:ascii="仿宋" w:hAnsi="仿宋" w:eastAsia="仿宋" w:cs="仿宋"/>
          <w:b w:val="0"/>
          <w:bCs w:val="0"/>
          <w:sz w:val="32"/>
          <w:szCs w:val="32"/>
        </w:rPr>
        <w:t>中所称胶原蛋白是指以经检验检疫合格的动物的皮、骨、筋、腱、鳞等为原料，经清洗、提取、酶解、过滤、杀菌、浓缩、干燥、包装等工艺制成的胶原蛋白。本</w:t>
      </w:r>
      <w:r>
        <w:rPr>
          <w:rFonts w:hint="eastAsia" w:ascii="仿宋" w:hAnsi="仿宋" w:eastAsia="仿宋" w:cs="仿宋"/>
          <w:b w:val="0"/>
          <w:bCs w:val="0"/>
          <w:sz w:val="32"/>
          <w:szCs w:val="32"/>
          <w:lang w:eastAsia="zh-CN"/>
        </w:rPr>
        <w:t>规范</w:t>
      </w:r>
      <w:r>
        <w:rPr>
          <w:rFonts w:hint="eastAsia" w:ascii="仿宋" w:hAnsi="仿宋" w:eastAsia="仿宋" w:cs="仿宋"/>
          <w:b w:val="0"/>
          <w:bCs w:val="0"/>
          <w:sz w:val="32"/>
          <w:szCs w:val="32"/>
        </w:rPr>
        <w:t>不适用于</w:t>
      </w:r>
      <w:r>
        <w:rPr>
          <w:rFonts w:hint="eastAsia" w:ascii="仿宋" w:hAnsi="仿宋" w:eastAsia="仿宋" w:cs="仿宋"/>
          <w:b w:val="0"/>
          <w:bCs w:val="0"/>
          <w:sz w:val="32"/>
          <w:szCs w:val="32"/>
          <w:lang w:eastAsia="zh-CN"/>
        </w:rPr>
        <w:t>以</w:t>
      </w:r>
      <w:r>
        <w:rPr>
          <w:rFonts w:hint="eastAsia" w:ascii="仿宋" w:hAnsi="仿宋" w:eastAsia="仿宋" w:cs="仿宋"/>
          <w:b w:val="0"/>
          <w:bCs w:val="0"/>
          <w:sz w:val="32"/>
          <w:szCs w:val="32"/>
        </w:rPr>
        <w:t>其他原料加工的胶原蛋白，以及采用酸水解工艺制成的胶原蛋白。胶原蛋白</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的申证单元为1个，即其他食品(胶原蛋白)。</w:t>
      </w:r>
    </w:p>
    <w:p>
      <w:pPr>
        <w:keepNext w:val="0"/>
        <w:keepLines w:val="0"/>
        <w:pageBreakBefore w:val="0"/>
        <w:kinsoku/>
        <w:topLinePunct w:val="0"/>
        <w:autoSpaceDE w:val="0"/>
        <w:autoSpaceDN w:val="0"/>
        <w:bidi w:val="0"/>
        <w:adjustRightInd w:val="0"/>
        <w:snapToGrid/>
        <w:spacing w:line="400" w:lineRule="exact"/>
        <w:ind w:right="0" w:rightChars="0" w:firstLine="643" w:firstLineChars="200"/>
        <w:jc w:val="left"/>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第二条</w:t>
      </w:r>
      <w:r>
        <w:rPr>
          <w:rFonts w:hint="eastAsia" w:ascii="仿宋" w:hAnsi="仿宋" w:eastAsia="仿宋" w:cs="仿宋"/>
          <w:b w:val="0"/>
          <w:bCs w:val="0"/>
          <w:sz w:val="32"/>
          <w:szCs w:val="32"/>
        </w:rPr>
        <w:t xml:space="preserve"> 胶原蛋白的食品类别为</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其他食品</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，其类别名称（品种明细）为：</w:t>
      </w:r>
      <w:r>
        <w:rPr>
          <w:rFonts w:hint="eastAsia" w:ascii="仿宋" w:hAnsi="仿宋" w:eastAsia="仿宋" w:cs="仿宋"/>
          <w:b w:val="0"/>
          <w:bCs w:val="0"/>
          <w:kern w:val="0"/>
          <w:sz w:val="32"/>
          <w:szCs w:val="32"/>
        </w:rPr>
        <w:t>其他食品（胶原蛋白）</w:t>
      </w:r>
      <w:r>
        <w:rPr>
          <w:rFonts w:hint="eastAsia" w:ascii="仿宋" w:hAnsi="仿宋" w:eastAsia="仿宋" w:cs="仿宋"/>
          <w:b w:val="0"/>
          <w:bCs w:val="0"/>
          <w:sz w:val="32"/>
          <w:szCs w:val="32"/>
        </w:rPr>
        <w:t>，类别编号为3101。胶原蛋白食品类别、类别名称、品种明细及执行标准等见</w:t>
      </w:r>
      <w:r>
        <w:rPr>
          <w:rFonts w:hint="eastAsia" w:ascii="仿宋" w:hAnsi="仿宋" w:eastAsia="仿宋" w:cs="仿宋"/>
          <w:b w:val="0"/>
          <w:bCs w:val="0"/>
          <w:sz w:val="32"/>
          <w:szCs w:val="32"/>
          <w:lang w:eastAsia="zh-CN"/>
        </w:rPr>
        <w:t>下</w:t>
      </w:r>
      <w:r>
        <w:rPr>
          <w:rFonts w:hint="eastAsia" w:ascii="仿宋" w:hAnsi="仿宋" w:eastAsia="仿宋" w:cs="仿宋"/>
          <w:b w:val="0"/>
          <w:bCs w:val="0"/>
          <w:sz w:val="32"/>
          <w:szCs w:val="32"/>
        </w:rPr>
        <w:t>表。</w:t>
      </w:r>
    </w:p>
    <w:p>
      <w:pPr>
        <w:keepNext w:val="0"/>
        <w:keepLines w:val="0"/>
        <w:pageBreakBefore w:val="0"/>
        <w:tabs>
          <w:tab w:val="left" w:pos="0"/>
          <w:tab w:val="left" w:pos="425"/>
        </w:tabs>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sz w:val="32"/>
          <w:szCs w:val="32"/>
        </w:rPr>
        <w:t>胶原蛋白</w:t>
      </w:r>
      <w:r>
        <w:rPr>
          <w:rFonts w:hint="eastAsia" w:ascii="仿宋" w:hAnsi="仿宋" w:eastAsia="仿宋" w:cs="仿宋"/>
          <w:b w:val="0"/>
          <w:bCs w:val="0"/>
          <w:color w:val="000000"/>
          <w:sz w:val="32"/>
          <w:szCs w:val="32"/>
        </w:rPr>
        <w:t>食品类别目录列表</w:t>
      </w:r>
    </w:p>
    <w:tbl>
      <w:tblPr>
        <w:tblStyle w:val="8"/>
        <w:tblW w:w="96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1173"/>
        <w:gridCol w:w="2412"/>
        <w:gridCol w:w="2127"/>
        <w:gridCol w:w="1419"/>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blHeader/>
          <w:jc w:val="center"/>
        </w:trPr>
        <w:tc>
          <w:tcPr>
            <w:tcW w:w="10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食品</w:t>
            </w: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类别</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类别</w:t>
            </w: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名称</w:t>
            </w:r>
          </w:p>
        </w:tc>
        <w:tc>
          <w:tcPr>
            <w:tcW w:w="24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品种明细</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color w:val="000000"/>
                <w:sz w:val="32"/>
                <w:szCs w:val="32"/>
              </w:rPr>
              <w:t>定义</w:t>
            </w:r>
          </w:p>
        </w:tc>
        <w:tc>
          <w:tcPr>
            <w:tcW w:w="1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color w:val="000000"/>
                <w:sz w:val="32"/>
                <w:szCs w:val="32"/>
              </w:rPr>
              <w:t>执行标准</w:t>
            </w: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备注</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10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其他</w:t>
            </w:r>
          </w:p>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食品</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其他</w:t>
            </w: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食品</w:t>
            </w:r>
          </w:p>
        </w:tc>
        <w:tc>
          <w:tcPr>
            <w:tcW w:w="24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其他食品</w:t>
            </w: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（胶原蛋白）</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以经检验检疫合格的动物的皮、骨、筋、腱、鳞等为原料，经清洗、提取、酶解、过滤、杀菌、浓缩、干燥、包装等工艺制成的胶原蛋白。</w:t>
            </w:r>
          </w:p>
        </w:tc>
        <w:tc>
          <w:tcPr>
            <w:tcW w:w="1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国家标准或经</w:t>
            </w:r>
            <w:r>
              <w:rPr>
                <w:rFonts w:hint="eastAsia" w:ascii="仿宋" w:hAnsi="仿宋" w:eastAsia="仿宋" w:cs="仿宋"/>
                <w:b w:val="0"/>
                <w:bCs w:val="0"/>
                <w:sz w:val="28"/>
                <w:szCs w:val="28"/>
                <w:lang w:eastAsia="zh-CN"/>
              </w:rPr>
              <w:t>省卫计委</w:t>
            </w:r>
            <w:r>
              <w:rPr>
                <w:rFonts w:hint="eastAsia" w:ascii="仿宋" w:hAnsi="仿宋" w:eastAsia="仿宋" w:cs="仿宋"/>
                <w:b w:val="0"/>
                <w:bCs w:val="0"/>
                <w:sz w:val="28"/>
                <w:szCs w:val="28"/>
              </w:rPr>
              <w:t>备案</w:t>
            </w:r>
            <w:r>
              <w:rPr>
                <w:rFonts w:hint="eastAsia" w:ascii="仿宋" w:hAnsi="仿宋" w:eastAsia="仿宋" w:cs="仿宋"/>
                <w:b w:val="0"/>
                <w:bCs w:val="0"/>
                <w:sz w:val="28"/>
                <w:szCs w:val="28"/>
                <w:lang w:eastAsia="zh-CN"/>
              </w:rPr>
              <w:t>现行有效</w:t>
            </w:r>
            <w:r>
              <w:rPr>
                <w:rFonts w:hint="eastAsia" w:ascii="仿宋" w:hAnsi="仿宋" w:eastAsia="仿宋" w:cs="仿宋"/>
                <w:b w:val="0"/>
                <w:bCs w:val="0"/>
                <w:sz w:val="28"/>
                <w:szCs w:val="28"/>
              </w:rPr>
              <w:t>的企业标准</w:t>
            </w:r>
          </w:p>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不包括以胶囊、口服液、片剂、丸剂等名称、形态生产的产品。</w:t>
            </w:r>
          </w:p>
        </w:tc>
      </w:tr>
    </w:tbl>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第三条</w:t>
      </w:r>
      <w:r>
        <w:rPr>
          <w:rFonts w:hint="eastAsia" w:ascii="仿宋" w:hAnsi="仿宋" w:eastAsia="仿宋" w:cs="仿宋"/>
          <w:b w:val="0"/>
          <w:bCs w:val="0"/>
          <w:color w:val="000000"/>
          <w:sz w:val="32"/>
          <w:szCs w:val="32"/>
        </w:rPr>
        <w:t xml:space="preserve"> 有定点屠宰的原料必须选用定点屠宰企业的产品，进口原料必须提供出入境检验检疫部门的合格证明材料。禁止使用以下原料：制革厂鞣制后的任何废料；无检验检疫合格证明的动物的皮、骨、筋、腱、鳞等；经有害物处理过或使用苯等有机溶剂进行脱脂的动物的皮、骨、筋、腱、鳞等。</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第四条</w:t>
      </w:r>
      <w:r>
        <w:rPr>
          <w:rFonts w:hint="eastAsia" w:ascii="仿宋" w:hAnsi="仿宋" w:eastAsia="仿宋" w:cs="仿宋"/>
          <w:b w:val="0"/>
          <w:bCs w:val="0"/>
          <w:color w:val="000000"/>
          <w:sz w:val="32"/>
          <w:szCs w:val="32"/>
        </w:rPr>
        <w:t xml:space="preserve"> 本</w:t>
      </w:r>
      <w:r>
        <w:rPr>
          <w:rFonts w:hint="eastAsia" w:ascii="仿宋" w:hAnsi="仿宋" w:eastAsia="仿宋" w:cs="仿宋"/>
          <w:b w:val="0"/>
          <w:bCs w:val="0"/>
          <w:color w:val="000000"/>
          <w:sz w:val="32"/>
          <w:szCs w:val="32"/>
          <w:lang w:eastAsia="zh-CN"/>
        </w:rPr>
        <w:t>规范</w:t>
      </w:r>
      <w:r>
        <w:rPr>
          <w:rFonts w:hint="eastAsia" w:ascii="仿宋" w:hAnsi="仿宋" w:eastAsia="仿宋" w:cs="仿宋"/>
          <w:b w:val="0"/>
          <w:bCs w:val="0"/>
          <w:color w:val="000000"/>
          <w:sz w:val="32"/>
          <w:szCs w:val="32"/>
        </w:rPr>
        <w:t>中引用的文件、标准通过引用成为本</w:t>
      </w:r>
      <w:r>
        <w:rPr>
          <w:rFonts w:hint="eastAsia" w:ascii="仿宋" w:hAnsi="仿宋" w:eastAsia="仿宋" w:cs="仿宋"/>
          <w:b w:val="0"/>
          <w:bCs w:val="0"/>
          <w:color w:val="000000"/>
          <w:sz w:val="32"/>
          <w:szCs w:val="32"/>
          <w:lang w:eastAsia="zh-CN"/>
        </w:rPr>
        <w:t>规范</w:t>
      </w:r>
      <w:r>
        <w:rPr>
          <w:rFonts w:hint="eastAsia" w:ascii="仿宋" w:hAnsi="仿宋" w:eastAsia="仿宋" w:cs="仿宋"/>
          <w:b w:val="0"/>
          <w:bCs w:val="0"/>
          <w:color w:val="000000"/>
          <w:sz w:val="32"/>
          <w:szCs w:val="32"/>
        </w:rPr>
        <w:t>的内容。凡是引用文件、标准，其最新版本（包括所有的修改单）适用于本</w:t>
      </w:r>
      <w:r>
        <w:rPr>
          <w:rFonts w:hint="eastAsia" w:ascii="仿宋" w:hAnsi="仿宋" w:eastAsia="仿宋" w:cs="仿宋"/>
          <w:b w:val="0"/>
          <w:bCs w:val="0"/>
          <w:color w:val="000000"/>
          <w:sz w:val="32"/>
          <w:szCs w:val="32"/>
          <w:lang w:eastAsia="zh-CN"/>
        </w:rPr>
        <w:t>规范</w:t>
      </w:r>
      <w:r>
        <w:rPr>
          <w:rFonts w:hint="eastAsia" w:ascii="仿宋" w:hAnsi="仿宋" w:eastAsia="仿宋" w:cs="仿宋"/>
          <w:b w:val="0"/>
          <w:bCs w:val="0"/>
          <w:color w:val="000000"/>
          <w:sz w:val="32"/>
          <w:szCs w:val="32"/>
        </w:rPr>
        <w:t>。</w:t>
      </w:r>
    </w:p>
    <w:bookmarkEnd w:id="2"/>
    <w:bookmarkEnd w:id="3"/>
    <w:p>
      <w:pPr>
        <w:keepNext w:val="0"/>
        <w:keepLines w:val="0"/>
        <w:pageBreakBefore w:val="0"/>
        <w:tabs>
          <w:tab w:val="left" w:pos="8820"/>
        </w:tabs>
        <w:kinsoku/>
        <w:topLinePunct w:val="0"/>
        <w:bidi w:val="0"/>
        <w:snapToGrid/>
        <w:spacing w:before="240" w:line="400" w:lineRule="exact"/>
        <w:ind w:right="0" w:rightChars="0"/>
        <w:jc w:val="center"/>
        <w:rPr>
          <w:rFonts w:hint="eastAsia" w:ascii="仿宋" w:hAnsi="仿宋" w:eastAsia="仿宋" w:cs="仿宋"/>
          <w:b w:val="0"/>
          <w:bCs w:val="0"/>
          <w:kern w:val="0"/>
          <w:sz w:val="32"/>
          <w:szCs w:val="32"/>
        </w:rPr>
      </w:pPr>
      <w:bookmarkStart w:id="4" w:name="_Toc416939945"/>
      <w:bookmarkStart w:id="5" w:name="_Toc415228658"/>
      <w:bookmarkStart w:id="6" w:name="_Toc28607"/>
      <w:r>
        <w:rPr>
          <w:rFonts w:hint="eastAsia" w:ascii="仿宋" w:hAnsi="仿宋" w:eastAsia="仿宋" w:cs="仿宋"/>
          <w:b w:val="0"/>
          <w:bCs w:val="0"/>
          <w:kern w:val="0"/>
          <w:sz w:val="32"/>
          <w:szCs w:val="32"/>
        </w:rPr>
        <w:t>第二章 生产场所</w:t>
      </w:r>
      <w:bookmarkEnd w:id="4"/>
      <w:bookmarkEnd w:id="5"/>
      <w:bookmarkEnd w:id="6"/>
    </w:p>
    <w:p>
      <w:pPr>
        <w:keepNext w:val="0"/>
        <w:keepLines w:val="0"/>
        <w:pageBreakBefore w:val="0"/>
        <w:tabs>
          <w:tab w:val="left" w:pos="0"/>
        </w:tabs>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第五条</w:t>
      </w:r>
      <w:r>
        <w:rPr>
          <w:rFonts w:hint="eastAsia" w:ascii="仿宋" w:hAnsi="仿宋" w:eastAsia="仿宋" w:cs="仿宋"/>
          <w:b w:val="0"/>
          <w:bCs w:val="0"/>
          <w:color w:val="000000"/>
          <w:sz w:val="32"/>
          <w:szCs w:val="32"/>
        </w:rPr>
        <w:t xml:space="preserve"> 企业厂房选址和设计、内部建筑结构、辅助生产设施应当能够避免污染、交叉污染、微生物孳生，便于清洁、操作和维护。人流、物流走向应当合理，有效控制人员、设备和物料流动造成的污染。</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第六条</w:t>
      </w:r>
      <w:r>
        <w:rPr>
          <w:rFonts w:hint="eastAsia" w:ascii="仿宋" w:hAnsi="仿宋" w:eastAsia="仿宋" w:cs="仿宋"/>
          <w:b w:val="0"/>
          <w:bCs w:val="0"/>
          <w:color w:val="000000"/>
          <w:sz w:val="32"/>
          <w:szCs w:val="32"/>
        </w:rPr>
        <w:t xml:space="preserve"> 生产车间及辅助设施的设置应按生产流程需要及卫生要求，有序而合理布局，根据生产流程、生产操作需要和清洁度的要求进行隔离，避免交叉污染。</w:t>
      </w:r>
      <w:r>
        <w:rPr>
          <w:rFonts w:hint="eastAsia" w:ascii="仿宋" w:hAnsi="仿宋" w:eastAsia="仿宋" w:cs="仿宋"/>
          <w:b w:val="0"/>
          <w:bCs w:val="0"/>
          <w:kern w:val="0"/>
          <w:sz w:val="32"/>
          <w:szCs w:val="32"/>
        </w:rPr>
        <w:t>可能产生有害气体、粉尘、噪声和污染等污染源的生产场所必须单独设置，并与居民区有适当的卫生防护距离和措施。在使用、贮存强酸、强碱等腐蚀性化学物质的场所，应有明显的警示标识。</w:t>
      </w:r>
    </w:p>
    <w:p>
      <w:pPr>
        <w:keepNext w:val="0"/>
        <w:keepLines w:val="0"/>
        <w:pageBreakBefore w:val="0"/>
        <w:tabs>
          <w:tab w:val="left" w:pos="0"/>
          <w:tab w:val="left" w:pos="425"/>
        </w:tabs>
        <w:kinsoku/>
        <w:topLinePunct w:val="0"/>
        <w:bidi w:val="0"/>
        <w:snapToGrid/>
        <w:spacing w:line="400" w:lineRule="exact"/>
        <w:ind w:right="0" w:rightChars="0" w:firstLine="640" w:firstLineChars="200"/>
        <w:jc w:val="center"/>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车间内应区分清洁作业区、准清洁作业区和一般作业区，</w:t>
      </w:r>
      <w:r>
        <w:rPr>
          <w:rFonts w:hint="eastAsia" w:ascii="仿宋" w:hAnsi="仿宋" w:eastAsia="仿宋" w:cs="仿宋"/>
          <w:b w:val="0"/>
          <w:bCs w:val="0"/>
          <w:sz w:val="32"/>
          <w:szCs w:val="32"/>
        </w:rPr>
        <w:t>猪（牛）胶原蛋白</w:t>
      </w:r>
      <w:r>
        <w:rPr>
          <w:rFonts w:hint="eastAsia" w:ascii="仿宋" w:hAnsi="仿宋" w:eastAsia="仿宋" w:cs="仿宋"/>
          <w:b w:val="0"/>
          <w:bCs w:val="0"/>
          <w:color w:val="000000"/>
          <w:sz w:val="32"/>
          <w:szCs w:val="32"/>
        </w:rPr>
        <w:t>生产车间及清洁作业区具体划分见</w:t>
      </w:r>
      <w:r>
        <w:rPr>
          <w:rFonts w:hint="eastAsia" w:ascii="仿宋" w:hAnsi="仿宋" w:eastAsia="仿宋" w:cs="仿宋"/>
          <w:b w:val="0"/>
          <w:bCs w:val="0"/>
          <w:color w:val="000000"/>
          <w:sz w:val="32"/>
          <w:szCs w:val="32"/>
          <w:lang w:eastAsia="zh-CN"/>
        </w:rPr>
        <w:t>下</w:t>
      </w:r>
      <w:r>
        <w:rPr>
          <w:rFonts w:hint="eastAsia" w:ascii="仿宋" w:hAnsi="仿宋" w:eastAsia="仿宋" w:cs="仿宋"/>
          <w:b w:val="0"/>
          <w:bCs w:val="0"/>
          <w:color w:val="000000"/>
          <w:sz w:val="32"/>
          <w:szCs w:val="32"/>
        </w:rPr>
        <w:t>表。</w:t>
      </w:r>
      <w:r>
        <w:rPr>
          <w:rFonts w:hint="eastAsia" w:ascii="仿宋" w:hAnsi="仿宋" w:eastAsia="仿宋" w:cs="仿宋"/>
          <w:b w:val="0"/>
          <w:bCs w:val="0"/>
          <w:sz w:val="32"/>
          <w:szCs w:val="32"/>
        </w:rPr>
        <w:t>胶原蛋白</w:t>
      </w:r>
      <w:r>
        <w:rPr>
          <w:rFonts w:hint="eastAsia" w:ascii="仿宋" w:hAnsi="仿宋" w:eastAsia="仿宋" w:cs="仿宋"/>
          <w:b w:val="0"/>
          <w:bCs w:val="0"/>
          <w:color w:val="000000"/>
          <w:sz w:val="32"/>
          <w:szCs w:val="32"/>
        </w:rPr>
        <w:t>企业生产车间及清洁作业区划分表</w:t>
      </w:r>
    </w:p>
    <w:tbl>
      <w:tblPr>
        <w:tblStyle w:val="8"/>
        <w:tblW w:w="94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2623"/>
        <w:gridCol w:w="2250"/>
        <w:gridCol w:w="2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blHeader/>
          <w:jc w:val="center"/>
        </w:trPr>
        <w:tc>
          <w:tcPr>
            <w:tcW w:w="21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产品名称</w:t>
            </w:r>
          </w:p>
        </w:tc>
        <w:tc>
          <w:tcPr>
            <w:tcW w:w="26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清洁作业区</w:t>
            </w:r>
          </w:p>
        </w:tc>
        <w:tc>
          <w:tcPr>
            <w:tcW w:w="22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准清洁作业区</w:t>
            </w:r>
          </w:p>
        </w:tc>
        <w:tc>
          <w:tcPr>
            <w:tcW w:w="24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一般作业区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21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胶原蛋白</w:t>
            </w:r>
          </w:p>
        </w:tc>
        <w:tc>
          <w:tcPr>
            <w:tcW w:w="26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left"/>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干燥的出粉口区域、包材消毒清洁间、内包装车间等</w:t>
            </w:r>
          </w:p>
        </w:tc>
        <w:tc>
          <w:tcPr>
            <w:tcW w:w="22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left"/>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提取、酶解、过滤、杀菌、浓缩、干燥车间等 </w:t>
            </w:r>
          </w:p>
        </w:tc>
        <w:tc>
          <w:tcPr>
            <w:tcW w:w="24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topLinePunct w:val="0"/>
              <w:bidi w:val="0"/>
              <w:snapToGrid/>
              <w:spacing w:line="400" w:lineRule="exact"/>
              <w:ind w:right="0" w:rightChars="0"/>
              <w:jc w:val="left"/>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原料处理车间、原料仓库、包装材料仓库、外包装车间及成品仓库等</w:t>
            </w:r>
          </w:p>
        </w:tc>
      </w:tr>
    </w:tbl>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第七条</w:t>
      </w:r>
      <w:r>
        <w:rPr>
          <w:rFonts w:hint="eastAsia" w:ascii="仿宋" w:hAnsi="仿宋" w:eastAsia="仿宋" w:cs="仿宋"/>
          <w:b w:val="0"/>
          <w:bCs w:val="0"/>
          <w:color w:val="000000"/>
          <w:sz w:val="32"/>
          <w:szCs w:val="32"/>
        </w:rPr>
        <w:t xml:space="preserve"> 清洁作业区出入应有合理的限制和控制，进入清洁作业区的包装材料等应有清洁措施，应设置包装材料消毒清洁间。</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生产车间地面应平整、防滑、耐磨、无毒、耐腐蚀、不渗水、便于清洗。需要清洗的工作区地面应有1°-2°的坡度，地面不得积水。</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准清洁区、清洁区的墙壁和屋顶应采用浅色、防潮、防腐蚀、防毒、防渗和不易脱落的无毒材料。</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sz w:val="32"/>
          <w:szCs w:val="32"/>
        </w:rPr>
      </w:pPr>
      <w:r>
        <w:rPr>
          <w:rFonts w:hint="eastAsia" w:ascii="仿宋" w:hAnsi="仿宋" w:eastAsia="仿宋" w:cs="仿宋"/>
          <w:b w:val="0"/>
          <w:bCs w:val="0"/>
          <w:color w:val="000000"/>
          <w:sz w:val="32"/>
          <w:szCs w:val="32"/>
        </w:rPr>
        <w:t>不得采用甲醛、高锰酸钾熏蒸方式对环境</w:t>
      </w:r>
      <w:r>
        <w:rPr>
          <w:rFonts w:hint="eastAsia" w:ascii="仿宋" w:hAnsi="仿宋" w:eastAsia="仿宋" w:cs="仿宋"/>
          <w:b w:val="0"/>
          <w:bCs w:val="0"/>
          <w:color w:val="000000"/>
          <w:sz w:val="32"/>
          <w:szCs w:val="32"/>
          <w:lang w:eastAsia="zh-CN"/>
        </w:rPr>
        <w:t>场所</w:t>
      </w:r>
      <w:r>
        <w:rPr>
          <w:rFonts w:hint="eastAsia" w:ascii="仿宋" w:hAnsi="仿宋" w:eastAsia="仿宋" w:cs="仿宋"/>
          <w:b w:val="0"/>
          <w:bCs w:val="0"/>
          <w:color w:val="000000"/>
          <w:sz w:val="32"/>
          <w:szCs w:val="32"/>
        </w:rPr>
        <w:t>进行消毒杀菌。</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pacing w:val="4"/>
          <w:sz w:val="32"/>
          <w:szCs w:val="32"/>
        </w:rPr>
      </w:pPr>
      <w:r>
        <w:rPr>
          <w:rFonts w:hint="eastAsia" w:ascii="仿宋" w:hAnsi="仿宋" w:eastAsia="仿宋" w:cs="仿宋"/>
          <w:b w:val="0"/>
          <w:bCs w:val="0"/>
          <w:kern w:val="0"/>
          <w:sz w:val="32"/>
          <w:szCs w:val="32"/>
        </w:rPr>
        <w:t>第八条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color w:val="000000"/>
          <w:spacing w:val="4"/>
          <w:sz w:val="32"/>
          <w:szCs w:val="32"/>
        </w:rPr>
        <w:t>应具有与所生产产品的数量、贮存要求相适应的仓储设施，并有通风和照明设施，加工场所工作面</w:t>
      </w:r>
      <w:r>
        <w:rPr>
          <w:rFonts w:hint="eastAsia" w:ascii="仿宋" w:hAnsi="仿宋" w:eastAsia="仿宋" w:cs="仿宋"/>
          <w:b w:val="0"/>
          <w:bCs w:val="0"/>
          <w:color w:val="000000"/>
          <w:spacing w:val="4"/>
          <w:sz w:val="32"/>
          <w:szCs w:val="32"/>
          <w:lang w:eastAsia="zh-CN"/>
        </w:rPr>
        <w:t>混合照度</w:t>
      </w:r>
      <w:r>
        <w:rPr>
          <w:rFonts w:hint="eastAsia" w:ascii="仿宋" w:hAnsi="仿宋" w:eastAsia="仿宋" w:cs="仿宋"/>
          <w:b w:val="0"/>
          <w:bCs w:val="0"/>
          <w:color w:val="000000"/>
          <w:spacing w:val="4"/>
          <w:sz w:val="32"/>
          <w:szCs w:val="32"/>
        </w:rPr>
        <w:t>不应低于220LX，其它场所一般不应低于110LX。必要时设有温、湿度控制设施（空调、冷库），满足物料或产品的贮存条件（如温湿度、避光）和安全贮存的要求。</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第九条</w:t>
      </w:r>
      <w:r>
        <w:rPr>
          <w:rFonts w:hint="eastAsia" w:ascii="仿宋" w:hAnsi="仿宋" w:eastAsia="仿宋" w:cs="仿宋"/>
          <w:b w:val="0"/>
          <w:bCs w:val="0"/>
          <w:color w:val="000000"/>
          <w:sz w:val="32"/>
          <w:szCs w:val="32"/>
        </w:rPr>
        <w:t xml:space="preserve"> 应建立仓储管理制度，原料、半成品、成品、包装材料等应依据性质的不同分设贮存场所或分区域码放，并有明确标识，不得将原辅料、产品与有毒有害物品一同贮存，防止交叉污染。不合格、退货或召回的物料或产品应分区存放。清洁剂、消毒剂等应采用适宜的器具妥善保存，包装标识完整，应与原料、半成品、成品、包装材料等分隔放置。化学腐蚀性物品应专库存放，按危险品仓库有关要求管理。</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第十条</w:t>
      </w:r>
      <w:r>
        <w:rPr>
          <w:rFonts w:hint="eastAsia" w:ascii="仿宋" w:hAnsi="仿宋" w:eastAsia="仿宋" w:cs="仿宋"/>
          <w:b w:val="0"/>
          <w:bCs w:val="0"/>
          <w:color w:val="000000"/>
          <w:sz w:val="32"/>
          <w:szCs w:val="32"/>
        </w:rPr>
        <w:t xml:space="preserve"> 食品添加剂应由专人负责管理，设置专库或专区存放，并使用专用登记册（或仓库管理软件）记录食品添加剂的名称、进货时间、进货量和使用量等。</w:t>
      </w:r>
    </w:p>
    <w:p>
      <w:pPr>
        <w:keepNext w:val="0"/>
        <w:keepLines w:val="0"/>
        <w:pageBreakBefore w:val="0"/>
        <w:tabs>
          <w:tab w:val="left" w:pos="8820"/>
        </w:tabs>
        <w:kinsoku/>
        <w:topLinePunct w:val="0"/>
        <w:bidi w:val="0"/>
        <w:snapToGrid/>
        <w:spacing w:before="240" w:line="400" w:lineRule="exact"/>
        <w:ind w:right="0" w:rightChars="0"/>
        <w:jc w:val="center"/>
        <w:rPr>
          <w:rFonts w:hint="eastAsia" w:ascii="仿宋" w:hAnsi="仿宋" w:eastAsia="仿宋" w:cs="仿宋"/>
          <w:b w:val="0"/>
          <w:bCs w:val="0"/>
          <w:color w:val="000000"/>
          <w:sz w:val="32"/>
          <w:szCs w:val="32"/>
        </w:rPr>
      </w:pPr>
      <w:bookmarkStart w:id="7" w:name="_Toc415228665"/>
      <w:bookmarkStart w:id="8" w:name="_Toc416939952"/>
      <w:bookmarkStart w:id="9" w:name="_Toc31569"/>
      <w:r>
        <w:rPr>
          <w:rFonts w:hint="eastAsia" w:ascii="仿宋" w:hAnsi="仿宋" w:eastAsia="仿宋" w:cs="仿宋"/>
          <w:b w:val="0"/>
          <w:bCs w:val="0"/>
          <w:kern w:val="0"/>
          <w:sz w:val="32"/>
          <w:szCs w:val="32"/>
        </w:rPr>
        <w:t>第三章 设备设施</w:t>
      </w:r>
      <w:bookmarkEnd w:id="7"/>
      <w:bookmarkEnd w:id="8"/>
      <w:bookmarkEnd w:id="9"/>
      <w:bookmarkStart w:id="10" w:name="_Toc415228668"/>
    </w:p>
    <w:p>
      <w:pPr>
        <w:keepNext w:val="0"/>
        <w:keepLines w:val="0"/>
        <w:pageBreakBefore w:val="0"/>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第十一条</w:t>
      </w:r>
      <w:r>
        <w:rPr>
          <w:rFonts w:hint="eastAsia" w:ascii="仿宋" w:hAnsi="仿宋" w:eastAsia="仿宋" w:cs="仿宋"/>
          <w:b w:val="0"/>
          <w:bCs w:val="0"/>
          <w:color w:val="000000"/>
          <w:sz w:val="32"/>
          <w:szCs w:val="32"/>
        </w:rPr>
        <w:t xml:space="preserve"> 企业应具有与申</w:t>
      </w:r>
      <w:r>
        <w:rPr>
          <w:rFonts w:hint="eastAsia" w:ascii="仿宋" w:hAnsi="仿宋" w:eastAsia="仿宋" w:cs="仿宋"/>
          <w:b w:val="0"/>
          <w:bCs w:val="0"/>
          <w:color w:val="000000"/>
          <w:sz w:val="32"/>
          <w:szCs w:val="32"/>
          <w:lang w:eastAsia="zh-CN"/>
        </w:rPr>
        <w:t>报</w:t>
      </w:r>
      <w:r>
        <w:rPr>
          <w:rFonts w:hint="eastAsia" w:ascii="仿宋" w:hAnsi="仿宋" w:eastAsia="仿宋" w:cs="仿宋"/>
          <w:b w:val="0"/>
          <w:bCs w:val="0"/>
          <w:color w:val="000000"/>
          <w:sz w:val="32"/>
          <w:szCs w:val="32"/>
        </w:rPr>
        <w:t>品种相适应的生产设备设施，各个设备的设计产能应能相互匹配，其性能与精密度应符合生产要求，便于操作、清洁、维护和消毒或灭菌。</w:t>
      </w:r>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第十二条</w:t>
      </w:r>
      <w:r>
        <w:rPr>
          <w:rFonts w:hint="eastAsia" w:ascii="仿宋" w:hAnsi="仿宋" w:eastAsia="仿宋" w:cs="仿宋"/>
          <w:b w:val="0"/>
          <w:bCs w:val="0"/>
          <w:color w:val="000000"/>
          <w:sz w:val="32"/>
          <w:szCs w:val="32"/>
        </w:rPr>
        <w:t xml:space="preserve"> 与原料、半成品、成品接触的设备与用具，应使用无毒、无味、抗腐蚀、不渗水、不易脱落的材料制作，并应易于清洁和保养。</w:t>
      </w:r>
    </w:p>
    <w:p>
      <w:pPr>
        <w:keepNext w:val="0"/>
        <w:keepLines w:val="0"/>
        <w:pageBreakBefore w:val="0"/>
        <w:kinsoku/>
        <w:topLinePunct w:val="0"/>
        <w:bidi w:val="0"/>
        <w:snapToGrid/>
        <w:spacing w:line="400" w:lineRule="exact"/>
        <w:ind w:left="2" w:leftChars="1"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设备、工器具等与食品接触的表面应使用光滑、无吸收性、易于清洁保养和消毒的材料制成，在正常生产条件下不会与食品、清洁剂和消毒剂发生反应，并应保存完好无损。不得使用添加邻苯二甲酸酯类物质的塑料材质。</w:t>
      </w:r>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第十三条</w:t>
      </w:r>
      <w:r>
        <w:rPr>
          <w:rFonts w:hint="eastAsia" w:ascii="仿宋" w:hAnsi="仿宋" w:eastAsia="仿宋" w:cs="仿宋"/>
          <w:b w:val="0"/>
          <w:bCs w:val="0"/>
          <w:color w:val="000000"/>
          <w:sz w:val="32"/>
          <w:szCs w:val="32"/>
        </w:rPr>
        <w:t xml:space="preserve"> 主要的固定管道设施应标明内容物名称和流向。用于测定、控制、记录的监控设备，如压力表、温度计等，应定期校准、维护，确保准确有效。</w:t>
      </w:r>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第十四条</w:t>
      </w:r>
      <w:r>
        <w:rPr>
          <w:rFonts w:hint="eastAsia" w:ascii="仿宋" w:hAnsi="仿宋" w:eastAsia="仿宋" w:cs="仿宋"/>
          <w:b w:val="0"/>
          <w:bCs w:val="0"/>
          <w:color w:val="000000"/>
          <w:sz w:val="32"/>
          <w:szCs w:val="32"/>
        </w:rPr>
        <w:t xml:space="preserve"> 生产用水的水质应符合生活饮用水卫生标准。</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第十五条</w:t>
      </w:r>
      <w:r>
        <w:rPr>
          <w:rFonts w:hint="eastAsia" w:ascii="仿宋" w:hAnsi="仿宋" w:eastAsia="仿宋" w:cs="仿宋"/>
          <w:b w:val="0"/>
          <w:bCs w:val="0"/>
          <w:color w:val="000000"/>
          <w:sz w:val="32"/>
          <w:szCs w:val="32"/>
        </w:rPr>
        <w:t xml:space="preserve"> 有合理的排水设施和废水处理设施，排水流向应由清洁程度要求高的区域流向清洁程度要求低的区域，排水系统入口应安装带水封的地漏，以防止固体废弃物进入及浊气逸出，并有防止废水逆流的设计。</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第十六条</w:t>
      </w:r>
      <w:r>
        <w:rPr>
          <w:rFonts w:hint="eastAsia" w:ascii="仿宋" w:hAnsi="仿宋" w:eastAsia="仿宋" w:cs="仿宋"/>
          <w:b w:val="0"/>
          <w:bCs w:val="0"/>
          <w:color w:val="000000"/>
          <w:sz w:val="32"/>
          <w:szCs w:val="32"/>
        </w:rPr>
        <w:t xml:space="preserve"> 生产加工过程产生的废弃物应使用专用设施存放，易腐败的废弃物应及时清除。</w:t>
      </w:r>
      <w:r>
        <w:rPr>
          <w:rFonts w:hint="eastAsia" w:ascii="仿宋" w:hAnsi="仿宋" w:eastAsia="仿宋" w:cs="仿宋"/>
          <w:b w:val="0"/>
          <w:bCs w:val="0"/>
          <w:sz w:val="32"/>
          <w:szCs w:val="32"/>
        </w:rPr>
        <w:t>对生产过程中产生的有害气体、强酸、强碱等化学腐蚀性物质，粉尘、噪声及污水应进行治理，达到相应的国家标准。</w:t>
      </w:r>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第十七条</w:t>
      </w:r>
      <w:r>
        <w:rPr>
          <w:rFonts w:hint="eastAsia" w:ascii="仿宋" w:hAnsi="仿宋" w:eastAsia="仿宋" w:cs="仿宋"/>
          <w:b w:val="0"/>
          <w:bCs w:val="0"/>
          <w:color w:val="000000"/>
          <w:sz w:val="32"/>
          <w:szCs w:val="32"/>
        </w:rPr>
        <w:t xml:space="preserve"> 更衣室及洗手消毒室应设在车间入口处，洗手消毒室内应配置足够数量的非手动式洗手设施、消毒设施和感应式干手设施。</w:t>
      </w:r>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第十八条</w:t>
      </w:r>
      <w:r>
        <w:rPr>
          <w:rFonts w:hint="eastAsia" w:ascii="仿宋" w:hAnsi="仿宋" w:eastAsia="仿宋" w:cs="仿宋"/>
          <w:b w:val="0"/>
          <w:bCs w:val="0"/>
          <w:color w:val="000000"/>
          <w:sz w:val="32"/>
          <w:szCs w:val="32"/>
        </w:rPr>
        <w:t xml:space="preserve"> 清洁作业区的入口应设置二次更衣室，并有防止交叉污染的措施，应设置阻拦式鞋柜、独立洁净服存放柜、洗手消毒设施等。</w:t>
      </w:r>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第十九条</w:t>
      </w:r>
      <w:r>
        <w:rPr>
          <w:rFonts w:hint="eastAsia" w:ascii="仿宋" w:hAnsi="仿宋" w:eastAsia="仿宋" w:cs="仿宋"/>
          <w:b w:val="0"/>
          <w:bCs w:val="0"/>
          <w:color w:val="000000"/>
          <w:sz w:val="32"/>
          <w:szCs w:val="32"/>
        </w:rPr>
        <w:t xml:space="preserve"> 清洁作业区的员工工作服应为连体式或一次性工作服，并配备帽子、口罩和工作鞋，要保持工作服使用前后相互分离。准清洁作业区、一般作业区的员工工作服应符合相应区域卫生要求，并配备帽子和工作鞋。</w:t>
      </w:r>
      <w:bookmarkStart w:id="11" w:name="_Toc1706"/>
    </w:p>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第二十条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清洁作业区应具备空气净化设施。</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第二十一条</w:t>
      </w:r>
      <w:r>
        <w:rPr>
          <w:rFonts w:hint="eastAsia" w:ascii="仿宋" w:hAnsi="仿宋" w:eastAsia="仿宋" w:cs="仿宋"/>
          <w:b w:val="0"/>
          <w:bCs w:val="0"/>
          <w:sz w:val="32"/>
          <w:szCs w:val="32"/>
        </w:rPr>
        <w:t xml:space="preserve"> 在有粉尘产生而有可能污染食品的区域，应有适当的除尘装置。通风口必须装有易清洗耐腐蚀网罩。</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第二十二条</w:t>
      </w:r>
      <w:r>
        <w:rPr>
          <w:rFonts w:hint="eastAsia" w:ascii="仿宋" w:hAnsi="仿宋" w:eastAsia="仿宋" w:cs="仿宋"/>
          <w:b w:val="0"/>
          <w:bCs w:val="0"/>
          <w:color w:val="000000"/>
          <w:sz w:val="32"/>
          <w:szCs w:val="32"/>
        </w:rPr>
        <w:t xml:space="preserve"> 企业应具备满足半成品、成品检验所需的检验设备、设施和试剂。</w:t>
      </w:r>
      <w:r>
        <w:rPr>
          <w:rFonts w:hint="eastAsia" w:ascii="仿宋" w:hAnsi="仿宋" w:eastAsia="仿宋" w:cs="仿宋"/>
          <w:b w:val="0"/>
          <w:bCs w:val="0"/>
          <w:kern w:val="0"/>
          <w:sz w:val="32"/>
          <w:szCs w:val="32"/>
        </w:rPr>
        <w:t>如：</w:t>
      </w:r>
      <w:r>
        <w:rPr>
          <w:rFonts w:hint="eastAsia" w:ascii="仿宋" w:hAnsi="仿宋" w:eastAsia="仿宋" w:cs="仿宋"/>
          <w:b w:val="0"/>
          <w:bCs w:val="0"/>
          <w:sz w:val="32"/>
          <w:szCs w:val="32"/>
        </w:rPr>
        <w:t>分析天平（0.1mg）、天平（0.1g）、灭菌锅、微生物培养箱、显微镜、无菌室或超净工作台、干燥箱、</w:t>
      </w:r>
      <w:r>
        <w:rPr>
          <w:rFonts w:hint="eastAsia" w:ascii="仿宋" w:hAnsi="仿宋" w:eastAsia="仿宋" w:cs="仿宋"/>
          <w:b w:val="0"/>
          <w:bCs w:val="0"/>
          <w:color w:val="000000"/>
          <w:sz w:val="32"/>
          <w:szCs w:val="32"/>
        </w:rPr>
        <w:t>定氮装置、</w:t>
      </w:r>
      <w:r>
        <w:rPr>
          <w:rFonts w:hint="eastAsia" w:ascii="仿宋" w:hAnsi="仿宋" w:eastAsia="仿宋" w:cs="仿宋"/>
          <w:b w:val="0"/>
          <w:bCs w:val="0"/>
          <w:sz w:val="32"/>
          <w:szCs w:val="32"/>
        </w:rPr>
        <w:t>水浴锅、马弗炉、原子吸收仪（带石墨炉检测器）、原子荧光仪、液相色谱仪、紫外分光光度计等。企业委托出厂检验</w:t>
      </w:r>
      <w:r>
        <w:rPr>
          <w:rFonts w:hint="eastAsia" w:ascii="仿宋" w:hAnsi="仿宋" w:eastAsia="仿宋" w:cs="仿宋"/>
          <w:b w:val="0"/>
          <w:bCs w:val="0"/>
          <w:sz w:val="32"/>
          <w:szCs w:val="32"/>
          <w:lang w:eastAsia="zh-CN"/>
        </w:rPr>
        <w:t>的项目</w:t>
      </w:r>
      <w:r>
        <w:rPr>
          <w:rFonts w:hint="eastAsia" w:ascii="仿宋" w:hAnsi="仿宋" w:eastAsia="仿宋" w:cs="仿宋"/>
          <w:b w:val="0"/>
          <w:bCs w:val="0"/>
          <w:sz w:val="32"/>
          <w:szCs w:val="32"/>
        </w:rPr>
        <w:t>可不配备相应项目的检验设备。</w:t>
      </w:r>
    </w:p>
    <w:p>
      <w:pPr>
        <w:pStyle w:val="13"/>
        <w:keepNext w:val="0"/>
        <w:keepLines w:val="0"/>
        <w:pageBreakBefore w:val="0"/>
        <w:kinsoku/>
        <w:topLinePunct w:val="0"/>
        <w:bidi w:val="0"/>
        <w:snapToGrid/>
        <w:spacing w:line="400" w:lineRule="exact"/>
        <w:ind w:right="0" w:rightChars="0" w:firstLine="643"/>
        <w:rPr>
          <w:rFonts w:hint="eastAsia" w:ascii="仿宋" w:hAnsi="仿宋" w:eastAsia="仿宋" w:cs="仿宋"/>
          <w:b w:val="0"/>
          <w:bCs w:val="0"/>
          <w:color w:val="000000"/>
          <w:sz w:val="32"/>
          <w:szCs w:val="32"/>
        </w:rPr>
      </w:pPr>
      <w:r>
        <w:rPr>
          <w:rFonts w:hint="eastAsia" w:ascii="仿宋" w:hAnsi="仿宋" w:eastAsia="仿宋" w:cs="仿宋"/>
          <w:b w:val="0"/>
          <w:bCs w:val="0"/>
          <w:sz w:val="32"/>
          <w:szCs w:val="32"/>
        </w:rPr>
        <w:t>第二十三条 检验设备的数量应与企业生产能力相适应，精度应满足检验需要。检验仪器设备和检验用计量器具应按照相关规定定期进行校验。</w:t>
      </w:r>
    </w:p>
    <w:p>
      <w:pPr>
        <w:keepNext w:val="0"/>
        <w:keepLines w:val="0"/>
        <w:pageBreakBefore w:val="0"/>
        <w:tabs>
          <w:tab w:val="left" w:pos="8820"/>
        </w:tabs>
        <w:kinsoku/>
        <w:topLinePunct w:val="0"/>
        <w:bidi w:val="0"/>
        <w:snapToGrid/>
        <w:spacing w:before="240"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第四章 设备布局与工艺流程</w:t>
      </w:r>
    </w:p>
    <w:bookmarkEnd w:id="11"/>
    <w:p>
      <w:pPr>
        <w:keepNext w:val="0"/>
        <w:keepLines w:val="0"/>
        <w:pageBreakBefore w:val="0"/>
        <w:kinsoku/>
        <w:topLinePunct w:val="0"/>
        <w:bidi w:val="0"/>
        <w:snapToGrid/>
        <w:spacing w:line="400" w:lineRule="exact"/>
        <w:ind w:left="2" w:leftChars="1"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第二十四条</w:t>
      </w:r>
      <w:r>
        <w:rPr>
          <w:rFonts w:hint="eastAsia" w:ascii="仿宋" w:hAnsi="仿宋" w:eastAsia="仿宋" w:cs="仿宋"/>
          <w:b w:val="0"/>
          <w:bCs w:val="0"/>
          <w:color w:val="000000"/>
          <w:sz w:val="32"/>
          <w:szCs w:val="32"/>
        </w:rPr>
        <w:t xml:space="preserve"> 生产设备的布局、安装和维护必须符合工艺需要，便于操作、清洁、维护和消毒或灭菌。不合格、报废设备应搬出生产区，暂停使用的设备应有明显标志。</w:t>
      </w:r>
    </w:p>
    <w:p>
      <w:pPr>
        <w:keepNext w:val="0"/>
        <w:keepLines w:val="0"/>
        <w:pageBreakBefore w:val="0"/>
        <w:kinsoku/>
        <w:topLinePunct w:val="0"/>
        <w:autoSpaceDN w:val="0"/>
        <w:bidi w:val="0"/>
        <w:snapToGrid/>
        <w:spacing w:line="400" w:lineRule="exact"/>
        <w:ind w:right="0" w:rightChars="0" w:firstLine="643" w:firstLineChars="200"/>
        <w:jc w:val="left"/>
        <w:textAlignment w:val="center"/>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第二十五条</w:t>
      </w:r>
      <w:r>
        <w:rPr>
          <w:rFonts w:hint="eastAsia" w:ascii="仿宋" w:hAnsi="仿宋" w:eastAsia="仿宋" w:cs="仿宋"/>
          <w:b w:val="0"/>
          <w:bCs w:val="0"/>
          <w:color w:val="000000"/>
          <w:sz w:val="32"/>
          <w:szCs w:val="32"/>
        </w:rPr>
        <w:t xml:space="preserve"> 生产设备的配备应与产品加工工艺相符，如果企业采用不同于</w:t>
      </w:r>
      <w:r>
        <w:rPr>
          <w:rFonts w:hint="eastAsia" w:ascii="仿宋" w:hAnsi="仿宋" w:eastAsia="仿宋" w:cs="仿宋"/>
          <w:b w:val="0"/>
          <w:bCs w:val="0"/>
          <w:color w:val="000000"/>
          <w:sz w:val="32"/>
          <w:szCs w:val="32"/>
          <w:lang w:eastAsia="zh-CN"/>
        </w:rPr>
        <w:t>下表</w:t>
      </w:r>
      <w:r>
        <w:rPr>
          <w:rFonts w:hint="eastAsia" w:ascii="仿宋" w:hAnsi="仿宋" w:eastAsia="仿宋" w:cs="仿宋"/>
          <w:b w:val="0"/>
          <w:bCs w:val="0"/>
          <w:color w:val="000000"/>
          <w:sz w:val="32"/>
          <w:szCs w:val="32"/>
        </w:rPr>
        <w:t>中所列的工艺，应具备与生产工艺相适应的生产设备。</w:t>
      </w:r>
    </w:p>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胶原蛋白基本生产工艺和设备</w:t>
      </w:r>
    </w:p>
    <w:tbl>
      <w:tblPr>
        <w:tblStyle w:val="8"/>
        <w:tblW w:w="8522" w:type="dxa"/>
        <w:jc w:val="center"/>
        <w:tblInd w:w="0" w:type="dxa"/>
        <w:tblLayout w:type="fixed"/>
        <w:tblCellMar>
          <w:top w:w="0" w:type="dxa"/>
          <w:left w:w="108" w:type="dxa"/>
          <w:bottom w:w="0" w:type="dxa"/>
          <w:right w:w="108" w:type="dxa"/>
        </w:tblCellMar>
      </w:tblPr>
      <w:tblGrid>
        <w:gridCol w:w="640"/>
        <w:gridCol w:w="1779"/>
        <w:gridCol w:w="2604"/>
        <w:gridCol w:w="3499"/>
      </w:tblGrid>
      <w:tr>
        <w:tblPrEx>
          <w:tblLayout w:type="fixed"/>
          <w:tblCellMar>
            <w:top w:w="0" w:type="dxa"/>
            <w:left w:w="108" w:type="dxa"/>
            <w:bottom w:w="0" w:type="dxa"/>
            <w:right w:w="108" w:type="dxa"/>
          </w:tblCellMar>
        </w:tblPrEx>
        <w:trPr>
          <w:trHeight w:val="540"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32"/>
                <w:szCs w:val="32"/>
              </w:rPr>
            </w:pPr>
            <w:r>
              <w:rPr>
                <w:rFonts w:hint="eastAsia" w:ascii="仿宋" w:hAnsi="仿宋" w:eastAsia="仿宋" w:cs="仿宋"/>
                <w:b w:val="0"/>
                <w:bCs w:val="0"/>
                <w:sz w:val="32"/>
                <w:szCs w:val="32"/>
              </w:rPr>
              <w:t>序号</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32"/>
                <w:szCs w:val="32"/>
              </w:rPr>
            </w:pPr>
            <w:r>
              <w:rPr>
                <w:rFonts w:hint="eastAsia" w:ascii="仿宋" w:hAnsi="仿宋" w:eastAsia="仿宋" w:cs="仿宋"/>
                <w:b w:val="0"/>
                <w:bCs w:val="0"/>
                <w:sz w:val="32"/>
                <w:szCs w:val="32"/>
              </w:rPr>
              <w:t>基本生产工艺</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32"/>
                <w:szCs w:val="32"/>
              </w:rPr>
            </w:pPr>
            <w:r>
              <w:rPr>
                <w:rFonts w:hint="eastAsia" w:ascii="仿宋" w:hAnsi="仿宋" w:eastAsia="仿宋" w:cs="仿宋"/>
                <w:b w:val="0"/>
                <w:bCs w:val="0"/>
                <w:sz w:val="32"/>
                <w:szCs w:val="32"/>
              </w:rPr>
              <w:t>生产设备</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32"/>
                <w:szCs w:val="32"/>
              </w:rPr>
            </w:pPr>
            <w:r>
              <w:rPr>
                <w:rFonts w:hint="eastAsia" w:ascii="仿宋" w:hAnsi="仿宋" w:eastAsia="仿宋" w:cs="仿宋"/>
                <w:b w:val="0"/>
                <w:bCs w:val="0"/>
                <w:sz w:val="32"/>
                <w:szCs w:val="32"/>
              </w:rPr>
              <w:t>生产设备要求</w:t>
            </w:r>
          </w:p>
        </w:tc>
      </w:tr>
      <w:tr>
        <w:tblPrEx>
          <w:tblLayout w:type="fixed"/>
          <w:tblCellMar>
            <w:top w:w="0" w:type="dxa"/>
            <w:left w:w="108" w:type="dxa"/>
            <w:bottom w:w="0" w:type="dxa"/>
            <w:right w:w="108" w:type="dxa"/>
          </w:tblCellMar>
        </w:tblPrEx>
        <w:trPr>
          <w:trHeight w:val="446"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1</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原料处理</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清洗设备等</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p>
        </w:tc>
      </w:tr>
      <w:tr>
        <w:tblPrEx>
          <w:tblLayout w:type="fixed"/>
          <w:tblCellMar>
            <w:top w:w="0" w:type="dxa"/>
            <w:left w:w="108" w:type="dxa"/>
            <w:bottom w:w="0" w:type="dxa"/>
            <w:right w:w="108" w:type="dxa"/>
          </w:tblCellMar>
        </w:tblPrEx>
        <w:trPr>
          <w:trHeight w:val="446"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配料、酶解</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提取设备、酶解设备、过滤设备</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p>
        </w:tc>
      </w:tr>
      <w:tr>
        <w:tblPrEx>
          <w:tblLayout w:type="fixed"/>
          <w:tblCellMar>
            <w:top w:w="0" w:type="dxa"/>
            <w:left w:w="108" w:type="dxa"/>
            <w:bottom w:w="0" w:type="dxa"/>
            <w:right w:w="108" w:type="dxa"/>
          </w:tblCellMar>
        </w:tblPrEx>
        <w:trPr>
          <w:trHeight w:val="764"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3</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杀菌、浓缩</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杀菌浓缩设备等</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p>
        </w:tc>
      </w:tr>
      <w:tr>
        <w:tblPrEx>
          <w:tblLayout w:type="fixed"/>
          <w:tblCellMar>
            <w:top w:w="0" w:type="dxa"/>
            <w:left w:w="108" w:type="dxa"/>
            <w:bottom w:w="0" w:type="dxa"/>
            <w:right w:w="108" w:type="dxa"/>
          </w:tblCellMar>
        </w:tblPrEx>
        <w:trPr>
          <w:trHeight w:val="634"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4</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干燥</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喷雾干燥设备等</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p>
        </w:tc>
      </w:tr>
      <w:tr>
        <w:tblPrEx>
          <w:tblLayout w:type="fixed"/>
          <w:tblCellMar>
            <w:top w:w="0" w:type="dxa"/>
            <w:left w:w="108" w:type="dxa"/>
            <w:bottom w:w="0" w:type="dxa"/>
            <w:right w:w="108" w:type="dxa"/>
          </w:tblCellMar>
        </w:tblPrEx>
        <w:trPr>
          <w:trHeight w:val="558"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5</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包装</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全自动或半自动包装设备</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仅生产大包装（食品工业用）原料的可不作要求</w:t>
            </w:r>
          </w:p>
        </w:tc>
      </w:tr>
      <w:tr>
        <w:tblPrEx>
          <w:tblLayout w:type="fixed"/>
          <w:tblCellMar>
            <w:top w:w="0" w:type="dxa"/>
            <w:left w:w="108" w:type="dxa"/>
            <w:bottom w:w="0" w:type="dxa"/>
            <w:right w:w="108" w:type="dxa"/>
          </w:tblCellMar>
        </w:tblPrEx>
        <w:trPr>
          <w:trHeight w:val="710" w:hRule="atLeast"/>
          <w:jc w:val="center"/>
        </w:trPr>
        <w:tc>
          <w:tcPr>
            <w:tcW w:w="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6</w:t>
            </w:r>
          </w:p>
        </w:tc>
        <w:tc>
          <w:tcPr>
            <w:tcW w:w="17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center"/>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在线或成品金属检测</w:t>
            </w:r>
          </w:p>
        </w:tc>
        <w:tc>
          <w:tcPr>
            <w:tcW w:w="26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kern w:val="0"/>
                <w:sz w:val="28"/>
                <w:szCs w:val="28"/>
              </w:rPr>
              <w:t>X光异物监控设备或金属检测设备</w:t>
            </w:r>
          </w:p>
        </w:tc>
        <w:tc>
          <w:tcPr>
            <w:tcW w:w="34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topLinePunct w:val="0"/>
              <w:autoSpaceDN w:val="0"/>
              <w:bidi w:val="0"/>
              <w:snapToGrid/>
              <w:spacing w:line="400" w:lineRule="exact"/>
              <w:ind w:right="0" w:rightChars="0"/>
              <w:jc w:val="left"/>
              <w:textAlignment w:val="center"/>
              <w:outlineLvl w:val="3"/>
              <w:rPr>
                <w:rFonts w:hint="eastAsia" w:ascii="仿宋" w:hAnsi="仿宋" w:eastAsia="仿宋" w:cs="仿宋"/>
                <w:b w:val="0"/>
                <w:bCs w:val="0"/>
                <w:sz w:val="28"/>
                <w:szCs w:val="28"/>
              </w:rPr>
            </w:pPr>
            <w:r>
              <w:rPr>
                <w:rFonts w:hint="eastAsia" w:ascii="仿宋" w:hAnsi="仿宋" w:eastAsia="仿宋" w:cs="仿宋"/>
                <w:b w:val="0"/>
                <w:bCs w:val="0"/>
                <w:sz w:val="28"/>
                <w:szCs w:val="28"/>
              </w:rPr>
              <w:t>自动控制，</w:t>
            </w:r>
            <w:r>
              <w:rPr>
                <w:rFonts w:hint="eastAsia" w:ascii="仿宋" w:hAnsi="仿宋" w:eastAsia="仿宋" w:cs="仿宋"/>
                <w:b w:val="0"/>
                <w:bCs w:val="0"/>
                <w:kern w:val="0"/>
                <w:sz w:val="28"/>
                <w:szCs w:val="28"/>
              </w:rPr>
              <w:t>能检测出球径≥2mm金属</w:t>
            </w:r>
          </w:p>
        </w:tc>
      </w:tr>
    </w:tbl>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第二十六条</w:t>
      </w:r>
      <w:r>
        <w:rPr>
          <w:rFonts w:hint="eastAsia" w:ascii="仿宋" w:hAnsi="仿宋" w:eastAsia="仿宋" w:cs="仿宋"/>
          <w:b w:val="0"/>
          <w:bCs w:val="0"/>
          <w:color w:val="000000"/>
          <w:sz w:val="32"/>
          <w:szCs w:val="32"/>
        </w:rPr>
        <w:t xml:space="preserve"> 企业应建立工艺文件、操作规程等生产技术文件，技术文件与实际操作应保持一致性。</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第二十七条</w:t>
      </w:r>
      <w:r>
        <w:rPr>
          <w:rFonts w:hint="eastAsia" w:ascii="仿宋" w:hAnsi="仿宋" w:eastAsia="仿宋" w:cs="仿宋"/>
          <w:b w:val="0"/>
          <w:bCs w:val="0"/>
          <w:color w:val="000000"/>
          <w:sz w:val="32"/>
          <w:szCs w:val="32"/>
        </w:rPr>
        <w:t xml:space="preserve"> 通过危害分析方法明确影响产品质量的关键工序或关键点，并实施质量控制，制定操作规程，关键工序或关键点可设为：</w:t>
      </w:r>
      <w:r>
        <w:rPr>
          <w:rFonts w:hint="eastAsia" w:ascii="仿宋" w:hAnsi="仿宋" w:eastAsia="仿宋" w:cs="仿宋"/>
          <w:b w:val="0"/>
          <w:bCs w:val="0"/>
          <w:sz w:val="32"/>
          <w:szCs w:val="32"/>
        </w:rPr>
        <w:t>原料验收、酶解、杀菌、干燥、包装、金属检测。</w:t>
      </w:r>
    </w:p>
    <w:p>
      <w:pPr>
        <w:keepNext w:val="0"/>
        <w:keepLines w:val="0"/>
        <w:pageBreakBefore w:val="0"/>
        <w:tabs>
          <w:tab w:val="left" w:pos="8820"/>
        </w:tabs>
        <w:kinsoku/>
        <w:topLinePunct w:val="0"/>
        <w:bidi w:val="0"/>
        <w:snapToGrid/>
        <w:spacing w:before="240"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第五章 人员管理</w:t>
      </w:r>
    </w:p>
    <w:p>
      <w:pPr>
        <w:keepNext w:val="0"/>
        <w:keepLines w:val="0"/>
        <w:pageBreakBefore w:val="0"/>
        <w:tabs>
          <w:tab w:val="left" w:pos="0"/>
          <w:tab w:val="left" w:pos="425"/>
        </w:tabs>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第二十八条</w:t>
      </w:r>
      <w:r>
        <w:rPr>
          <w:rFonts w:hint="eastAsia" w:ascii="仿宋" w:hAnsi="仿宋" w:eastAsia="仿宋" w:cs="仿宋"/>
          <w:b w:val="0"/>
          <w:bCs w:val="0"/>
          <w:color w:val="000000"/>
          <w:sz w:val="32"/>
          <w:szCs w:val="32"/>
        </w:rPr>
        <w:t xml:space="preserve"> 企业应设置独立的食品质量安全管理机构，负责食品质量安全管理制度的建立、实施和持续改进，</w:t>
      </w:r>
      <w:r>
        <w:rPr>
          <w:rFonts w:hint="eastAsia" w:ascii="仿宋" w:hAnsi="仿宋" w:eastAsia="仿宋" w:cs="仿宋"/>
          <w:b w:val="0"/>
          <w:bCs w:val="0"/>
          <w:kern w:val="0"/>
          <w:sz w:val="32"/>
          <w:szCs w:val="32"/>
        </w:rPr>
        <w:t>确保各项制度落实到位。</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第二十九条</w:t>
      </w:r>
      <w:r>
        <w:rPr>
          <w:rFonts w:hint="eastAsia" w:ascii="仿宋" w:hAnsi="仿宋" w:eastAsia="仿宋" w:cs="仿宋"/>
          <w:b w:val="0"/>
          <w:bCs w:val="0"/>
          <w:color w:val="000000"/>
          <w:sz w:val="32"/>
          <w:szCs w:val="32"/>
        </w:rPr>
        <w:t xml:space="preserve"> 企业应建立人员管理制度，各岗位人员的数量和能力应与企业规模、工艺、设备水平相适应，与产品质量相关的岗位应设置岗位责任，</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第三十条</w:t>
      </w:r>
      <w:r>
        <w:rPr>
          <w:rFonts w:hint="eastAsia" w:ascii="仿宋" w:hAnsi="仿宋" w:eastAsia="仿宋" w:cs="仿宋"/>
          <w:b w:val="0"/>
          <w:bCs w:val="0"/>
          <w:color w:val="000000"/>
          <w:sz w:val="32"/>
          <w:szCs w:val="32"/>
        </w:rPr>
        <w:t xml:space="preserve"> 企业负责人和食品安全管理人员，</w:t>
      </w:r>
      <w:r>
        <w:rPr>
          <w:rFonts w:hint="eastAsia" w:ascii="仿宋" w:hAnsi="仿宋" w:eastAsia="仿宋" w:cs="仿宋"/>
          <w:b w:val="0"/>
          <w:bCs w:val="0"/>
          <w:sz w:val="32"/>
          <w:szCs w:val="32"/>
        </w:rPr>
        <w:t>应具有3年以上食品工作经历，掌握胶原蛋白的质量安全知识，知晓应承担的责任和义务。食品安全管理人员应有食品或相关专业本科以上学历，并经过培训和考核，经考核不具备食品安全管理能力的，不得上岗。企业主要负责人应当组织落实食品安全管理制度，对本企业的食品安全工作全面负责。食品安全管理人员应确保每批产品符合食品安全国家标准和国家相关法律法规的要求，承担原辅料进厂查验和成品出厂的放行责任。</w:t>
      </w:r>
    </w:p>
    <w:p>
      <w:pPr>
        <w:keepNext w:val="0"/>
        <w:keepLines w:val="0"/>
        <w:pageBreakBefore w:val="0"/>
        <w:kinsoku/>
        <w:topLinePunct w:val="0"/>
        <w:bidi w:val="0"/>
        <w:snapToGrid/>
        <w:spacing w:line="400" w:lineRule="exact"/>
        <w:ind w:right="0" w:rightChars="0" w:firstLine="633" w:firstLineChars="197"/>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第三十一条</w:t>
      </w:r>
      <w:r>
        <w:rPr>
          <w:rFonts w:hint="eastAsia" w:ascii="仿宋" w:hAnsi="仿宋" w:eastAsia="仿宋" w:cs="仿宋"/>
          <w:b w:val="0"/>
          <w:bCs w:val="0"/>
          <w:sz w:val="32"/>
          <w:szCs w:val="32"/>
        </w:rPr>
        <w:t xml:space="preserve"> </w:t>
      </w:r>
      <w:r>
        <w:rPr>
          <w:rFonts w:hint="eastAsia" w:ascii="仿宋" w:hAnsi="仿宋" w:eastAsia="仿宋" w:cs="仿宋"/>
          <w:b w:val="0"/>
          <w:bCs w:val="0"/>
          <w:color w:val="000000"/>
          <w:sz w:val="32"/>
          <w:szCs w:val="32"/>
        </w:rPr>
        <w:t>生产管理人员、技术人员应有食品</w:t>
      </w:r>
      <w:r>
        <w:rPr>
          <w:rFonts w:hint="eastAsia" w:ascii="仿宋" w:hAnsi="仿宋" w:eastAsia="仿宋" w:cs="仿宋"/>
          <w:b w:val="0"/>
          <w:bCs w:val="0"/>
          <w:sz w:val="32"/>
          <w:szCs w:val="32"/>
        </w:rPr>
        <w:t>或</w:t>
      </w:r>
      <w:r>
        <w:rPr>
          <w:rFonts w:hint="eastAsia" w:ascii="仿宋" w:hAnsi="仿宋" w:eastAsia="仿宋" w:cs="仿宋"/>
          <w:b w:val="0"/>
          <w:bCs w:val="0"/>
          <w:color w:val="000000"/>
          <w:sz w:val="32"/>
          <w:szCs w:val="32"/>
        </w:rPr>
        <w:t>相关专业专科以上学历，或具有3年以上相关工作经历。生产操作人员应掌握生产工艺操作规程，熟练操作生产设备设施。特殊岗位的生产操作人员资格应符合有关规定。</w:t>
      </w:r>
      <w:r>
        <w:rPr>
          <w:rFonts w:hint="eastAsia" w:ascii="仿宋" w:hAnsi="仿宋" w:eastAsia="仿宋" w:cs="仿宋"/>
          <w:b w:val="0"/>
          <w:bCs w:val="0"/>
          <w:sz w:val="32"/>
          <w:szCs w:val="32"/>
        </w:rPr>
        <w:t xml:space="preserve"> </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第三十二条</w:t>
      </w:r>
      <w:r>
        <w:rPr>
          <w:rFonts w:hint="eastAsia" w:ascii="仿宋" w:hAnsi="仿宋" w:eastAsia="仿宋" w:cs="仿宋"/>
          <w:b w:val="0"/>
          <w:bCs w:val="0"/>
          <w:color w:val="000000"/>
          <w:sz w:val="32"/>
          <w:szCs w:val="32"/>
        </w:rPr>
        <w:t xml:space="preserve"> 从事检测的人员应具有食品、化学或相关专业专科以上的学历，或者具有食品检测工作经历，应经专业培训合格，持证上岗。</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kern w:val="0"/>
          <w:sz w:val="32"/>
          <w:szCs w:val="32"/>
        </w:rPr>
      </w:pPr>
      <w:r>
        <w:rPr>
          <w:rFonts w:hint="eastAsia" w:ascii="仿宋" w:hAnsi="仿宋" w:eastAsia="仿宋" w:cs="仿宋"/>
          <w:b w:val="0"/>
          <w:bCs w:val="0"/>
          <w:kern w:val="0"/>
          <w:sz w:val="32"/>
          <w:szCs w:val="32"/>
        </w:rPr>
        <w:t>第三十三条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kern w:val="0"/>
          <w:sz w:val="32"/>
          <w:szCs w:val="32"/>
        </w:rPr>
        <w:t>企业应当建立培训与考核制度，制定培训计划，培训的内容应与岗位的要求相适应，并有相应记录。食品安全管理、检验等与质量相关岗位的人员应定期培训考核，不具备能力的不得上岗。</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第三十四条</w:t>
      </w:r>
      <w:r>
        <w:rPr>
          <w:rFonts w:hint="eastAsia" w:ascii="仿宋" w:hAnsi="仿宋" w:eastAsia="仿宋" w:cs="仿宋"/>
          <w:b w:val="0"/>
          <w:bCs w:val="0"/>
          <w:color w:val="000000"/>
          <w:kern w:val="0"/>
          <w:sz w:val="32"/>
          <w:szCs w:val="32"/>
        </w:rPr>
        <w:t xml:space="preserve"> </w:t>
      </w:r>
      <w:r>
        <w:rPr>
          <w:rFonts w:hint="eastAsia" w:ascii="仿宋" w:hAnsi="仿宋" w:eastAsia="仿宋" w:cs="仿宋"/>
          <w:b w:val="0"/>
          <w:bCs w:val="0"/>
          <w:color w:val="000000"/>
          <w:sz w:val="32"/>
          <w:szCs w:val="32"/>
        </w:rPr>
        <w:t>企业应建立食品加工人员健康管理制度，食品加工人员每年应当进行健康检查，取得健康证明后方可从事食品加工。建立人员健康检查记录，保证食品加工人员患有法律法规规定的有碍食品安全的疾病时，应调整到其他不影响食品安全的工作岗位。</w:t>
      </w:r>
    </w:p>
    <w:p>
      <w:pPr>
        <w:keepNext w:val="0"/>
        <w:keepLines w:val="0"/>
        <w:pageBreakBefore w:val="0"/>
        <w:tabs>
          <w:tab w:val="left" w:pos="8820"/>
        </w:tabs>
        <w:kinsoku/>
        <w:topLinePunct w:val="0"/>
        <w:bidi w:val="0"/>
        <w:snapToGrid/>
        <w:spacing w:before="240"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第六章 管理制度</w:t>
      </w:r>
    </w:p>
    <w:p>
      <w:pPr>
        <w:keepNext w:val="0"/>
        <w:keepLines w:val="0"/>
        <w:pageBreakBefore w:val="0"/>
        <w:tabs>
          <w:tab w:val="left" w:pos="0"/>
          <w:tab w:val="left" w:pos="425"/>
        </w:tabs>
        <w:kinsoku/>
        <w:topLinePunct w:val="0"/>
        <w:bidi w:val="0"/>
        <w:snapToGrid/>
        <w:spacing w:line="400" w:lineRule="exact"/>
        <w:ind w:right="0" w:rightChars="0" w:firstLine="643" w:firstLineChars="200"/>
        <w:jc w:val="left"/>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第三十五条</w:t>
      </w:r>
      <w:r>
        <w:rPr>
          <w:rFonts w:hint="eastAsia" w:ascii="仿宋" w:hAnsi="仿宋" w:eastAsia="仿宋" w:cs="仿宋"/>
          <w:b w:val="0"/>
          <w:bCs w:val="0"/>
          <w:color w:val="000000"/>
          <w:sz w:val="32"/>
          <w:szCs w:val="32"/>
        </w:rPr>
        <w:t xml:space="preserve"> 制定原辅料的采购管理制度，保证原辅料符合国家法律法规和标准要求，并经质量安全管理机构批准后方可采购。主要原辅料供应商应相对固定并签订质量协议，在协议中应明确双方所承担的质量责任。</w:t>
      </w:r>
    </w:p>
    <w:p>
      <w:pPr>
        <w:keepNext w:val="0"/>
        <w:keepLines w:val="0"/>
        <w:pageBreakBefore w:val="0"/>
        <w:tabs>
          <w:tab w:val="left" w:pos="0"/>
          <w:tab w:val="left" w:pos="425"/>
        </w:tabs>
        <w:kinsoku/>
        <w:topLinePunct w:val="0"/>
        <w:bidi w:val="0"/>
        <w:snapToGrid/>
        <w:spacing w:line="400" w:lineRule="exact"/>
        <w:ind w:right="0" w:rightChars="0" w:firstLine="643" w:firstLineChars="200"/>
        <w:jc w:val="left"/>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第三十六条</w:t>
      </w:r>
      <w:r>
        <w:rPr>
          <w:rFonts w:hint="eastAsia" w:ascii="仿宋" w:hAnsi="仿宋" w:eastAsia="仿宋" w:cs="仿宋"/>
          <w:b w:val="0"/>
          <w:bCs w:val="0"/>
          <w:color w:val="000000"/>
          <w:sz w:val="32"/>
          <w:szCs w:val="32"/>
        </w:rPr>
        <w:t xml:space="preserve"> 制定原辅料供应商审核制度和审核办法，对原辅料供应商的审核至少应包括：供应商的资质证明文件、质量标准、检验报告。</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第三十七条</w:t>
      </w:r>
      <w:r>
        <w:rPr>
          <w:rFonts w:hint="eastAsia" w:ascii="仿宋" w:hAnsi="仿宋" w:eastAsia="仿宋" w:cs="仿宋"/>
          <w:b w:val="0"/>
          <w:bCs w:val="0"/>
          <w:color w:val="000000"/>
          <w:sz w:val="32"/>
          <w:szCs w:val="32"/>
        </w:rPr>
        <w:t xml:space="preserve"> 建立食品原料、食品添加剂、食品相关产品验收规定及进货查验记录制度，明确接收或拒收的审批人员。</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第三十八条</w:t>
      </w:r>
      <w:r>
        <w:rPr>
          <w:rFonts w:hint="eastAsia" w:ascii="仿宋" w:hAnsi="仿宋" w:eastAsia="仿宋" w:cs="仿宋"/>
          <w:b w:val="0"/>
          <w:bCs w:val="0"/>
          <w:color w:val="000000"/>
          <w:sz w:val="32"/>
          <w:szCs w:val="32"/>
        </w:rPr>
        <w:t xml:space="preserve"> 原辅料的验收标准和检验方法应符合国家法律法规和标准的要求。</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第三十九条</w:t>
      </w:r>
      <w:r>
        <w:rPr>
          <w:rFonts w:hint="eastAsia" w:ascii="仿宋" w:hAnsi="仿宋" w:eastAsia="仿宋" w:cs="仿宋"/>
          <w:b w:val="0"/>
          <w:bCs w:val="0"/>
          <w:color w:val="000000"/>
          <w:sz w:val="32"/>
          <w:szCs w:val="32"/>
        </w:rPr>
        <w:t xml:space="preserve"> 包装材料应清洁、无毒且符合国家相关标准及规定，直接接触食品的包装材料不得使用添加邻苯二甲酸酯类物质的材料，包装材料在特定贮存和使用条件下不应影响胶原蛋白的安全和产品特性，包装材料不得重复使用。</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第四十条</w:t>
      </w:r>
      <w:r>
        <w:rPr>
          <w:rFonts w:hint="eastAsia" w:ascii="仿宋" w:hAnsi="仿宋" w:eastAsia="仿宋" w:cs="仿宋"/>
          <w:b w:val="0"/>
          <w:bCs w:val="0"/>
          <w:color w:val="000000"/>
          <w:sz w:val="32"/>
          <w:szCs w:val="32"/>
        </w:rPr>
        <w:t xml:space="preserve"> 按照《食品安全国家标准 食品生产通用卫生规范》（GB14881），建立防止微生物污染、化学污染、物理污染的控制制度。</w:t>
      </w:r>
    </w:p>
    <w:p>
      <w:pPr>
        <w:keepNext w:val="0"/>
        <w:keepLines w:val="0"/>
        <w:pageBreakBefore w:val="0"/>
        <w:tabs>
          <w:tab w:val="left" w:pos="0"/>
          <w:tab w:val="left" w:pos="425"/>
        </w:tabs>
        <w:kinsoku/>
        <w:topLinePunct w:val="0"/>
        <w:bidi w:val="0"/>
        <w:snapToGrid/>
        <w:spacing w:line="400" w:lineRule="exact"/>
        <w:ind w:right="0" w:rightChars="0" w:firstLine="643" w:firstLineChars="200"/>
        <w:jc w:val="left"/>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第四十一条</w:t>
      </w:r>
      <w:r>
        <w:rPr>
          <w:rFonts w:hint="eastAsia" w:ascii="仿宋" w:hAnsi="仿宋" w:eastAsia="仿宋" w:cs="仿宋"/>
          <w:b w:val="0"/>
          <w:bCs w:val="0"/>
          <w:color w:val="000000"/>
          <w:sz w:val="32"/>
          <w:szCs w:val="32"/>
        </w:rPr>
        <w:t xml:space="preserve"> 企业应建立产品追溯制度，产品从原材料采购、生产加工、出厂检验到出厂销售都应有记录，保障各个环节可有效追溯。</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第四十二条</w:t>
      </w:r>
      <w:r>
        <w:rPr>
          <w:rFonts w:hint="eastAsia" w:ascii="仿宋" w:hAnsi="仿宋" w:eastAsia="仿宋" w:cs="仿宋"/>
          <w:b w:val="0"/>
          <w:bCs w:val="0"/>
          <w:color w:val="000000"/>
          <w:sz w:val="32"/>
          <w:szCs w:val="32"/>
        </w:rPr>
        <w:t xml:space="preserve"> 所有物料应规定适当的贮存期限，遵循“先进先出”或“近有效期先出”的原则制定物料的使用计划，定期检查质量和卫生情况，及时清理且不得使用变质或超过保质期的食品原辅料和食品添加剂。</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物料的发放和使用应当有可追溯的清晰的发放记录，经收发双方核实并在相应的记录上签字确认。产品放行前应当有明确的待检标识，经检验合格后方可批准放行。</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化学腐蚀性物品应专库贮存，按危险品仓库有关要求管理。</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第四十三条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应制定工作服的清洗保洁制度，生产中应注意保持工作服干净完好，必要时及时更换。生产人员在未消毒和更换工作服前，不得进行胶原蛋白的加工、生产。清洁作业区及准清洁作业区使用的工作服和工作鞋不能在指定区域以外的地方穿着。</w:t>
      </w:r>
    </w:p>
    <w:p>
      <w:pPr>
        <w:keepNext w:val="0"/>
        <w:keepLines w:val="0"/>
        <w:pageBreakBefore w:val="0"/>
        <w:tabs>
          <w:tab w:val="left" w:pos="0"/>
          <w:tab w:val="left" w:pos="425"/>
        </w:tabs>
        <w:kinsoku/>
        <w:topLinePunct w:val="0"/>
        <w:bidi w:val="0"/>
        <w:snapToGrid/>
        <w:spacing w:line="400" w:lineRule="exact"/>
        <w:ind w:right="0" w:rightChars="0" w:firstLine="643" w:firstLineChars="200"/>
        <w:jc w:val="left"/>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第四十四条</w:t>
      </w:r>
      <w:r>
        <w:rPr>
          <w:rFonts w:hint="eastAsia" w:ascii="仿宋" w:hAnsi="仿宋" w:eastAsia="仿宋" w:cs="仿宋"/>
          <w:b w:val="0"/>
          <w:bCs w:val="0"/>
          <w:color w:val="000000"/>
          <w:sz w:val="32"/>
          <w:szCs w:val="32"/>
        </w:rPr>
        <w:t xml:space="preserve"> 建立生产设备管理制度，设备台账、说明书、档案应保管齐全；制定设备使用、清洁、维护和维修的操作规程，并保存相应的操作记录。生产前应检查设备是否处于正常状态，出现故障应及时排除并记录。维修后的设备应进行验证或确认，确保各项性能满足工艺要求。</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第四十五条</w:t>
      </w:r>
      <w:r>
        <w:rPr>
          <w:rFonts w:hint="eastAsia" w:ascii="仿宋" w:hAnsi="仿宋" w:eastAsia="仿宋" w:cs="仿宋"/>
          <w:b w:val="0"/>
          <w:bCs w:val="0"/>
          <w:color w:val="000000"/>
          <w:sz w:val="32"/>
          <w:szCs w:val="32"/>
        </w:rPr>
        <w:t xml:space="preserve"> 应对生产过程的半成品进行过程监测，控制产品质量稳定性。</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第四十六条  企业的质量检验机构应依据《食品安全国家标准 食品生产通用卫生规范》（GB14881）附录A中的监控指南，制定环境及过程产品的微生物监控程序。</w:t>
      </w:r>
    </w:p>
    <w:p>
      <w:pPr>
        <w:keepNext w:val="0"/>
        <w:keepLines w:val="0"/>
        <w:pageBreakBefore w:val="0"/>
        <w:tabs>
          <w:tab w:val="left" w:pos="0"/>
          <w:tab w:val="left" w:pos="425"/>
        </w:tabs>
        <w:kinsoku/>
        <w:topLinePunct w:val="0"/>
        <w:bidi w:val="0"/>
        <w:snapToGrid/>
        <w:spacing w:line="400" w:lineRule="exact"/>
        <w:ind w:right="0" w:rightChars="0" w:firstLine="643" w:firstLineChars="200"/>
        <w:jc w:val="left"/>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第四十七条</w:t>
      </w:r>
      <w:r>
        <w:rPr>
          <w:rFonts w:hint="eastAsia" w:ascii="仿宋" w:hAnsi="仿宋" w:eastAsia="仿宋" w:cs="仿宋"/>
          <w:b w:val="0"/>
          <w:bCs w:val="0"/>
          <w:color w:val="000000"/>
          <w:sz w:val="32"/>
          <w:szCs w:val="32"/>
        </w:rPr>
        <w:t xml:space="preserve"> 应制定有效的清洗、消毒方法和管理制度，保证生产场所、生产设备、包装容器、工作服和人员的清洁卫生和安全，防止产品及包装在生产过程中被污染。</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第四十八条</w:t>
      </w:r>
      <w:r>
        <w:rPr>
          <w:rFonts w:hint="eastAsia" w:ascii="仿宋" w:hAnsi="仿宋" w:eastAsia="仿宋" w:cs="仿宋"/>
          <w:b w:val="0"/>
          <w:bCs w:val="0"/>
          <w:color w:val="000000"/>
          <w:sz w:val="32"/>
          <w:szCs w:val="32"/>
        </w:rPr>
        <w:t xml:space="preserve"> 企业应定期对清洁作业区进行空气质量监测，洁净车间应有空气净化设施。</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第四十九条</w:t>
      </w:r>
      <w:r>
        <w:rPr>
          <w:rFonts w:hint="eastAsia" w:ascii="仿宋" w:hAnsi="仿宋" w:eastAsia="仿宋" w:cs="仿宋"/>
          <w:b w:val="0"/>
          <w:bCs w:val="0"/>
          <w:color w:val="000000"/>
          <w:sz w:val="32"/>
          <w:szCs w:val="32"/>
        </w:rPr>
        <w:t xml:space="preserve">  建立产品防护管理制度，有效防止产品在生产加工中的污染、损坏或变质。</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制定设备故障、停电停水等特殊原因中断生产时的产品处置办法，保证对不符合标准的产品按不合格产品处置。当进行现场维修、维护及施工等工作时，应采取适当措施避免异物、异味、碎屑等污染食品。</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用于食品、清洁食品接触面或设备的压缩空气或其他气体应经过滤净化处理，以防止造成间接污染。用于生产设备的可能直接或间接接触食品的部件润滑油，应当是食用油脂或能保证食品安全要求的其他油脂。</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第五十条</w:t>
      </w:r>
      <w:r>
        <w:rPr>
          <w:rFonts w:hint="eastAsia" w:ascii="仿宋" w:hAnsi="仿宋" w:eastAsia="仿宋" w:cs="仿宋"/>
          <w:b w:val="0"/>
          <w:bCs w:val="0"/>
          <w:color w:val="000000"/>
          <w:sz w:val="32"/>
          <w:szCs w:val="32"/>
        </w:rPr>
        <w:t xml:space="preserve">  应建立运输管理制度，不得将原辅料、产品与有毒有害物品一同运输。</w:t>
      </w:r>
      <w:r>
        <w:rPr>
          <w:rFonts w:hint="eastAsia" w:ascii="仿宋" w:hAnsi="仿宋" w:eastAsia="仿宋" w:cs="仿宋"/>
          <w:b w:val="0"/>
          <w:bCs w:val="0"/>
          <w:kern w:val="0"/>
          <w:sz w:val="32"/>
          <w:szCs w:val="32"/>
        </w:rPr>
        <w:t>运输工具、车辆应定期检查卫生清洁情况，运输条件应符合物料的贮存要求（温、湿度等）。物料进入仓储前应对外包装进行必要的清洁。</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pacing w:val="-4"/>
          <w:sz w:val="32"/>
          <w:szCs w:val="32"/>
        </w:rPr>
      </w:pPr>
      <w:r>
        <w:rPr>
          <w:rFonts w:hint="eastAsia" w:ascii="仿宋" w:hAnsi="仿宋" w:eastAsia="仿宋" w:cs="仿宋"/>
          <w:b w:val="0"/>
          <w:bCs w:val="0"/>
          <w:kern w:val="0"/>
          <w:sz w:val="32"/>
          <w:szCs w:val="32"/>
        </w:rPr>
        <w:t>第五十一条</w:t>
      </w:r>
      <w:r>
        <w:rPr>
          <w:rFonts w:hint="eastAsia" w:ascii="仿宋" w:hAnsi="仿宋" w:eastAsia="仿宋" w:cs="仿宋"/>
          <w:b w:val="0"/>
          <w:bCs w:val="0"/>
          <w:color w:val="000000"/>
          <w:sz w:val="32"/>
          <w:szCs w:val="32"/>
        </w:rPr>
        <w:t xml:space="preserve"> 建立检验管理制度，检验记录应真实、准确。产品出厂检验应依据产品执行标准规定的所有检验项目进行每批次自</w:t>
      </w:r>
      <w:r>
        <w:rPr>
          <w:rFonts w:hint="eastAsia" w:ascii="仿宋" w:hAnsi="仿宋" w:eastAsia="仿宋" w:cs="仿宋"/>
          <w:b w:val="0"/>
          <w:bCs w:val="0"/>
          <w:color w:val="000000"/>
          <w:spacing w:val="-4"/>
          <w:sz w:val="32"/>
          <w:szCs w:val="32"/>
        </w:rPr>
        <w:t>行检验。</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检验合格的产品应标注检验合格证号，检验合格证号可追溯到相应的出厂检验报告。</w:t>
      </w:r>
    </w:p>
    <w:p>
      <w:pPr>
        <w:keepNext w:val="0"/>
        <w:keepLines w:val="0"/>
        <w:pageBreakBefore w:val="0"/>
        <w:tabs>
          <w:tab w:val="left" w:pos="0"/>
          <w:tab w:val="left" w:pos="425"/>
        </w:tabs>
        <w:kinsoku/>
        <w:topLinePunct w:val="0"/>
        <w:bidi w:val="0"/>
        <w:snapToGrid/>
        <w:spacing w:line="400" w:lineRule="exact"/>
        <w:ind w:right="0" w:rightChars="0" w:firstLine="640"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产品留样间应满足产品贮存条件要求，留样数量应满足复检要求并保存至保质期满，并有记录。</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第五十二条</w:t>
      </w:r>
      <w:r>
        <w:rPr>
          <w:rFonts w:hint="eastAsia" w:ascii="仿宋" w:hAnsi="仿宋" w:eastAsia="仿宋" w:cs="仿宋"/>
          <w:b w:val="0"/>
          <w:bCs w:val="0"/>
          <w:sz w:val="32"/>
          <w:szCs w:val="32"/>
        </w:rPr>
        <w:t xml:space="preserve"> 建立产品召回制度，应对召回的食品采取补救、无害化处理、销毁等措施，记录召回和处理情况，并应当向所在地县级人民政府食品药品监督管理部门报告。</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第五十三条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制定原辅料、半成品和成品的不合格品管理制度及相关处理办法，建立和保存不合格品处理过程记录。</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第五十四条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企业应当按照卫生规范的要求建立与所生产食品相适应的生产质量管理体系，定期对该体系的运行情况进行自查，保证其有效运行，并形成自查报告。</w:t>
      </w:r>
    </w:p>
    <w:p>
      <w:pPr>
        <w:keepNext w:val="0"/>
        <w:keepLines w:val="0"/>
        <w:pageBreakBefore w:val="0"/>
        <w:kinsoku/>
        <w:topLinePunct w:val="0"/>
        <w:bidi w:val="0"/>
        <w:snapToGrid/>
        <w:spacing w:line="400" w:lineRule="exact"/>
        <w:ind w:right="0" w:rightChars="0"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企业应建立食品安全风险管理和自查制度，主动收集国家发布的食品安全风险监测和评估信息，研究评估生产过程中存在的风险因素，采取有效措施，防范风险，建立风险收集记录，定期对食品安全状况进行检查评价。</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第五十五条</w:t>
      </w:r>
      <w:r>
        <w:rPr>
          <w:rFonts w:hint="eastAsia" w:ascii="仿宋" w:hAnsi="仿宋" w:eastAsia="仿宋" w:cs="仿宋"/>
          <w:b w:val="0"/>
          <w:bCs w:val="0"/>
          <w:sz w:val="32"/>
          <w:szCs w:val="32"/>
        </w:rPr>
        <w:t xml:space="preserve"> 建立食品安全事故处理制度，应有食品安全事故处置记录。</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第五十六条</w:t>
      </w:r>
      <w:r>
        <w:rPr>
          <w:rFonts w:hint="eastAsia" w:ascii="仿宋" w:hAnsi="仿宋" w:eastAsia="仿宋" w:cs="仿宋"/>
          <w:b w:val="0"/>
          <w:bCs w:val="0"/>
          <w:color w:val="000000"/>
          <w:sz w:val="32"/>
          <w:szCs w:val="32"/>
        </w:rPr>
        <w:t xml:space="preserve"> 建立检验设备管理制度，应有检验设备台账及设备使用记录，定期校准、维护检验设备和设施，保持检验设备的准确有效运行。</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第五十七条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建立文件管理制度，企业质量管理机构应对质量文件的有效性负责，质量文件的起草、修订、审核、批准应由相关人员签名，并注明日期。</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第五十八条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建立记录管理制度，记录内容应完整、真实，所有记录（包括电子文档）保存时间不得少于产品保质期满后六个月。记录的任何更改都应当标注姓名和日期，并使原有信息仍清晰可查。</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第五十九条</w:t>
      </w:r>
      <w:r>
        <w:rPr>
          <w:rFonts w:hint="eastAsia" w:ascii="仿宋" w:hAnsi="仿宋" w:eastAsia="仿宋" w:cs="仿宋"/>
          <w:b w:val="0"/>
          <w:bCs w:val="0"/>
          <w:sz w:val="32"/>
          <w:szCs w:val="32"/>
        </w:rPr>
        <w:t xml:space="preserve"> 建立消费者投诉处理制度。对消费者提出的意见、投诉等，企业相关管理部门应作记录，并查找原因，妥善处理。</w:t>
      </w:r>
    </w:p>
    <w:p>
      <w:pPr>
        <w:keepNext w:val="0"/>
        <w:keepLines w:val="0"/>
        <w:pageBreakBefore w:val="0"/>
        <w:tabs>
          <w:tab w:val="left" w:pos="0"/>
          <w:tab w:val="left" w:pos="425"/>
        </w:tabs>
        <w:kinsoku/>
        <w:topLinePunct w:val="0"/>
        <w:bidi w:val="0"/>
        <w:snapToGrid/>
        <w:spacing w:line="400" w:lineRule="exact"/>
        <w:ind w:right="0" w:rightChars="0" w:firstLine="643" w:firstLineChars="200"/>
        <w:outlineLvl w:val="3"/>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第六十条</w:t>
      </w:r>
      <w:r>
        <w:rPr>
          <w:rFonts w:hint="eastAsia" w:ascii="仿宋" w:hAnsi="仿宋" w:eastAsia="仿宋" w:cs="仿宋"/>
          <w:b w:val="0"/>
          <w:bCs w:val="0"/>
          <w:color w:val="000000"/>
          <w:sz w:val="32"/>
          <w:szCs w:val="32"/>
        </w:rPr>
        <w:t xml:space="preserve"> 鼓励企业</w:t>
      </w:r>
      <w:r>
        <w:rPr>
          <w:rFonts w:hint="eastAsia" w:ascii="仿宋" w:hAnsi="仿宋" w:eastAsia="仿宋" w:cs="仿宋"/>
          <w:b w:val="0"/>
          <w:bCs w:val="0"/>
          <w:sz w:val="32"/>
          <w:szCs w:val="32"/>
        </w:rPr>
        <w:t>建立产品信息网站查询系统，提供标签、外包装、质量标准、出厂检验结果等信息，方便消费者查询。</w:t>
      </w:r>
    </w:p>
    <w:p>
      <w:pPr>
        <w:keepNext w:val="0"/>
        <w:keepLines w:val="0"/>
        <w:pageBreakBefore w:val="0"/>
        <w:tabs>
          <w:tab w:val="left" w:pos="8820"/>
        </w:tabs>
        <w:kinsoku/>
        <w:topLinePunct w:val="0"/>
        <w:bidi w:val="0"/>
        <w:snapToGrid/>
        <w:spacing w:before="24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第七章 试制产品检验合格报告</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第六十一条</w:t>
      </w:r>
      <w:r>
        <w:rPr>
          <w:rFonts w:hint="eastAsia" w:ascii="仿宋" w:hAnsi="仿宋" w:eastAsia="仿宋" w:cs="仿宋"/>
          <w:b w:val="0"/>
          <w:bCs w:val="0"/>
          <w:sz w:val="32"/>
          <w:szCs w:val="32"/>
        </w:rPr>
        <w:t xml:space="preserve"> </w:t>
      </w:r>
      <w:r>
        <w:rPr>
          <w:rFonts w:hint="eastAsia" w:ascii="仿宋" w:hAnsi="仿宋" w:eastAsia="仿宋" w:cs="仿宋"/>
          <w:b w:val="0"/>
          <w:bCs w:val="0"/>
          <w:color w:val="000000"/>
          <w:sz w:val="32"/>
          <w:szCs w:val="32"/>
        </w:rPr>
        <w:t>企业提供试制产品的有资质第三方检验合格报告，检验项目应包含企业标准、法律法规及相关部门公告规定的全部项目。其中企</w:t>
      </w:r>
      <w:bookmarkStart w:id="13" w:name="_GoBack"/>
      <w:bookmarkEnd w:id="13"/>
      <w:r>
        <w:rPr>
          <w:rFonts w:hint="eastAsia" w:ascii="仿宋" w:hAnsi="仿宋" w:eastAsia="仿宋" w:cs="仿宋"/>
          <w:b w:val="0"/>
          <w:bCs w:val="0"/>
          <w:color w:val="000000"/>
          <w:sz w:val="32"/>
          <w:szCs w:val="32"/>
        </w:rPr>
        <w:t>业标准中检验项目应包含附</w:t>
      </w:r>
      <w:r>
        <w:rPr>
          <w:rFonts w:hint="eastAsia" w:ascii="仿宋" w:hAnsi="仿宋" w:eastAsia="仿宋" w:cs="仿宋"/>
          <w:b w:val="0"/>
          <w:bCs w:val="0"/>
          <w:color w:val="000000"/>
          <w:sz w:val="32"/>
          <w:szCs w:val="32"/>
          <w:lang w:eastAsia="zh-CN"/>
        </w:rPr>
        <w:t>表</w:t>
      </w:r>
      <w:r>
        <w:rPr>
          <w:rFonts w:hint="eastAsia" w:ascii="仿宋" w:hAnsi="仿宋" w:eastAsia="仿宋" w:cs="仿宋"/>
          <w:b w:val="0"/>
          <w:bCs w:val="0"/>
          <w:color w:val="000000"/>
          <w:sz w:val="32"/>
          <w:szCs w:val="32"/>
        </w:rPr>
        <w:t>中所列项目。</w:t>
      </w:r>
    </w:p>
    <w:p>
      <w:pPr>
        <w:keepNext w:val="0"/>
        <w:keepLines w:val="0"/>
        <w:pageBreakBefore w:val="0"/>
        <w:kinsoku/>
        <w:topLinePunct w:val="0"/>
        <w:bidi w:val="0"/>
        <w:snapToGrid/>
        <w:spacing w:line="400" w:lineRule="exact"/>
        <w:ind w:right="0" w:rightChars="0" w:firstLine="643" w:firstLineChars="200"/>
        <w:jc w:val="center"/>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第八章 附则</w:t>
      </w:r>
    </w:p>
    <w:p>
      <w:pPr>
        <w:keepNext w:val="0"/>
        <w:keepLines w:val="0"/>
        <w:pageBreakBefore w:val="0"/>
        <w:kinsoku/>
        <w:topLinePunct w:val="0"/>
        <w:bidi w:val="0"/>
        <w:snapToGrid/>
        <w:spacing w:line="400" w:lineRule="exact"/>
        <w:ind w:right="0" w:rightChars="0" w:firstLine="643" w:firstLineChars="200"/>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第六十二条</w:t>
      </w:r>
      <w:r>
        <w:rPr>
          <w:rFonts w:hint="eastAsia" w:ascii="仿宋" w:hAnsi="仿宋" w:eastAsia="仿宋" w:cs="仿宋"/>
          <w:b w:val="0"/>
          <w:bCs w:val="0"/>
          <w:color w:val="000000"/>
          <w:sz w:val="32"/>
          <w:szCs w:val="32"/>
        </w:rPr>
        <w:t xml:space="preserve"> </w:t>
      </w:r>
      <w:r>
        <w:rPr>
          <w:rFonts w:hint="eastAsia" w:ascii="仿宋" w:hAnsi="仿宋" w:eastAsia="仿宋" w:cs="仿宋"/>
          <w:b w:val="0"/>
          <w:bCs w:val="0"/>
          <w:sz w:val="32"/>
          <w:szCs w:val="32"/>
        </w:rPr>
        <w:t>本类产品不允许分装</w:t>
      </w:r>
      <w:r>
        <w:rPr>
          <w:rFonts w:hint="eastAsia" w:ascii="仿宋" w:hAnsi="仿宋" w:eastAsia="仿宋" w:cs="仿宋"/>
          <w:b w:val="0"/>
          <w:bCs w:val="0"/>
          <w:color w:val="0000FF"/>
          <w:sz w:val="32"/>
          <w:szCs w:val="32"/>
        </w:rPr>
        <w:t>。</w:t>
      </w:r>
    </w:p>
    <w:p>
      <w:pPr>
        <w:keepNext w:val="0"/>
        <w:keepLines w:val="0"/>
        <w:pageBreakBefore w:val="0"/>
        <w:tabs>
          <w:tab w:val="left" w:pos="0"/>
          <w:tab w:val="left" w:pos="425"/>
        </w:tabs>
        <w:kinsoku/>
        <w:topLinePunct w:val="0"/>
        <w:bidi w:val="0"/>
        <w:snapToGrid/>
        <w:spacing w:line="400" w:lineRule="exact"/>
        <w:ind w:right="0" w:rightChars="0" w:firstLine="643" w:firstLineChars="200"/>
        <w:jc w:val="left"/>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第六十三条 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自</w:t>
      </w:r>
      <w:r>
        <w:rPr>
          <w:rFonts w:hint="eastAsia" w:ascii="仿宋" w:hAnsi="仿宋" w:eastAsia="仿宋" w:cs="仿宋"/>
          <w:b w:val="0"/>
          <w:bCs w:val="0"/>
          <w:sz w:val="32"/>
          <w:szCs w:val="32"/>
        </w:rPr>
        <w:t>发布之</w:t>
      </w:r>
      <w:r>
        <w:rPr>
          <w:rFonts w:hint="eastAsia" w:ascii="仿宋" w:hAnsi="仿宋" w:eastAsia="仿宋" w:cs="仿宋"/>
          <w:b w:val="0"/>
          <w:bCs w:val="0"/>
          <w:kern w:val="0"/>
          <w:sz w:val="32"/>
          <w:szCs w:val="32"/>
        </w:rPr>
        <w:t>日起施行。</w:t>
      </w:r>
    </w:p>
    <w:bookmarkEnd w:id="10"/>
    <w:p>
      <w:pPr>
        <w:keepNext w:val="0"/>
        <w:keepLines w:val="0"/>
        <w:pageBreakBefore w:val="0"/>
        <w:kinsoku/>
        <w:topLinePunct w:val="0"/>
        <w:bidi w:val="0"/>
        <w:snapToGrid/>
        <w:spacing w:line="400" w:lineRule="exact"/>
        <w:ind w:right="0" w:rightChars="0"/>
        <w:rPr>
          <w:rFonts w:hint="eastAsia" w:ascii="仿宋" w:hAnsi="仿宋" w:eastAsia="仿宋" w:cs="仿宋"/>
          <w:b w:val="0"/>
          <w:bCs w:val="0"/>
          <w:kern w:val="0"/>
          <w:sz w:val="32"/>
          <w:szCs w:val="32"/>
        </w:rPr>
      </w:pPr>
      <w:bookmarkStart w:id="12" w:name="_Toc6331"/>
      <w:r>
        <w:rPr>
          <w:rFonts w:hint="eastAsia" w:ascii="仿宋" w:hAnsi="仿宋" w:eastAsia="仿宋" w:cs="仿宋"/>
          <w:b w:val="0"/>
          <w:bCs w:val="0"/>
          <w:kern w:val="0"/>
          <w:sz w:val="32"/>
          <w:szCs w:val="32"/>
        </w:rPr>
        <w:t>附</w:t>
      </w:r>
      <w:bookmarkEnd w:id="12"/>
      <w:r>
        <w:rPr>
          <w:rFonts w:hint="eastAsia" w:ascii="仿宋" w:hAnsi="仿宋" w:eastAsia="仿宋" w:cs="仿宋"/>
          <w:b w:val="0"/>
          <w:bCs w:val="0"/>
          <w:kern w:val="0"/>
          <w:sz w:val="32"/>
          <w:szCs w:val="32"/>
          <w:lang w:eastAsia="zh-CN"/>
        </w:rPr>
        <w:t>表</w:t>
      </w:r>
      <w:r>
        <w:rPr>
          <w:rFonts w:hint="eastAsia" w:ascii="仿宋" w:hAnsi="仿宋" w:eastAsia="仿宋" w:cs="仿宋"/>
          <w:b w:val="0"/>
          <w:bCs w:val="0"/>
          <w:kern w:val="0"/>
          <w:sz w:val="32"/>
          <w:szCs w:val="32"/>
        </w:rPr>
        <w:t xml:space="preserve">： </w:t>
      </w:r>
    </w:p>
    <w:bookmarkEnd w:id="0"/>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表1  理化指标及检验方法</w:t>
      </w:r>
    </w:p>
    <w:tbl>
      <w:tblPr>
        <w:tblStyle w:val="8"/>
        <w:tblpPr w:leftFromText="180" w:rightFromText="180" w:vertAnchor="text" w:horzAnchor="margin" w:tblpXSpec="center" w:tblpY="108"/>
        <w:tblW w:w="10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4"/>
        <w:gridCol w:w="1134"/>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874" w:type="dxa"/>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项  目</w:t>
            </w:r>
          </w:p>
        </w:tc>
        <w:tc>
          <w:tcPr>
            <w:tcW w:w="1134" w:type="dxa"/>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指 标</w:t>
            </w:r>
          </w:p>
        </w:tc>
        <w:tc>
          <w:tcPr>
            <w:tcW w:w="2551" w:type="dxa"/>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感官</w:t>
            </w:r>
          </w:p>
        </w:tc>
        <w:tc>
          <w:tcPr>
            <w:tcW w:w="1134" w:type="dxa"/>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净含量</w:t>
            </w:r>
          </w:p>
        </w:tc>
        <w:tc>
          <w:tcPr>
            <w:tcW w:w="1134" w:type="dxa"/>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相对分子质量小于10000的胶原蛋白肽所占比例/(%)≥</w:t>
            </w:r>
          </w:p>
        </w:tc>
        <w:tc>
          <w:tcPr>
            <w:tcW w:w="1134" w:type="dxa"/>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90.0</w:t>
            </w: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附录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left="4620" w:right="0" w:rightChars="0" w:hanging="4620" w:hangingChars="1650"/>
              <w:jc w:val="left"/>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羟脯氨酸（以干基计）/(g/100g)                ≥</w:t>
            </w:r>
          </w:p>
        </w:tc>
        <w:tc>
          <w:tcPr>
            <w:tcW w:w="1134"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3.0</w:t>
            </w: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GB/T 9695.23-2008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left="4620" w:right="0" w:rightChars="0" w:hanging="4620" w:hangingChars="165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总氮（以干基计）/(g/100g)                    ≥</w:t>
            </w:r>
          </w:p>
        </w:tc>
        <w:tc>
          <w:tcPr>
            <w:tcW w:w="1134" w:type="dxa"/>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15.0</w:t>
            </w: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left="4620" w:right="0" w:rightChars="0" w:hanging="4620" w:hangingChars="165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灰分/(g/100g)                                ≤</w:t>
            </w:r>
          </w:p>
        </w:tc>
        <w:tc>
          <w:tcPr>
            <w:tcW w:w="1134" w:type="dxa"/>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7.0</w:t>
            </w: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6874" w:type="dxa"/>
            <w:vAlign w:val="center"/>
          </w:tcPr>
          <w:p>
            <w:pPr>
              <w:keepNext w:val="0"/>
              <w:keepLines w:val="0"/>
              <w:pageBreakBefore w:val="0"/>
              <w:kinsoku/>
              <w:topLinePunct w:val="0"/>
              <w:bidi w:val="0"/>
              <w:snapToGrid/>
              <w:spacing w:beforeLines="50" w:line="400" w:lineRule="exact"/>
              <w:ind w:right="0" w:rightChars="0"/>
              <w:jc w:val="left"/>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水分/(g/100g)                                ≤</w:t>
            </w:r>
          </w:p>
        </w:tc>
        <w:tc>
          <w:tcPr>
            <w:tcW w:w="1134" w:type="dxa"/>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7.0</w:t>
            </w:r>
          </w:p>
        </w:tc>
        <w:tc>
          <w:tcPr>
            <w:tcW w:w="2551" w:type="dxa"/>
            <w:vAlign w:val="center"/>
          </w:tcPr>
          <w:p>
            <w:pPr>
              <w:keepNext w:val="0"/>
              <w:keepLines w:val="0"/>
              <w:pageBreakBefore w:val="0"/>
              <w:tabs>
                <w:tab w:val="center" w:pos="2198"/>
                <w:tab w:val="right" w:pos="4397"/>
              </w:tabs>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5009.3</w:t>
            </w:r>
          </w:p>
        </w:tc>
      </w:tr>
    </w:tbl>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表2  污染物限量及检验方法</w:t>
      </w:r>
    </w:p>
    <w:tbl>
      <w:tblPr>
        <w:tblStyle w:val="8"/>
        <w:tblW w:w="8947" w:type="dxa"/>
        <w:jc w:val="center"/>
        <w:tblInd w:w="-3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5"/>
        <w:gridCol w:w="992"/>
        <w:gridCol w:w="2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jc w:val="center"/>
        </w:trPr>
        <w:tc>
          <w:tcPr>
            <w:tcW w:w="5245"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项    目</w:t>
            </w:r>
          </w:p>
        </w:tc>
        <w:tc>
          <w:tcPr>
            <w:tcW w:w="992"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限量</w:t>
            </w:r>
          </w:p>
        </w:tc>
        <w:tc>
          <w:tcPr>
            <w:tcW w:w="2710" w:type="dxa"/>
            <w:vAlign w:val="bottom"/>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5245" w:type="dxa"/>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铅（以Pd计）/（mg/kg）  </w:t>
            </w:r>
          </w:p>
        </w:tc>
        <w:tc>
          <w:tcPr>
            <w:tcW w:w="992"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1.0</w:t>
            </w:r>
          </w:p>
        </w:tc>
        <w:tc>
          <w:tcPr>
            <w:tcW w:w="2710" w:type="dxa"/>
            <w:vAlign w:val="bottom"/>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5245" w:type="dxa"/>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镉（以Cd计）/（mg/kg）  </w:t>
            </w:r>
          </w:p>
        </w:tc>
        <w:tc>
          <w:tcPr>
            <w:tcW w:w="992"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0.1</w:t>
            </w:r>
          </w:p>
        </w:tc>
        <w:tc>
          <w:tcPr>
            <w:tcW w:w="2710" w:type="dxa"/>
            <w:vAlign w:val="bottom"/>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5245" w:type="dxa"/>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总砷（以As计）/（mg/kg） </w:t>
            </w:r>
          </w:p>
        </w:tc>
        <w:tc>
          <w:tcPr>
            <w:tcW w:w="992"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1.0</w:t>
            </w:r>
          </w:p>
        </w:tc>
        <w:tc>
          <w:tcPr>
            <w:tcW w:w="2710" w:type="dxa"/>
            <w:vAlign w:val="bottom"/>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5245" w:type="dxa"/>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铬（以Cr计）/（mg/kg） </w:t>
            </w:r>
          </w:p>
        </w:tc>
        <w:tc>
          <w:tcPr>
            <w:tcW w:w="992"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2.0</w:t>
            </w:r>
          </w:p>
        </w:tc>
        <w:tc>
          <w:tcPr>
            <w:tcW w:w="2710" w:type="dxa"/>
            <w:vAlign w:val="bottom"/>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5009.123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jc w:val="center"/>
        </w:trPr>
        <w:tc>
          <w:tcPr>
            <w:tcW w:w="5245" w:type="dxa"/>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总汞（以Hg计）/（mg/kg） </w:t>
            </w:r>
          </w:p>
        </w:tc>
        <w:tc>
          <w:tcPr>
            <w:tcW w:w="992" w:type="dxa"/>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0.1</w:t>
            </w:r>
          </w:p>
        </w:tc>
        <w:tc>
          <w:tcPr>
            <w:tcW w:w="2710" w:type="dxa"/>
            <w:vAlign w:val="bottom"/>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T 5009.17</w:t>
            </w:r>
          </w:p>
        </w:tc>
      </w:tr>
    </w:tbl>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表3  微生物限量及检验方法</w:t>
      </w:r>
    </w:p>
    <w:tbl>
      <w:tblPr>
        <w:tblStyle w:val="8"/>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1134"/>
        <w:gridCol w:w="1134"/>
        <w:gridCol w:w="1276"/>
        <w:gridCol w:w="113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2694" w:type="dxa"/>
            <w:vMerge w:val="restart"/>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项    目</w:t>
            </w:r>
          </w:p>
        </w:tc>
        <w:tc>
          <w:tcPr>
            <w:tcW w:w="4678" w:type="dxa"/>
            <w:gridSpan w:val="4"/>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采样方案</w:t>
            </w:r>
            <w:r>
              <w:rPr>
                <w:rFonts w:hint="eastAsia" w:ascii="仿宋" w:hAnsi="仿宋" w:eastAsia="仿宋" w:cs="仿宋"/>
                <w:b w:val="0"/>
                <w:bCs w:val="0"/>
                <w:kern w:val="0"/>
                <w:sz w:val="32"/>
                <w:szCs w:val="32"/>
                <w:vertAlign w:val="superscript"/>
              </w:rPr>
              <w:t>a</w:t>
            </w:r>
            <w:r>
              <w:rPr>
                <w:rFonts w:hint="eastAsia" w:ascii="仿宋" w:hAnsi="仿宋" w:eastAsia="仿宋" w:cs="仿宋"/>
                <w:b w:val="0"/>
                <w:bCs w:val="0"/>
                <w:kern w:val="0"/>
                <w:sz w:val="32"/>
                <w:szCs w:val="32"/>
              </w:rPr>
              <w:t>及限量</w:t>
            </w:r>
          </w:p>
        </w:tc>
        <w:tc>
          <w:tcPr>
            <w:tcW w:w="1559" w:type="dxa"/>
            <w:vMerge w:val="restart"/>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color w:val="FF0000"/>
                <w:sz w:val="32"/>
                <w:szCs w:val="32"/>
              </w:rPr>
            </w:pPr>
            <w:r>
              <w:rPr>
                <w:rFonts w:hint="eastAsia" w:ascii="仿宋" w:hAnsi="仿宋" w:eastAsia="仿宋" w:cs="仿宋"/>
                <w:b w:val="0"/>
                <w:bCs w:val="0"/>
                <w:kern w:val="0"/>
                <w:sz w:val="32"/>
                <w:szCs w:val="32"/>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694" w:type="dxa"/>
            <w:vMerge w:val="continue"/>
            <w:tcBorders>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p>
        </w:tc>
        <w:tc>
          <w:tcPr>
            <w:tcW w:w="1134" w:type="dxa"/>
            <w:tcBorders>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n</w:t>
            </w:r>
          </w:p>
        </w:tc>
        <w:tc>
          <w:tcPr>
            <w:tcW w:w="1134" w:type="dxa"/>
            <w:tcBorders>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c</w:t>
            </w:r>
          </w:p>
        </w:tc>
        <w:tc>
          <w:tcPr>
            <w:tcW w:w="1276" w:type="dxa"/>
            <w:tcBorders>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m</w:t>
            </w:r>
          </w:p>
        </w:tc>
        <w:tc>
          <w:tcPr>
            <w:tcW w:w="1134" w:type="dxa"/>
            <w:tcBorders>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M</w:t>
            </w:r>
          </w:p>
        </w:tc>
        <w:tc>
          <w:tcPr>
            <w:tcW w:w="1559" w:type="dxa"/>
            <w:vMerge w:val="continue"/>
            <w:tcBorders>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color w:val="FF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94" w:type="dxa"/>
            <w:tcBorders>
              <w:bottom w:val="nil"/>
            </w:tcBorders>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菌落总数/(CFU/g)</w:t>
            </w:r>
          </w:p>
        </w:tc>
        <w:tc>
          <w:tcPr>
            <w:tcW w:w="1134" w:type="dxa"/>
            <w:tcBorders>
              <w:bottom w:val="nil"/>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5</w:t>
            </w:r>
          </w:p>
        </w:tc>
        <w:tc>
          <w:tcPr>
            <w:tcW w:w="1134" w:type="dxa"/>
            <w:tcBorders>
              <w:bottom w:val="nil"/>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2</w:t>
            </w:r>
          </w:p>
        </w:tc>
        <w:tc>
          <w:tcPr>
            <w:tcW w:w="1276" w:type="dxa"/>
            <w:tcBorders>
              <w:bottom w:val="nil"/>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10</w:t>
            </w:r>
            <w:r>
              <w:rPr>
                <w:rFonts w:hint="eastAsia" w:ascii="仿宋" w:hAnsi="仿宋" w:eastAsia="仿宋" w:cs="仿宋"/>
                <w:b w:val="0"/>
                <w:bCs w:val="0"/>
                <w:sz w:val="28"/>
                <w:szCs w:val="28"/>
                <w:vertAlign w:val="superscript"/>
              </w:rPr>
              <w:t>4</w:t>
            </w:r>
          </w:p>
        </w:tc>
        <w:tc>
          <w:tcPr>
            <w:tcW w:w="1134" w:type="dxa"/>
            <w:tcBorders>
              <w:bottom w:val="nil"/>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10</w:t>
            </w:r>
            <w:r>
              <w:rPr>
                <w:rFonts w:hint="eastAsia" w:ascii="仿宋" w:hAnsi="仿宋" w:eastAsia="仿宋" w:cs="仿宋"/>
                <w:b w:val="0"/>
                <w:bCs w:val="0"/>
                <w:sz w:val="28"/>
                <w:szCs w:val="28"/>
                <w:vertAlign w:val="superscript"/>
              </w:rPr>
              <w:t>5</w:t>
            </w:r>
          </w:p>
        </w:tc>
        <w:tc>
          <w:tcPr>
            <w:tcW w:w="1559" w:type="dxa"/>
            <w:tcBorders>
              <w:bottom w:val="nil"/>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GB 4789.2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94" w:type="dxa"/>
            <w:tcBorders>
              <w:top w:val="single" w:color="auto" w:sz="4" w:space="0"/>
              <w:bottom w:val="single" w:color="auto" w:sz="4" w:space="0"/>
            </w:tcBorders>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大肠菌群/(CFU/g)</w:t>
            </w:r>
          </w:p>
        </w:tc>
        <w:tc>
          <w:tcPr>
            <w:tcW w:w="1134" w:type="dxa"/>
            <w:tcBorders>
              <w:top w:val="single" w:color="auto" w:sz="4" w:space="0"/>
              <w:bottom w:val="single" w:color="auto" w:sz="4" w:space="0"/>
            </w:tcBorders>
            <w:vAlign w:val="bottom"/>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5</w:t>
            </w:r>
          </w:p>
        </w:tc>
        <w:tc>
          <w:tcPr>
            <w:tcW w:w="1134" w:type="dxa"/>
            <w:tcBorders>
              <w:top w:val="single" w:color="auto" w:sz="4" w:space="0"/>
              <w:bottom w:val="single" w:color="auto" w:sz="4" w:space="0"/>
            </w:tcBorders>
            <w:vAlign w:val="bottom"/>
          </w:tcPr>
          <w:p>
            <w:pPr>
              <w:keepNext w:val="0"/>
              <w:keepLines w:val="0"/>
              <w:pageBreakBefore w:val="0"/>
              <w:kinsoku/>
              <w:topLinePunct w:val="0"/>
              <w:bidi w:val="0"/>
              <w:snapToGrid/>
              <w:spacing w:before="120"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2</w:t>
            </w:r>
          </w:p>
        </w:tc>
        <w:tc>
          <w:tcPr>
            <w:tcW w:w="1276" w:type="dxa"/>
            <w:tcBorders>
              <w:top w:val="single" w:color="auto" w:sz="4" w:space="0"/>
              <w:bottom w:val="single" w:color="auto" w:sz="4" w:space="0"/>
            </w:tcBorders>
            <w:vAlign w:val="bottom"/>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10</w:t>
            </w:r>
          </w:p>
        </w:tc>
        <w:tc>
          <w:tcPr>
            <w:tcW w:w="1134" w:type="dxa"/>
            <w:tcBorders>
              <w:top w:val="single" w:color="auto" w:sz="4" w:space="0"/>
              <w:bottom w:val="single" w:color="auto" w:sz="4" w:space="0"/>
            </w:tcBorders>
            <w:vAlign w:val="bottom"/>
          </w:tcPr>
          <w:p>
            <w:pPr>
              <w:keepNext w:val="0"/>
              <w:keepLines w:val="0"/>
              <w:pageBreakBefore w:val="0"/>
              <w:kinsoku/>
              <w:topLinePunct w:val="0"/>
              <w:bidi w:val="0"/>
              <w:snapToGrid/>
              <w:spacing w:line="400" w:lineRule="exact"/>
              <w:ind w:right="0" w:rightChars="0"/>
              <w:jc w:val="center"/>
              <w:rPr>
                <w:rFonts w:hint="eastAsia" w:ascii="仿宋" w:hAnsi="仿宋" w:eastAsia="仿宋" w:cs="仿宋"/>
                <w:b w:val="0"/>
                <w:bCs w:val="0"/>
                <w:color w:val="FF0000"/>
                <w:sz w:val="28"/>
                <w:szCs w:val="28"/>
              </w:rPr>
            </w:pPr>
            <w:r>
              <w:rPr>
                <w:rFonts w:hint="eastAsia" w:ascii="仿宋" w:hAnsi="仿宋" w:eastAsia="仿宋" w:cs="仿宋"/>
                <w:b w:val="0"/>
                <w:bCs w:val="0"/>
                <w:sz w:val="28"/>
                <w:szCs w:val="28"/>
              </w:rPr>
              <w:t>10</w:t>
            </w:r>
            <w:r>
              <w:rPr>
                <w:rFonts w:hint="eastAsia" w:ascii="仿宋" w:hAnsi="仿宋" w:eastAsia="仿宋" w:cs="仿宋"/>
                <w:b w:val="0"/>
                <w:bCs w:val="0"/>
                <w:sz w:val="28"/>
                <w:szCs w:val="28"/>
                <w:vertAlign w:val="superscript"/>
              </w:rPr>
              <w:t>2</w:t>
            </w:r>
          </w:p>
        </w:tc>
        <w:tc>
          <w:tcPr>
            <w:tcW w:w="1559" w:type="dxa"/>
            <w:tcBorders>
              <w:top w:val="single" w:color="auto" w:sz="4" w:space="0"/>
              <w:bottom w:val="single" w:color="auto" w:sz="4" w:space="0"/>
            </w:tcBorders>
            <w:vAlign w:val="center"/>
          </w:tcPr>
          <w:p>
            <w:pPr>
              <w:keepNext w:val="0"/>
              <w:keepLines w:val="0"/>
              <w:pageBreakBefore w:val="0"/>
              <w:kinsoku/>
              <w:topLinePunct w:val="0"/>
              <w:bidi w:val="0"/>
              <w:snapToGrid/>
              <w:spacing w:beforeLines="50" w:line="400" w:lineRule="exact"/>
              <w:ind w:right="0" w:rightChars="0"/>
              <w:jc w:val="center"/>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 xml:space="preserve">GB 4789.3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31" w:type="dxa"/>
            <w:gridSpan w:val="6"/>
            <w:tcBorders>
              <w:top w:val="single" w:color="auto" w:sz="4" w:space="0"/>
              <w:bottom w:val="single" w:color="auto" w:sz="4" w:space="0"/>
            </w:tcBorders>
            <w:vAlign w:val="center"/>
          </w:tcPr>
          <w:p>
            <w:pPr>
              <w:keepNext w:val="0"/>
              <w:keepLines w:val="0"/>
              <w:pageBreakBefore w:val="0"/>
              <w:kinsoku/>
              <w:topLinePunct w:val="0"/>
              <w:bidi w:val="0"/>
              <w:snapToGrid/>
              <w:spacing w:beforeLines="50" w:line="400" w:lineRule="exact"/>
              <w:ind w:right="0" w:rightChars="0"/>
              <w:rPr>
                <w:rFonts w:hint="eastAsia" w:ascii="仿宋" w:hAnsi="仿宋" w:eastAsia="仿宋" w:cs="仿宋"/>
                <w:b w:val="0"/>
                <w:bCs w:val="0"/>
                <w:sz w:val="28"/>
                <w:szCs w:val="28"/>
              </w:rPr>
            </w:pPr>
            <w:r>
              <w:rPr>
                <w:rFonts w:hint="eastAsia" w:ascii="仿宋" w:hAnsi="仿宋" w:eastAsia="仿宋" w:cs="仿宋"/>
                <w:b w:val="0"/>
                <w:bCs w:val="0"/>
                <w:kern w:val="0"/>
                <w:sz w:val="28"/>
                <w:szCs w:val="28"/>
              </w:rPr>
              <w:t xml:space="preserve">    </w:t>
            </w:r>
            <w:r>
              <w:rPr>
                <w:rFonts w:hint="eastAsia" w:ascii="仿宋" w:hAnsi="仿宋" w:eastAsia="仿宋" w:cs="仿宋"/>
                <w:b w:val="0"/>
                <w:bCs w:val="0"/>
                <w:kern w:val="0"/>
                <w:sz w:val="28"/>
                <w:szCs w:val="28"/>
                <w:vertAlign w:val="superscript"/>
              </w:rPr>
              <w:t>a</w:t>
            </w:r>
            <w:r>
              <w:rPr>
                <w:rFonts w:hint="eastAsia" w:ascii="仿宋" w:hAnsi="仿宋" w:eastAsia="仿宋" w:cs="仿宋"/>
                <w:b w:val="0"/>
                <w:bCs w:val="0"/>
                <w:kern w:val="0"/>
                <w:sz w:val="28"/>
                <w:szCs w:val="28"/>
              </w:rPr>
              <w:t>样品的采样及处理按GB 4789.1 执行。</w:t>
            </w:r>
          </w:p>
        </w:tc>
      </w:tr>
    </w:tbl>
    <w:p>
      <w:pPr>
        <w:keepNext w:val="0"/>
        <w:keepLines w:val="0"/>
        <w:pageBreakBefore w:val="0"/>
        <w:kinsoku/>
        <w:topLinePunct w:val="0"/>
        <w:bidi w:val="0"/>
        <w:snapToGrid/>
        <w:spacing w:line="400" w:lineRule="exact"/>
        <w:ind w:right="0" w:rightChars="0"/>
        <w:outlineLvl w:val="0"/>
        <w:rPr>
          <w:rFonts w:hint="eastAsia" w:ascii="仿宋" w:hAnsi="仿宋" w:eastAsia="仿宋" w:cs="仿宋"/>
          <w:b w:val="0"/>
          <w:bCs w:val="0"/>
          <w:sz w:val="32"/>
          <w:szCs w:val="32"/>
        </w:rPr>
      </w:pPr>
    </w:p>
    <w:p>
      <w:pPr>
        <w:keepNext w:val="0"/>
        <w:keepLines w:val="0"/>
        <w:pageBreakBefore w:val="0"/>
        <w:kinsoku/>
        <w:topLinePunct w:val="0"/>
        <w:bidi w:val="0"/>
        <w:snapToGrid/>
        <w:spacing w:beforeLines="50" w:afterLines="50" w:line="400" w:lineRule="exact"/>
        <w:ind w:right="0" w:rightChars="0"/>
        <w:jc w:val="center"/>
        <w:rPr>
          <w:rFonts w:hint="eastAsia" w:ascii="仿宋" w:hAnsi="仿宋" w:eastAsia="仿宋" w:cs="仿宋"/>
          <w:b w:val="0"/>
          <w:bCs w:val="0"/>
          <w:kern w:val="0"/>
          <w:sz w:val="32"/>
          <w:szCs w:val="32"/>
          <w:lang w:val="zh-CN"/>
        </w:rPr>
      </w:pPr>
      <w:r>
        <w:rPr>
          <w:rFonts w:hint="eastAsia" w:ascii="仿宋" w:hAnsi="仿宋" w:eastAsia="仿宋" w:cs="仿宋"/>
          <w:b w:val="0"/>
          <w:bCs w:val="0"/>
          <w:kern w:val="0"/>
          <w:sz w:val="32"/>
          <w:szCs w:val="32"/>
          <w:lang w:val="zh-CN"/>
        </w:rPr>
        <w:t>附录</w:t>
      </w:r>
    </w:p>
    <w:p>
      <w:pPr>
        <w:keepNext w:val="0"/>
        <w:keepLines w:val="0"/>
        <w:pageBreakBefore w:val="0"/>
        <w:kinsoku/>
        <w:topLinePunct w:val="0"/>
        <w:bidi w:val="0"/>
        <w:snapToGrid/>
        <w:spacing w:beforeLines="50" w:afterLines="50" w:line="400" w:lineRule="exact"/>
        <w:ind w:right="0" w:rightChars="0"/>
        <w:jc w:val="center"/>
        <w:rPr>
          <w:rFonts w:hint="eastAsia" w:ascii="仿宋" w:hAnsi="仿宋" w:eastAsia="仿宋" w:cs="仿宋"/>
          <w:b w:val="0"/>
          <w:bCs w:val="0"/>
          <w:kern w:val="0"/>
          <w:sz w:val="32"/>
          <w:szCs w:val="32"/>
          <w:lang w:val="zh-CN"/>
        </w:rPr>
      </w:pPr>
      <w:r>
        <w:rPr>
          <w:rFonts w:hint="eastAsia" w:ascii="仿宋" w:hAnsi="仿宋" w:eastAsia="仿宋" w:cs="仿宋"/>
          <w:b w:val="0"/>
          <w:bCs w:val="0"/>
          <w:kern w:val="0"/>
          <w:sz w:val="32"/>
          <w:szCs w:val="32"/>
          <w:lang w:val="zh-CN"/>
        </w:rPr>
        <w:t>相对分子质量小于10000的胶原蛋白肽所占比例的检测方法</w:t>
      </w:r>
    </w:p>
    <w:p>
      <w:pPr>
        <w:keepNext w:val="0"/>
        <w:keepLines w:val="0"/>
        <w:pageBreakBefore w:val="0"/>
        <w:kinsoku/>
        <w:topLinePunct w:val="0"/>
        <w:bidi w:val="0"/>
        <w:snapToGrid/>
        <w:spacing w:before="50" w:after="50" w:line="400" w:lineRule="exact"/>
        <w:ind w:right="0" w:rightChars="0"/>
        <w:jc w:val="center"/>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(高效体积排阻色谱法)</w:t>
      </w:r>
    </w:p>
    <w:p>
      <w:pPr>
        <w:pStyle w:val="16"/>
        <w:keepNext w:val="0"/>
        <w:keepLines w:val="0"/>
        <w:pageBreakBefore w:val="0"/>
        <w:numPr>
          <w:ilvl w:val="1"/>
          <w:numId w:val="1"/>
        </w:numPr>
        <w:kinsoku/>
        <w:topLinePunct w:val="0"/>
        <w:bidi w:val="0"/>
        <w:snapToGrid/>
        <w:spacing w:beforeLines="0" w:afterLines="0" w:line="400" w:lineRule="exact"/>
        <w:ind w:right="0" w:rightChars="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方法提要</w:t>
      </w:r>
    </w:p>
    <w:p>
      <w:pPr>
        <w:pStyle w:val="17"/>
        <w:keepNext w:val="0"/>
        <w:keepLines w:val="0"/>
        <w:pageBreakBefore w:val="0"/>
        <w:kinsoku/>
        <w:topLinePunct w:val="0"/>
        <w:bidi w:val="0"/>
        <w:snapToGrid/>
        <w:spacing w:line="400" w:lineRule="exact"/>
        <w:ind w:right="0" w:rightChars="0" w:firstLine="5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采用高效体积排阻色谱法测定。即以多孔性填料为固定相，依据样品组分分子体积大小的差别进行分离，在肽键的紫外吸收波长220nm条件下检测，使用相对分子质量分布测定的专用数据处理软件（即GPC软件），对</w:t>
      </w:r>
      <w:r>
        <w:rPr>
          <w:rFonts w:hint="eastAsia" w:ascii="仿宋" w:hAnsi="仿宋" w:eastAsia="仿宋" w:cs="仿宋"/>
          <w:b w:val="0"/>
          <w:bCs w:val="0"/>
          <w:sz w:val="32"/>
          <w:szCs w:val="32"/>
        </w:rPr>
        <w:t>标准品和样品的</w:t>
      </w:r>
      <w:r>
        <w:rPr>
          <w:rFonts w:hint="eastAsia" w:ascii="仿宋" w:hAnsi="仿宋" w:eastAsia="仿宋" w:cs="仿宋"/>
          <w:b w:val="0"/>
          <w:bCs w:val="0"/>
          <w:color w:val="000000"/>
          <w:sz w:val="32"/>
          <w:szCs w:val="32"/>
        </w:rPr>
        <w:t>色谱图及其数据进行处理，根据相对分子质量校正曲线方程，计算得到胶原蛋白肽的相对分子质量大小及分布范围。</w:t>
      </w:r>
    </w:p>
    <w:p>
      <w:pPr>
        <w:pStyle w:val="16"/>
        <w:keepNext w:val="0"/>
        <w:keepLines w:val="0"/>
        <w:pageBreakBefore w:val="0"/>
        <w:numPr>
          <w:ilvl w:val="1"/>
          <w:numId w:val="2"/>
        </w:numPr>
        <w:kinsoku/>
        <w:topLinePunct w:val="0"/>
        <w:bidi w:val="0"/>
        <w:snapToGrid/>
        <w:spacing w:beforeLines="0" w:afterLines="0" w:line="400" w:lineRule="exact"/>
        <w:ind w:right="0" w:rightChars="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试剂</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乙腈：色谱纯</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三氟乙酸：分析纯</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水：GB/T 6682规定的一级水</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相对分子质量校正曲线所用标准品：</w:t>
      </w:r>
    </w:p>
    <w:p>
      <w:pPr>
        <w:pStyle w:val="19"/>
        <w:keepNext w:val="0"/>
        <w:keepLines w:val="0"/>
        <w:pageBreakBefore w:val="0"/>
        <w:numPr>
          <w:ilvl w:val="3"/>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细胞色素C（cytochrome C,MW12384）</w:t>
      </w:r>
    </w:p>
    <w:p>
      <w:pPr>
        <w:pStyle w:val="19"/>
        <w:keepNext w:val="0"/>
        <w:keepLines w:val="0"/>
        <w:pageBreakBefore w:val="0"/>
        <w:numPr>
          <w:ilvl w:val="3"/>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抑肽酶（aprotinin,MW6512）</w:t>
      </w:r>
    </w:p>
    <w:p>
      <w:pPr>
        <w:pStyle w:val="19"/>
        <w:keepNext w:val="0"/>
        <w:keepLines w:val="0"/>
        <w:pageBreakBefore w:val="0"/>
        <w:numPr>
          <w:ilvl w:val="3"/>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杆菌酶（bacitracin,MW1423）</w:t>
      </w:r>
    </w:p>
    <w:p>
      <w:pPr>
        <w:pStyle w:val="19"/>
        <w:keepNext w:val="0"/>
        <w:keepLines w:val="0"/>
        <w:pageBreakBefore w:val="0"/>
        <w:numPr>
          <w:ilvl w:val="3"/>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乙氨酸－乙氨酸－酪氨酸－精氨酸（MW451）</w:t>
      </w:r>
    </w:p>
    <w:p>
      <w:pPr>
        <w:pStyle w:val="19"/>
        <w:keepNext w:val="0"/>
        <w:keepLines w:val="0"/>
        <w:pageBreakBefore w:val="0"/>
        <w:numPr>
          <w:ilvl w:val="3"/>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乙氨酸－乙氨酸－乙氨酸（MW189）</w:t>
      </w:r>
    </w:p>
    <w:p>
      <w:pPr>
        <w:pStyle w:val="16"/>
        <w:keepNext w:val="0"/>
        <w:keepLines w:val="0"/>
        <w:pageBreakBefore w:val="0"/>
        <w:numPr>
          <w:ilvl w:val="1"/>
          <w:numId w:val="2"/>
        </w:numPr>
        <w:kinsoku/>
        <w:topLinePunct w:val="0"/>
        <w:bidi w:val="0"/>
        <w:snapToGrid/>
        <w:spacing w:beforeLines="0" w:afterLines="0" w:line="400" w:lineRule="exact"/>
        <w:ind w:right="0" w:rightChars="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仪器和设备</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高效液相色谱仪：配有紫外检测器和含有GPC数据处理软件的色谱工作站</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流动相真空抽滤脱气装置</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超声波振荡器</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分析天平：感量0.0001g</w:t>
      </w:r>
    </w:p>
    <w:p>
      <w:pPr>
        <w:pStyle w:val="16"/>
        <w:keepNext w:val="0"/>
        <w:keepLines w:val="0"/>
        <w:pageBreakBefore w:val="0"/>
        <w:numPr>
          <w:ilvl w:val="1"/>
          <w:numId w:val="2"/>
        </w:numPr>
        <w:kinsoku/>
        <w:topLinePunct w:val="0"/>
        <w:bidi w:val="0"/>
        <w:snapToGrid/>
        <w:spacing w:beforeLines="0" w:afterLines="0" w:line="400" w:lineRule="exact"/>
        <w:ind w:right="0" w:rightChars="0"/>
        <w:textAlignment w:val="auto"/>
        <w:rPr>
          <w:rFonts w:hint="eastAsia" w:ascii="仿宋" w:hAnsi="仿宋" w:eastAsia="仿宋" w:cs="仿宋"/>
          <w:b w:val="0"/>
          <w:bCs w:val="0"/>
          <w:sz w:val="32"/>
          <w:szCs w:val="32"/>
        </w:rPr>
      </w:pPr>
      <w:r>
        <w:rPr>
          <w:rFonts w:hint="eastAsia" w:ascii="仿宋" w:hAnsi="仿宋" w:eastAsia="仿宋" w:cs="仿宋"/>
          <w:b w:val="0"/>
          <w:bCs w:val="0"/>
          <w:color w:val="000000"/>
          <w:sz w:val="32"/>
          <w:szCs w:val="32"/>
        </w:rPr>
        <w:t>色谱条件与系统适应性实验</w:t>
      </w:r>
    </w:p>
    <w:p>
      <w:pPr>
        <w:pStyle w:val="18"/>
        <w:keepNext w:val="0"/>
        <w:keepLines w:val="0"/>
        <w:pageBreakBefore w:val="0"/>
        <w:numPr>
          <w:ilvl w:val="2"/>
          <w:numId w:val="3"/>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色谱柱：TSKgel G2000 SWXL 300mm×7.8mm(GEL LOT 502R)或性能与此相近的同类型其他适用于测定肽的分子量分布的凝胶柱</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流动相：乙腈：水：三氟乙酸，体积比为40：60：0.05</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检测波长：220nm</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流速：0.5mL/min</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柱温：30℃</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进样体积：10μL</w:t>
      </w:r>
    </w:p>
    <w:p>
      <w:pPr>
        <w:pStyle w:val="18"/>
        <w:keepNext w:val="0"/>
        <w:keepLines w:val="0"/>
        <w:pageBreakBefore w:val="0"/>
        <w:numPr>
          <w:ilvl w:val="2"/>
          <w:numId w:val="2"/>
        </w:numPr>
        <w:kinsoku/>
        <w:topLinePunct w:val="0"/>
        <w:bidi w:val="0"/>
        <w:snapToGrid/>
        <w:spacing w:line="400" w:lineRule="exact"/>
        <w:ind w:right="0" w:rightChars="0"/>
        <w:rPr>
          <w:rFonts w:hint="eastAsia" w:ascii="仿宋" w:hAnsi="仿宋" w:eastAsia="仿宋" w:cs="仿宋"/>
          <w:b w:val="0"/>
          <w:bCs w:val="0"/>
          <w:sz w:val="32"/>
          <w:szCs w:val="32"/>
        </w:rPr>
      </w:pPr>
      <w:r>
        <w:rPr>
          <w:rFonts w:hint="eastAsia" w:ascii="仿宋" w:hAnsi="仿宋" w:eastAsia="仿宋" w:cs="仿宋"/>
          <w:b w:val="0"/>
          <w:bCs w:val="0"/>
          <w:sz w:val="32"/>
          <w:szCs w:val="32"/>
        </w:rPr>
        <w:t>为使色谱系统符合检测要求，规定在上述色谱条件下，凝胶色谱柱的柱效即理论塔板数（N）按三肽标准品（乙氨酸－乙氨酸－乙氨酸）峰计算不低于5000</w:t>
      </w:r>
      <w:r>
        <w:rPr>
          <w:rFonts w:hint="eastAsia" w:ascii="仿宋" w:hAnsi="仿宋" w:eastAsia="仿宋" w:cs="仿宋"/>
          <w:b w:val="0"/>
          <w:bCs w:val="0"/>
          <w:color w:val="000000"/>
          <w:sz w:val="32"/>
          <w:szCs w:val="32"/>
        </w:rPr>
        <w:t>，蛋白肽的</w:t>
      </w:r>
      <w:r>
        <w:rPr>
          <w:rFonts w:hint="eastAsia" w:ascii="仿宋" w:hAnsi="仿宋" w:eastAsia="仿宋" w:cs="仿宋"/>
          <w:b w:val="0"/>
          <w:bCs w:val="0"/>
          <w:sz w:val="32"/>
          <w:szCs w:val="32"/>
        </w:rPr>
        <w:t>分配系数（Kd）应在0～1之间</w:t>
      </w:r>
    </w:p>
    <w:p>
      <w:pPr>
        <w:pStyle w:val="16"/>
        <w:keepNext w:val="0"/>
        <w:keepLines w:val="0"/>
        <w:pageBreakBefore w:val="0"/>
        <w:numPr>
          <w:ilvl w:val="1"/>
          <w:numId w:val="2"/>
        </w:numPr>
        <w:kinsoku/>
        <w:topLinePunct w:val="0"/>
        <w:bidi w:val="0"/>
        <w:snapToGrid/>
        <w:spacing w:beforeLines="0" w:afterLines="0" w:line="400" w:lineRule="exact"/>
        <w:ind w:right="0" w:rightChars="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相对分子质量校正曲线制作</w:t>
      </w:r>
    </w:p>
    <w:p>
      <w:pPr>
        <w:pStyle w:val="17"/>
        <w:keepNext w:val="0"/>
        <w:keepLines w:val="0"/>
        <w:pageBreakBefore w:val="0"/>
        <w:kinsoku/>
        <w:topLinePunct w:val="0"/>
        <w:bidi w:val="0"/>
        <w:snapToGrid/>
        <w:spacing w:line="400" w:lineRule="exact"/>
        <w:ind w:right="0" w:rightChars="0" w:firstLine="5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分别用流动相配制成</w:t>
      </w:r>
      <w:r>
        <w:rPr>
          <w:rFonts w:hint="eastAsia" w:ascii="仿宋" w:hAnsi="仿宋" w:eastAsia="仿宋" w:cs="仿宋"/>
          <w:b w:val="0"/>
          <w:bCs w:val="0"/>
          <w:sz w:val="32"/>
          <w:szCs w:val="32"/>
        </w:rPr>
        <w:t>浓度为1.0 g/L左右</w:t>
      </w:r>
      <w:r>
        <w:rPr>
          <w:rFonts w:hint="eastAsia" w:ascii="仿宋" w:hAnsi="仿宋" w:eastAsia="仿宋" w:cs="仿宋"/>
          <w:b w:val="0"/>
          <w:bCs w:val="0"/>
          <w:color w:val="000000"/>
          <w:sz w:val="32"/>
          <w:szCs w:val="32"/>
        </w:rPr>
        <w:t>的上述不同相对分子质量的肽标准品溶液，用孔径为0.2μm</w:t>
      </w:r>
      <w:r>
        <w:rPr>
          <w:rFonts w:hint="eastAsia" w:ascii="仿宋" w:hAnsi="仿宋" w:eastAsia="仿宋" w:cs="仿宋"/>
          <w:b w:val="0"/>
          <w:bCs w:val="0"/>
          <w:sz w:val="32"/>
          <w:szCs w:val="32"/>
        </w:rPr>
        <w:t>～</w:t>
      </w:r>
      <w:r>
        <w:rPr>
          <w:rFonts w:hint="eastAsia" w:ascii="仿宋" w:hAnsi="仿宋" w:eastAsia="仿宋" w:cs="仿宋"/>
          <w:b w:val="0"/>
          <w:bCs w:val="0"/>
          <w:color w:val="000000"/>
          <w:sz w:val="32"/>
          <w:szCs w:val="32"/>
        </w:rPr>
        <w:t>0.5μm聚四氟乙烯或尼龙过滤膜过滤后分别进样，得到系列标准品的色谱图。以相对分子质量的对数（lgMW）对保留时间作图或作线性回归得到相对分子质量校正曲线及其方程。</w:t>
      </w:r>
    </w:p>
    <w:p>
      <w:pPr>
        <w:pStyle w:val="16"/>
        <w:keepNext w:val="0"/>
        <w:keepLines w:val="0"/>
        <w:pageBreakBefore w:val="0"/>
        <w:numPr>
          <w:ilvl w:val="1"/>
          <w:numId w:val="2"/>
        </w:numPr>
        <w:kinsoku/>
        <w:topLinePunct w:val="0"/>
        <w:bidi w:val="0"/>
        <w:snapToGrid/>
        <w:spacing w:beforeLines="0" w:afterLines="0" w:line="400" w:lineRule="exact"/>
        <w:ind w:right="0" w:rightChars="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样品制备</w:t>
      </w:r>
    </w:p>
    <w:p>
      <w:pPr>
        <w:pStyle w:val="17"/>
        <w:keepNext w:val="0"/>
        <w:keepLines w:val="0"/>
        <w:pageBreakBefore w:val="0"/>
        <w:kinsoku/>
        <w:topLinePunct w:val="0"/>
        <w:bidi w:val="0"/>
        <w:snapToGrid/>
        <w:spacing w:line="400" w:lineRule="exact"/>
        <w:ind w:right="0" w:rightChars="0" w:firstLine="5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用称量纸称取样品125.0mg左右，转移至25mL容量瓶中，用流动相定容至刻度，超声振荡10min，使样品充分溶解混匀，用孔径为0.2μm</w:t>
      </w:r>
      <w:r>
        <w:rPr>
          <w:rFonts w:hint="eastAsia" w:ascii="仿宋" w:hAnsi="仿宋" w:eastAsia="仿宋" w:cs="仿宋"/>
          <w:b w:val="0"/>
          <w:bCs w:val="0"/>
          <w:sz w:val="32"/>
          <w:szCs w:val="32"/>
        </w:rPr>
        <w:t>～</w:t>
      </w:r>
      <w:r>
        <w:rPr>
          <w:rFonts w:hint="eastAsia" w:ascii="仿宋" w:hAnsi="仿宋" w:eastAsia="仿宋" w:cs="仿宋"/>
          <w:b w:val="0"/>
          <w:bCs w:val="0"/>
          <w:color w:val="000000"/>
          <w:sz w:val="32"/>
          <w:szCs w:val="32"/>
        </w:rPr>
        <w:t>0.5μm聚四氟乙烯或尼龙过滤膜过滤，其滤液用于测定。</w:t>
      </w:r>
    </w:p>
    <w:p>
      <w:pPr>
        <w:pStyle w:val="16"/>
        <w:keepNext w:val="0"/>
        <w:keepLines w:val="0"/>
        <w:pageBreakBefore w:val="0"/>
        <w:numPr>
          <w:ilvl w:val="1"/>
          <w:numId w:val="2"/>
        </w:numPr>
        <w:kinsoku/>
        <w:topLinePunct w:val="0"/>
        <w:bidi w:val="0"/>
        <w:snapToGrid/>
        <w:spacing w:beforeLines="0" w:afterLines="0" w:line="400" w:lineRule="exact"/>
        <w:ind w:right="0" w:rightChars="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相对分子质量的计算</w:t>
      </w:r>
    </w:p>
    <w:p>
      <w:pPr>
        <w:pStyle w:val="17"/>
        <w:keepNext w:val="0"/>
        <w:keepLines w:val="0"/>
        <w:pageBreakBefore w:val="0"/>
        <w:kinsoku/>
        <w:topLinePunct w:val="0"/>
        <w:bidi w:val="0"/>
        <w:snapToGrid/>
        <w:spacing w:line="400" w:lineRule="exact"/>
        <w:ind w:right="0" w:rightChars="0" w:firstLine="560"/>
        <w:rPr>
          <w:rFonts w:hint="eastAsia" w:ascii="仿宋" w:hAnsi="仿宋" w:eastAsia="仿宋" w:cs="仿宋"/>
          <w:b w:val="0"/>
          <w:bCs w:val="0"/>
          <w:sz w:val="32"/>
          <w:szCs w:val="32"/>
        </w:rPr>
      </w:pPr>
      <w:r>
        <w:rPr>
          <w:rFonts w:hint="eastAsia" w:ascii="仿宋" w:hAnsi="仿宋" w:eastAsia="仿宋" w:cs="仿宋"/>
          <w:b w:val="0"/>
          <w:bCs w:val="0"/>
          <w:sz w:val="32"/>
          <w:szCs w:val="32"/>
        </w:rPr>
        <w:t>将A.6制备的样品溶液在A.4色谱条件下进样分析，然后使用GPC数据处理软件，根据相对分子质量校正曲线方程对样品的色谱图及其数据进行计算处理，即可得到样品中胶原</w:t>
      </w:r>
      <w:r>
        <w:rPr>
          <w:rFonts w:hint="eastAsia" w:ascii="仿宋" w:hAnsi="仿宋" w:eastAsia="仿宋" w:cs="仿宋"/>
          <w:b w:val="0"/>
          <w:bCs w:val="0"/>
          <w:color w:val="000000"/>
          <w:sz w:val="32"/>
          <w:szCs w:val="32"/>
        </w:rPr>
        <w:t>蛋白肽的相对分子质量大小及分布范围</w:t>
      </w:r>
      <w:r>
        <w:rPr>
          <w:rFonts w:hint="eastAsia" w:ascii="仿宋" w:hAnsi="仿宋" w:eastAsia="仿宋" w:cs="仿宋"/>
          <w:b w:val="0"/>
          <w:bCs w:val="0"/>
          <w:sz w:val="32"/>
          <w:szCs w:val="32"/>
        </w:rPr>
        <w:t>。用峰面积归一化法计算相对分子质量在</w:t>
      </w:r>
      <w:r>
        <w:rPr>
          <w:rFonts w:hint="eastAsia" w:ascii="仿宋" w:hAnsi="仿宋" w:eastAsia="仿宋" w:cs="仿宋"/>
          <w:b w:val="0"/>
          <w:bCs w:val="0"/>
          <w:color w:val="000000"/>
          <w:sz w:val="32"/>
          <w:szCs w:val="32"/>
        </w:rPr>
        <w:t>10000</w:t>
      </w:r>
      <w:r>
        <w:rPr>
          <w:rFonts w:hint="eastAsia" w:ascii="仿宋" w:hAnsi="仿宋" w:eastAsia="仿宋" w:cs="仿宋"/>
          <w:b w:val="0"/>
          <w:bCs w:val="0"/>
          <w:sz w:val="32"/>
          <w:szCs w:val="32"/>
        </w:rPr>
        <w:t>以下的胶原蛋白肽相对百分比之和。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A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lvlOverride w:ilvl="1">
      <w:startOverride w:val="1"/>
    </w:lvlOverride>
  </w:num>
  <w:num w:numId="2">
    <w:abstractNumId w:val="0"/>
  </w:num>
  <w:num w:numId="3">
    <w:abstractNumId w:val="0"/>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027D1"/>
    <w:rsid w:val="003027D1"/>
    <w:rsid w:val="00510874"/>
    <w:rsid w:val="005A2168"/>
    <w:rsid w:val="005B1C3C"/>
    <w:rsid w:val="00633613"/>
    <w:rsid w:val="00695A39"/>
    <w:rsid w:val="007662E6"/>
    <w:rsid w:val="00864461"/>
    <w:rsid w:val="00940C08"/>
    <w:rsid w:val="00D77E07"/>
    <w:rsid w:val="01F15F6E"/>
    <w:rsid w:val="14CC54F8"/>
    <w:rsid w:val="21737F20"/>
    <w:rsid w:val="22506D3E"/>
    <w:rsid w:val="3D1B512E"/>
    <w:rsid w:val="587D67AB"/>
    <w:rsid w:val="6ECA2C18"/>
    <w:rsid w:val="72442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unhideWhenUsed/>
    <w:qFormat/>
    <w:uiPriority w:val="99"/>
    <w:rPr>
      <w:color w:val="0000FF"/>
      <w:u w:val="single"/>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 w:type="character" w:customStyle="1" w:styleId="11">
    <w:name w:val="apple-converted-space"/>
    <w:basedOn w:val="6"/>
    <w:qFormat/>
    <w:uiPriority w:val="0"/>
  </w:style>
  <w:style w:type="character" w:customStyle="1" w:styleId="12">
    <w:name w:val="批注框文本 Char"/>
    <w:basedOn w:val="6"/>
    <w:link w:val="2"/>
    <w:semiHidden/>
    <w:qFormat/>
    <w:uiPriority w:val="99"/>
    <w:rPr>
      <w:sz w:val="18"/>
      <w:szCs w:val="18"/>
    </w:rPr>
  </w:style>
  <w:style w:type="paragraph" w:customStyle="1" w:styleId="13">
    <w:name w:val="列出段落1"/>
    <w:basedOn w:val="1"/>
    <w:qFormat/>
    <w:uiPriority w:val="34"/>
    <w:pPr>
      <w:widowControl/>
      <w:ind w:firstLine="420" w:firstLineChars="200"/>
      <w:jc w:val="left"/>
    </w:pPr>
    <w:rPr>
      <w:rFonts w:ascii="宋体" w:hAnsi="宋体" w:eastAsia="宋体" w:cs="宋体"/>
      <w:kern w:val="0"/>
      <w:sz w:val="24"/>
      <w:szCs w:val="24"/>
    </w:rPr>
  </w:style>
  <w:style w:type="character" w:customStyle="1" w:styleId="14">
    <w:name w:val="附录一级条标题 Char"/>
    <w:basedOn w:val="15"/>
    <w:link w:val="18"/>
    <w:qFormat/>
    <w:uiPriority w:val="0"/>
  </w:style>
  <w:style w:type="character" w:customStyle="1" w:styleId="15">
    <w:name w:val="附录章标题 Char"/>
    <w:link w:val="16"/>
    <w:qFormat/>
    <w:uiPriority w:val="0"/>
    <w:rPr>
      <w:rFonts w:ascii="黑体" w:eastAsia="黑体"/>
      <w:kern w:val="21"/>
    </w:rPr>
  </w:style>
  <w:style w:type="paragraph" w:customStyle="1" w:styleId="16">
    <w:name w:val="附录章标题"/>
    <w:next w:val="17"/>
    <w:link w:val="15"/>
    <w:qFormat/>
    <w:uiPriority w:val="0"/>
    <w:pPr>
      <w:wordWrap w:val="0"/>
      <w:overflowPunct w:val="0"/>
      <w:autoSpaceDE w:val="0"/>
      <w:spacing w:beforeLines="50" w:afterLines="50"/>
      <w:jc w:val="both"/>
      <w:textAlignment w:val="baseline"/>
      <w:outlineLvl w:val="1"/>
    </w:pPr>
    <w:rPr>
      <w:rFonts w:ascii="黑体" w:eastAsia="黑体" w:hAnsiTheme="minorHAnsi" w:cstheme="minorBidi"/>
      <w:kern w:val="21"/>
      <w:sz w:val="21"/>
      <w:szCs w:val="22"/>
      <w:lang w:val="en-US" w:eastAsia="zh-CN" w:bidi="ar-SA"/>
    </w:rPr>
  </w:style>
  <w:style w:type="paragraph" w:customStyle="1" w:styleId="1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8">
    <w:name w:val="附录一级条标题"/>
    <w:basedOn w:val="16"/>
    <w:next w:val="17"/>
    <w:link w:val="14"/>
    <w:qFormat/>
    <w:uiPriority w:val="0"/>
    <w:pPr>
      <w:autoSpaceDN w:val="0"/>
      <w:spacing w:beforeLines="0" w:afterLines="0"/>
      <w:ind w:firstLine="400"/>
      <w:outlineLvl w:val="2"/>
    </w:pPr>
  </w:style>
  <w:style w:type="paragraph" w:customStyle="1" w:styleId="19">
    <w:name w:val="附录二级条标题"/>
    <w:basedOn w:val="18"/>
    <w:next w:val="17"/>
    <w:qFormat/>
    <w:uiPriority w:val="0"/>
    <w:pPr>
      <w:ind w:firstLine="400"/>
      <w:outlineLvl w:val="3"/>
    </w:pPr>
  </w:style>
  <w:style w:type="paragraph" w:customStyle="1" w:styleId="20">
    <w:name w:val="List Paragraph"/>
    <w:basedOn w:val="1"/>
    <w:qFormat/>
    <w:uiPriority w:val="34"/>
    <w:pPr>
      <w:ind w:firstLine="420" w:firstLineChars="200"/>
    </w:pPr>
    <w:rPr>
      <w:rFonts w:ascii="宋体" w:hAnsi="宋体" w:eastAsia="宋体" w:cs="Times New Roman"/>
      <w:sz w:val="24"/>
      <w:szCs w:val="24"/>
    </w:rPr>
  </w:style>
  <w:style w:type="paragraph" w:customStyle="1" w:styleId="21">
    <w:name w:val="列出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2912</Words>
  <Characters>16602</Characters>
  <Lines>138</Lines>
  <Paragraphs>38</Paragraphs>
  <ScaleCrop>false</ScaleCrop>
  <LinksUpToDate>false</LinksUpToDate>
  <CharactersWithSpaces>19476</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2017-06-06T07:04:00Z</dcterms:created>
  <dc:creator>张婷</dc:creator>
  <cp:lastModifiedBy>Administrator</cp:lastModifiedBy>
  <cp:lastPrinted>2017-07-04T06:06:17Z</cp:lastPrinted>
  <dcterms:modified xsi:type="dcterms:W3CDTF">2017-07-04T06:07:20Z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