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hd w:val="clear" w:color="auto" w:fill="FFFFFF"/>
        <w:kinsoku/>
        <w:wordWrap/>
        <w:overflowPunct/>
        <w:topLinePunct w:val="0"/>
        <w:bidi w:val="0"/>
        <w:spacing w:line="400" w:lineRule="exact"/>
        <w:ind w:right="0" w:rightChars="0"/>
        <w:textAlignment w:val="auto"/>
        <w:outlineLvl w:val="9"/>
        <w:rPr>
          <w:rFonts w:hint="eastAsia" w:ascii="仿宋" w:hAnsi="仿宋" w:eastAsia="仿宋" w:cs="仿宋"/>
          <w:b w:val="0"/>
          <w:bCs w:val="0"/>
          <w:color w:val="434343"/>
          <w:kern w:val="0"/>
          <w:sz w:val="32"/>
          <w:szCs w:val="32"/>
        </w:rPr>
      </w:pPr>
      <w:r>
        <w:rPr>
          <w:rFonts w:hint="eastAsia" w:ascii="仿宋" w:hAnsi="仿宋" w:eastAsia="仿宋" w:cs="仿宋"/>
          <w:b w:val="0"/>
          <w:bCs w:val="0"/>
          <w:color w:val="434343"/>
          <w:kern w:val="0"/>
          <w:sz w:val="32"/>
          <w:szCs w:val="32"/>
        </w:rPr>
        <w:t>附件</w:t>
      </w:r>
      <w:r>
        <w:rPr>
          <w:rFonts w:hint="eastAsia" w:ascii="仿宋" w:hAnsi="仿宋" w:eastAsia="仿宋" w:cs="仿宋"/>
          <w:b w:val="0"/>
          <w:bCs w:val="0"/>
          <w:color w:val="434343"/>
          <w:kern w:val="0"/>
          <w:sz w:val="32"/>
          <w:szCs w:val="32"/>
          <w:lang w:val="en-US" w:eastAsia="zh-CN"/>
        </w:rPr>
        <w:t>4</w:t>
      </w:r>
    </w:p>
    <w:p>
      <w:pPr>
        <w:keepNext w:val="0"/>
        <w:keepLines w:val="0"/>
        <w:pageBreakBefore w:val="0"/>
        <w:kinsoku/>
        <w:wordWrap/>
        <w:overflowPunct/>
        <w:topLinePunct w:val="0"/>
        <w:bidi w:val="0"/>
        <w:spacing w:line="400" w:lineRule="exact"/>
        <w:ind w:right="0" w:rightChars="0"/>
        <w:jc w:val="center"/>
        <w:textAlignment w:val="auto"/>
        <w:outlineLvl w:val="9"/>
        <w:rPr>
          <w:rFonts w:hint="eastAsia" w:ascii="黑体" w:hAnsi="黑体" w:eastAsia="黑体" w:cs="黑体"/>
          <w:b w:val="0"/>
          <w:bCs w:val="0"/>
          <w:sz w:val="36"/>
          <w:szCs w:val="36"/>
          <w:lang w:eastAsia="zh-CN"/>
        </w:rPr>
      </w:pPr>
      <w:r>
        <w:rPr>
          <w:rFonts w:hint="eastAsia" w:ascii="黑体" w:hAnsi="黑体" w:eastAsia="黑体" w:cs="黑体"/>
          <w:b w:val="0"/>
          <w:bCs w:val="0"/>
          <w:sz w:val="36"/>
          <w:szCs w:val="36"/>
        </w:rPr>
        <w:t>工业化豆芽</w:t>
      </w:r>
      <w:r>
        <w:rPr>
          <w:rFonts w:hint="eastAsia" w:ascii="黑体" w:hAnsi="黑体" w:eastAsia="黑体" w:cs="黑体"/>
          <w:b w:val="0"/>
          <w:bCs w:val="0"/>
          <w:sz w:val="36"/>
          <w:szCs w:val="36"/>
          <w:lang w:eastAsia="zh-CN"/>
        </w:rPr>
        <w:t>食品</w:t>
      </w:r>
      <w:r>
        <w:rPr>
          <w:rFonts w:hint="eastAsia" w:ascii="黑体" w:hAnsi="黑体" w:eastAsia="黑体" w:cs="黑体"/>
          <w:b w:val="0"/>
          <w:bCs w:val="0"/>
          <w:sz w:val="36"/>
          <w:szCs w:val="36"/>
        </w:rPr>
        <w:t>生产许可审查</w:t>
      </w:r>
      <w:r>
        <w:rPr>
          <w:rFonts w:hint="eastAsia" w:ascii="黑体" w:hAnsi="黑体" w:eastAsia="黑体" w:cs="黑体"/>
          <w:b w:val="0"/>
          <w:bCs w:val="0"/>
          <w:sz w:val="36"/>
          <w:szCs w:val="36"/>
          <w:lang w:eastAsia="zh-CN"/>
        </w:rPr>
        <w:t>规范</w:t>
      </w:r>
      <w:bookmarkStart w:id="0" w:name="_GoBack"/>
      <w:bookmarkEnd w:id="0"/>
    </w:p>
    <w:p>
      <w:pPr>
        <w:keepNext w:val="0"/>
        <w:keepLines w:val="0"/>
        <w:pageBreakBefore w:val="0"/>
        <w:kinsoku/>
        <w:wordWrap/>
        <w:overflowPunct/>
        <w:topLinePunct w:val="0"/>
        <w:bidi w:val="0"/>
        <w:spacing w:line="400" w:lineRule="exact"/>
        <w:ind w:right="0" w:rightChars="0"/>
        <w:jc w:val="center"/>
        <w:textAlignment w:val="auto"/>
        <w:outlineLvl w:val="9"/>
        <w:rPr>
          <w:rFonts w:hint="eastAsia" w:ascii="黑体" w:hAnsi="黑体" w:eastAsia="黑体" w:cs="黑体"/>
          <w:b w:val="0"/>
          <w:bCs w:val="0"/>
          <w:sz w:val="36"/>
          <w:szCs w:val="36"/>
          <w:lang w:eastAsia="zh-CN"/>
        </w:rPr>
      </w:pPr>
    </w:p>
    <w:p>
      <w:pPr>
        <w:keepNext w:val="0"/>
        <w:keepLines w:val="0"/>
        <w:pageBreakBefore w:val="0"/>
        <w:kinsoku/>
        <w:wordWrap/>
        <w:overflowPunct/>
        <w:topLinePunct w:val="0"/>
        <w:bidi w:val="0"/>
        <w:spacing w:line="400" w:lineRule="exact"/>
        <w:ind w:right="0" w:rightChars="0"/>
        <w:jc w:val="center"/>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第一章 总则</w:t>
      </w:r>
    </w:p>
    <w:p>
      <w:pPr>
        <w:keepNext w:val="0"/>
        <w:keepLines w:val="0"/>
        <w:pageBreakBefore w:val="0"/>
        <w:numPr>
          <w:ilvl w:val="0"/>
          <w:numId w:val="0"/>
        </w:numPr>
        <w:kinsoku/>
        <w:wordWrap/>
        <w:overflowPunct/>
        <w:topLinePunct w:val="0"/>
        <w:bidi w:val="0"/>
        <w:spacing w:line="400" w:lineRule="exact"/>
        <w:ind w:right="0" w:rightChars="0" w:firstLine="64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第一条</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sz w:val="32"/>
          <w:szCs w:val="32"/>
        </w:rPr>
        <w:t>本规范适用于江西省</w:t>
      </w:r>
      <w:r>
        <w:rPr>
          <w:rFonts w:hint="eastAsia" w:ascii="仿宋" w:hAnsi="仿宋" w:eastAsia="仿宋" w:cs="仿宋"/>
          <w:b w:val="0"/>
          <w:bCs w:val="0"/>
          <w:sz w:val="32"/>
          <w:szCs w:val="32"/>
          <w:lang w:eastAsia="zh-CN"/>
        </w:rPr>
        <w:t>内工业化豆芽食品生产许可条件审查。规范中所称工业化豆芽是指</w:t>
      </w:r>
      <w:r>
        <w:rPr>
          <w:rFonts w:hint="eastAsia" w:ascii="仿宋" w:hAnsi="仿宋" w:eastAsia="仿宋" w:cs="仿宋"/>
          <w:b w:val="0"/>
          <w:bCs w:val="0"/>
          <w:sz w:val="32"/>
          <w:szCs w:val="32"/>
        </w:rPr>
        <w:t>使用</w:t>
      </w:r>
      <w:r>
        <w:rPr>
          <w:rFonts w:hint="eastAsia" w:ascii="仿宋" w:hAnsi="仿宋" w:eastAsia="仿宋" w:cs="仿宋"/>
          <w:b w:val="0"/>
          <w:bCs w:val="0"/>
          <w:color w:val="000000"/>
          <w:sz w:val="32"/>
          <w:szCs w:val="32"/>
        </w:rPr>
        <w:t>筛选后的</w:t>
      </w:r>
      <w:r>
        <w:rPr>
          <w:rFonts w:hint="eastAsia" w:ascii="仿宋" w:hAnsi="仿宋" w:eastAsia="仿宋" w:cs="仿宋"/>
          <w:b w:val="0"/>
          <w:bCs w:val="0"/>
          <w:sz w:val="32"/>
          <w:szCs w:val="32"/>
        </w:rPr>
        <w:t>大豆、绿豆等豆类</w:t>
      </w:r>
      <w:r>
        <w:rPr>
          <w:rFonts w:hint="eastAsia" w:ascii="仿宋" w:hAnsi="仿宋" w:eastAsia="仿宋" w:cs="仿宋"/>
          <w:b w:val="0"/>
          <w:bCs w:val="0"/>
          <w:color w:val="000000"/>
          <w:sz w:val="32"/>
          <w:szCs w:val="32"/>
        </w:rPr>
        <w:t>为原料，经洗豆、杀菌、浸豆、机械控温培育、清洗、包装等工序工业化生产的豆芽。</w:t>
      </w:r>
      <w:r>
        <w:rPr>
          <w:rFonts w:hint="eastAsia" w:ascii="仿宋" w:hAnsi="仿宋" w:eastAsia="仿宋" w:cs="仿宋"/>
          <w:b w:val="0"/>
          <w:bCs w:val="0"/>
          <w:sz w:val="32"/>
          <w:szCs w:val="32"/>
        </w:rPr>
        <w:t>工业化豆芽的申证单元为1个，</w:t>
      </w:r>
      <w:r>
        <w:rPr>
          <w:rFonts w:hint="eastAsia" w:ascii="仿宋" w:hAnsi="仿宋" w:eastAsia="仿宋" w:cs="仿宋"/>
          <w:b w:val="0"/>
          <w:bCs w:val="0"/>
          <w:sz w:val="32"/>
          <w:szCs w:val="32"/>
          <w:lang w:eastAsia="zh-CN"/>
        </w:rPr>
        <w:t>即：</w:t>
      </w:r>
      <w:r>
        <w:rPr>
          <w:rFonts w:hint="eastAsia" w:ascii="仿宋" w:hAnsi="仿宋" w:eastAsia="仿宋" w:cs="仿宋"/>
          <w:b w:val="0"/>
          <w:bCs w:val="0"/>
          <w:sz w:val="32"/>
          <w:szCs w:val="32"/>
        </w:rPr>
        <w:t>蔬菜制品[其他蔬菜制品（豆芽）]。</w:t>
      </w:r>
    </w:p>
    <w:p>
      <w:pPr>
        <w:keepNext w:val="0"/>
        <w:keepLines w:val="0"/>
        <w:pageBreakBefore w:val="0"/>
        <w:numPr>
          <w:ilvl w:val="0"/>
          <w:numId w:val="0"/>
        </w:numPr>
        <w:kinsoku/>
        <w:wordWrap/>
        <w:overflowPunct/>
        <w:topLinePunct w:val="0"/>
        <w:bidi w:val="0"/>
        <w:spacing w:line="400" w:lineRule="exact"/>
        <w:ind w:right="0" w:rightChars="0" w:firstLine="640"/>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sz w:val="32"/>
          <w:szCs w:val="32"/>
          <w:lang w:eastAsia="zh-CN"/>
        </w:rPr>
        <w:t>第二条</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sz w:val="32"/>
          <w:szCs w:val="32"/>
          <w:lang w:eastAsia="zh-CN"/>
        </w:rPr>
        <w:t>工业化豆芽</w:t>
      </w:r>
      <w:r>
        <w:rPr>
          <w:rFonts w:hint="eastAsia" w:ascii="仿宋" w:hAnsi="仿宋" w:eastAsia="仿宋" w:cs="仿宋"/>
          <w:b w:val="0"/>
          <w:bCs w:val="0"/>
          <w:kern w:val="0"/>
          <w:sz w:val="32"/>
          <w:szCs w:val="32"/>
        </w:rPr>
        <w:t>的食品类别为</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sz w:val="32"/>
          <w:szCs w:val="32"/>
        </w:rPr>
        <w:t>蔬菜制品</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rPr>
        <w:t>，其类别名称（品种明细）为：</w:t>
      </w:r>
      <w:r>
        <w:rPr>
          <w:rFonts w:hint="eastAsia" w:ascii="仿宋" w:hAnsi="仿宋" w:eastAsia="仿宋" w:cs="仿宋"/>
          <w:b w:val="0"/>
          <w:bCs w:val="0"/>
          <w:sz w:val="32"/>
          <w:szCs w:val="32"/>
        </w:rPr>
        <w:t>蔬菜制品[其他蔬菜制品（豆芽）]</w:t>
      </w:r>
      <w:r>
        <w:rPr>
          <w:rFonts w:hint="eastAsia" w:ascii="仿宋" w:hAnsi="仿宋" w:eastAsia="仿宋" w:cs="仿宋"/>
          <w:b w:val="0"/>
          <w:bCs w:val="0"/>
          <w:kern w:val="0"/>
          <w:sz w:val="32"/>
          <w:szCs w:val="32"/>
        </w:rPr>
        <w:t>，类别编号为</w:t>
      </w:r>
      <w:r>
        <w:rPr>
          <w:rFonts w:hint="eastAsia" w:ascii="仿宋" w:hAnsi="仿宋" w:eastAsia="仿宋" w:cs="仿宋"/>
          <w:b w:val="0"/>
          <w:bCs w:val="0"/>
          <w:sz w:val="32"/>
          <w:szCs w:val="32"/>
        </w:rPr>
        <w:t>1604</w:t>
      </w:r>
      <w:r>
        <w:rPr>
          <w:rFonts w:hint="eastAsia" w:ascii="仿宋" w:hAnsi="仿宋" w:eastAsia="仿宋" w:cs="仿宋"/>
          <w:b w:val="0"/>
          <w:bCs w:val="0"/>
          <w:kern w:val="0"/>
          <w:sz w:val="32"/>
          <w:szCs w:val="32"/>
        </w:rPr>
        <w:t>。</w:t>
      </w:r>
    </w:p>
    <w:p>
      <w:pPr>
        <w:keepNext w:val="0"/>
        <w:keepLines w:val="0"/>
        <w:pageBreakBefore w:val="0"/>
        <w:numPr>
          <w:ilvl w:val="0"/>
          <w:numId w:val="0"/>
        </w:numPr>
        <w:kinsoku/>
        <w:wordWrap/>
        <w:overflowPunct/>
        <w:topLinePunct w:val="0"/>
        <w:bidi w:val="0"/>
        <w:spacing w:line="400" w:lineRule="exact"/>
        <w:ind w:right="0" w:rightChars="0" w:firstLine="64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kern w:val="0"/>
          <w:sz w:val="32"/>
          <w:szCs w:val="32"/>
          <w:lang w:eastAsia="zh-CN"/>
        </w:rPr>
        <w:t>第三条</w:t>
      </w:r>
      <w:r>
        <w:rPr>
          <w:rFonts w:hint="eastAsia" w:ascii="仿宋" w:hAnsi="仿宋" w:eastAsia="仿宋" w:cs="仿宋"/>
          <w:b w:val="0"/>
          <w:bCs w:val="0"/>
          <w:kern w:val="0"/>
          <w:sz w:val="32"/>
          <w:szCs w:val="32"/>
          <w:lang w:val="en-US" w:eastAsia="zh-CN"/>
        </w:rPr>
        <w:t xml:space="preserve"> </w:t>
      </w:r>
      <w:r>
        <w:rPr>
          <w:rFonts w:hint="eastAsia" w:ascii="仿宋" w:hAnsi="仿宋" w:eastAsia="仿宋" w:cs="仿宋"/>
          <w:b w:val="0"/>
          <w:bCs w:val="0"/>
          <w:sz w:val="32"/>
          <w:szCs w:val="32"/>
        </w:rPr>
        <w:t>本规范中引用的文件、标准通过引用成为本规范的内容。凡是引用文件、标准，其最新版本（包括所有的修改单）适用于本规范。</w:t>
      </w:r>
    </w:p>
    <w:p>
      <w:pPr>
        <w:keepNext w:val="0"/>
        <w:keepLines w:val="0"/>
        <w:pageBreakBefore w:val="0"/>
        <w:numPr>
          <w:ilvl w:val="0"/>
          <w:numId w:val="0"/>
        </w:numPr>
        <w:kinsoku/>
        <w:wordWrap/>
        <w:overflowPunct/>
        <w:topLinePunct w:val="0"/>
        <w:bidi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第二章</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sz w:val="32"/>
          <w:szCs w:val="32"/>
        </w:rPr>
        <w:t>生产许可条件审查</w:t>
      </w:r>
    </w:p>
    <w:p>
      <w:pPr>
        <w:pStyle w:val="13"/>
        <w:keepNext w:val="0"/>
        <w:keepLines w:val="0"/>
        <w:pageBreakBefore w:val="0"/>
        <w:kinsoku/>
        <w:wordWrap/>
        <w:overflowPunct/>
        <w:topLinePunct w:val="0"/>
        <w:bidi w:val="0"/>
        <w:spacing w:line="400" w:lineRule="exact"/>
        <w:ind w:left="0" w:leftChars="0" w:right="0" w:rightChars="0" w:firstLine="640" w:firstLineChars="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第四条</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sz w:val="32"/>
          <w:szCs w:val="32"/>
        </w:rPr>
        <w:t>管理制度审查</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按照《中华人民共和国食品安全法》及其实施条例等有关法律法规及《食品生产许可审查通则》的规定，对企业建立食品质量安全管理制度的情况进行审核。主要审核以下内容：食品质量安全管理制度，主要生产原料管理制度，原辅料采购制度，技术标准、工艺文件及记录管理制度，过程管理制度，检验管理制度，产品防护管理制度，物料储存和分发制度，人员管理制度，运输管理制度、产品追溯及召回制度、企业食品安全风险自查制度、问题报告制度、食品安全事故处置等管理制度。</w:t>
      </w:r>
    </w:p>
    <w:p>
      <w:pPr>
        <w:pStyle w:val="13"/>
        <w:keepNext w:val="0"/>
        <w:keepLines w:val="0"/>
        <w:pageBreakBefore w:val="0"/>
        <w:kinsoku/>
        <w:wordWrap/>
        <w:overflowPunct/>
        <w:topLinePunct w:val="0"/>
        <w:bidi w:val="0"/>
        <w:spacing w:line="400" w:lineRule="exact"/>
        <w:ind w:left="0" w:leftChars="0" w:right="0" w:rightChars="0" w:firstLine="640" w:firstLineChars="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color w:val="000000"/>
          <w:sz w:val="32"/>
          <w:szCs w:val="32"/>
          <w:lang w:eastAsia="zh-CN"/>
        </w:rPr>
        <w:t>第五条</w:t>
      </w:r>
      <w:r>
        <w:rPr>
          <w:rFonts w:hint="eastAsia" w:ascii="仿宋" w:hAnsi="仿宋" w:eastAsia="仿宋" w:cs="仿宋"/>
          <w:b w:val="0"/>
          <w:bCs w:val="0"/>
          <w:color w:val="000000"/>
          <w:sz w:val="32"/>
          <w:szCs w:val="32"/>
          <w:lang w:val="en-US" w:eastAsia="zh-CN"/>
        </w:rPr>
        <w:t xml:space="preserve"> </w:t>
      </w:r>
      <w:r>
        <w:rPr>
          <w:rFonts w:hint="eastAsia" w:ascii="仿宋" w:hAnsi="仿宋" w:eastAsia="仿宋" w:cs="仿宋"/>
          <w:b w:val="0"/>
          <w:bCs w:val="0"/>
          <w:color w:val="000000"/>
          <w:sz w:val="32"/>
          <w:szCs w:val="32"/>
        </w:rPr>
        <w:t>场所核查</w:t>
      </w:r>
      <w:r>
        <w:rPr>
          <w:rFonts w:hint="eastAsia" w:ascii="仿宋" w:hAnsi="仿宋" w:eastAsia="仿宋" w:cs="仿宋"/>
          <w:b w:val="0"/>
          <w:bCs w:val="0"/>
          <w:color w:val="000000"/>
          <w:sz w:val="32"/>
          <w:szCs w:val="32"/>
          <w:lang w:eastAsia="zh-CN"/>
        </w:rPr>
        <w:t>。</w:t>
      </w:r>
      <w:r>
        <w:rPr>
          <w:rFonts w:hint="eastAsia" w:ascii="仿宋" w:hAnsi="仿宋" w:eastAsia="仿宋" w:cs="仿宋"/>
          <w:b w:val="0"/>
          <w:bCs w:val="0"/>
          <w:color w:val="000000"/>
          <w:sz w:val="32"/>
          <w:szCs w:val="32"/>
        </w:rPr>
        <w:t>按照《食品生产许可审查通则》、相关法律法规以及执行的食品安全标准的要求，</w:t>
      </w:r>
      <w:r>
        <w:rPr>
          <w:rFonts w:hint="eastAsia" w:ascii="仿宋" w:hAnsi="仿宋" w:eastAsia="仿宋" w:cs="仿宋"/>
          <w:b w:val="0"/>
          <w:bCs w:val="0"/>
          <w:sz w:val="32"/>
          <w:szCs w:val="32"/>
        </w:rPr>
        <w:t>对照企业提交的申请材料，现场核查以下场所要求</w:t>
      </w:r>
      <w:r>
        <w:rPr>
          <w:rFonts w:hint="eastAsia" w:ascii="仿宋" w:hAnsi="仿宋" w:eastAsia="仿宋" w:cs="仿宋"/>
          <w:b w:val="0"/>
          <w:bCs w:val="0"/>
          <w:sz w:val="32"/>
          <w:szCs w:val="32"/>
          <w:lang w:eastAsia="zh-CN"/>
        </w:rPr>
        <w:t>：</w:t>
      </w:r>
    </w:p>
    <w:p>
      <w:pPr>
        <w:pStyle w:val="13"/>
        <w:keepNext w:val="0"/>
        <w:keepLines w:val="0"/>
        <w:pageBreakBefore w:val="0"/>
        <w:kinsoku/>
        <w:wordWrap/>
        <w:overflowPunct/>
        <w:topLinePunct w:val="0"/>
        <w:bidi w:val="0"/>
        <w:spacing w:line="400" w:lineRule="exact"/>
        <w:ind w:left="0" w:leftChars="0" w:right="0" w:rightChars="0" w:firstLine="640" w:firstLineChars="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一、</w:t>
      </w:r>
      <w:r>
        <w:rPr>
          <w:rFonts w:hint="eastAsia" w:ascii="仿宋" w:hAnsi="仿宋" w:eastAsia="仿宋" w:cs="仿宋"/>
          <w:b w:val="0"/>
          <w:bCs w:val="0"/>
          <w:sz w:val="32"/>
          <w:szCs w:val="32"/>
        </w:rPr>
        <w:t>企业厂房选址和设计、内部建筑结构、辅助生产设施应当符合相关标准的规定。生产地址应选在交通便利、水源充足，远离粉尘、烟雾、有害气体及污染源的地区。</w:t>
      </w:r>
    </w:p>
    <w:p>
      <w:pPr>
        <w:pStyle w:val="13"/>
        <w:keepNext w:val="0"/>
        <w:keepLines w:val="0"/>
        <w:pageBreakBefore w:val="0"/>
        <w:kinsoku/>
        <w:wordWrap/>
        <w:overflowPunct/>
        <w:topLinePunct w:val="0"/>
        <w:bidi w:val="0"/>
        <w:spacing w:line="400" w:lineRule="exact"/>
        <w:ind w:left="0" w:leftChars="0" w:right="0" w:rightChars="0" w:firstLine="640" w:firstLineChars="0"/>
        <w:textAlignment w:val="auto"/>
        <w:outlineLvl w:val="9"/>
        <w:rPr>
          <w:rFonts w:hint="eastAsia" w:ascii="仿宋" w:hAnsi="仿宋" w:eastAsia="仿宋" w:cs="仿宋"/>
          <w:b w:val="0"/>
          <w:bCs w:val="0"/>
          <w:color w:val="000000"/>
          <w:sz w:val="32"/>
          <w:szCs w:val="32"/>
        </w:rPr>
      </w:pPr>
      <w:r>
        <w:rPr>
          <w:rFonts w:hint="eastAsia" w:ascii="仿宋" w:hAnsi="仿宋" w:eastAsia="仿宋" w:cs="仿宋"/>
          <w:b w:val="0"/>
          <w:bCs w:val="0"/>
          <w:sz w:val="32"/>
          <w:szCs w:val="32"/>
          <w:lang w:eastAsia="zh-CN"/>
        </w:rPr>
        <w:t>二、</w:t>
      </w:r>
      <w:r>
        <w:rPr>
          <w:rFonts w:hint="eastAsia" w:ascii="仿宋" w:hAnsi="仿宋" w:eastAsia="仿宋" w:cs="仿宋"/>
          <w:b w:val="0"/>
          <w:bCs w:val="0"/>
          <w:sz w:val="32"/>
          <w:szCs w:val="32"/>
        </w:rPr>
        <w:t>有与企业生产能力相适应的生产车间。企业应具备</w:t>
      </w:r>
      <w:r>
        <w:rPr>
          <w:rFonts w:hint="eastAsia" w:ascii="仿宋" w:hAnsi="仿宋" w:eastAsia="仿宋" w:cs="仿宋"/>
          <w:b w:val="0"/>
          <w:bCs w:val="0"/>
          <w:color w:val="000000"/>
          <w:sz w:val="32"/>
          <w:szCs w:val="32"/>
        </w:rPr>
        <w:t>与生产量相适应的工器具清洗场所、</w:t>
      </w:r>
      <w:r>
        <w:rPr>
          <w:rFonts w:hint="eastAsia" w:ascii="仿宋" w:hAnsi="仿宋" w:eastAsia="仿宋" w:cs="仿宋"/>
          <w:b w:val="0"/>
          <w:bCs w:val="0"/>
          <w:sz w:val="32"/>
          <w:szCs w:val="32"/>
        </w:rPr>
        <w:t>洗豆与浸豆车间、机械控温培育车间、清洗场所、包装场所、原辅料仓库和成品冷藏库、检验室</w:t>
      </w:r>
      <w:r>
        <w:rPr>
          <w:rFonts w:hint="eastAsia" w:ascii="仿宋" w:hAnsi="仿宋" w:eastAsia="仿宋" w:cs="仿宋"/>
          <w:b w:val="0"/>
          <w:bCs w:val="0"/>
          <w:color w:val="000000"/>
          <w:sz w:val="32"/>
          <w:szCs w:val="32"/>
        </w:rPr>
        <w:t>等场所。洗涤剂、消毒剂等应单独存放。</w:t>
      </w:r>
    </w:p>
    <w:p>
      <w:pPr>
        <w:pStyle w:val="13"/>
        <w:keepNext w:val="0"/>
        <w:keepLines w:val="0"/>
        <w:pageBreakBefore w:val="0"/>
        <w:kinsoku/>
        <w:wordWrap/>
        <w:overflowPunct/>
        <w:topLinePunct w:val="0"/>
        <w:bidi w:val="0"/>
        <w:spacing w:line="400" w:lineRule="exact"/>
        <w:ind w:left="0" w:leftChars="0" w:right="0" w:rightChars="0" w:firstLine="640" w:firstLineChars="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color w:val="000000"/>
          <w:sz w:val="32"/>
          <w:szCs w:val="32"/>
          <w:lang w:eastAsia="zh-CN"/>
        </w:rPr>
        <w:t>三、</w:t>
      </w:r>
      <w:r>
        <w:rPr>
          <w:rFonts w:hint="eastAsia" w:ascii="仿宋" w:hAnsi="仿宋" w:eastAsia="仿宋" w:cs="仿宋"/>
          <w:b w:val="0"/>
          <w:bCs w:val="0"/>
          <w:sz w:val="32"/>
          <w:szCs w:val="32"/>
        </w:rPr>
        <w:t>生产车间和辅助设施的设置应按生产流程、生产操作需要及卫生要求，有序而合理布局。</w:t>
      </w:r>
      <w:r>
        <w:rPr>
          <w:rFonts w:hint="eastAsia" w:ascii="仿宋" w:hAnsi="仿宋" w:eastAsia="仿宋" w:cs="仿宋"/>
          <w:b w:val="0"/>
          <w:bCs w:val="0"/>
          <w:color w:val="000000"/>
          <w:sz w:val="32"/>
          <w:szCs w:val="32"/>
        </w:rPr>
        <w:t>各场所之间，要采取有效分隔，防止豆芽加工过程中的交叉污染，避免接触有毒有害物质、不洁物。车间入口处应设洗手更衣设施，</w:t>
      </w:r>
      <w:r>
        <w:rPr>
          <w:rFonts w:hint="eastAsia" w:ascii="仿宋" w:hAnsi="仿宋" w:eastAsia="仿宋" w:cs="仿宋"/>
          <w:b w:val="0"/>
          <w:bCs w:val="0"/>
          <w:sz w:val="32"/>
          <w:szCs w:val="32"/>
        </w:rPr>
        <w:t>实现人流和物流分开。原料清洗与浸豆、</w:t>
      </w:r>
      <w:r>
        <w:rPr>
          <w:rFonts w:hint="eastAsia" w:ascii="仿宋" w:hAnsi="仿宋" w:eastAsia="仿宋" w:cs="仿宋"/>
          <w:b w:val="0"/>
          <w:bCs w:val="0"/>
          <w:color w:val="000000"/>
          <w:sz w:val="32"/>
          <w:szCs w:val="32"/>
        </w:rPr>
        <w:t>控温培育</w:t>
      </w:r>
      <w:r>
        <w:rPr>
          <w:rFonts w:hint="eastAsia" w:ascii="仿宋" w:hAnsi="仿宋" w:eastAsia="仿宋" w:cs="仿宋"/>
          <w:b w:val="0"/>
          <w:bCs w:val="0"/>
          <w:sz w:val="32"/>
          <w:szCs w:val="32"/>
        </w:rPr>
        <w:t>、清洗三个区域应相对分离，包装区域与其他区域分隔。</w:t>
      </w:r>
    </w:p>
    <w:p>
      <w:pPr>
        <w:pStyle w:val="13"/>
        <w:keepNext w:val="0"/>
        <w:keepLines w:val="0"/>
        <w:pageBreakBefore w:val="0"/>
        <w:kinsoku/>
        <w:wordWrap/>
        <w:overflowPunct/>
        <w:topLinePunct w:val="0"/>
        <w:bidi w:val="0"/>
        <w:spacing w:line="400" w:lineRule="exact"/>
        <w:ind w:left="0" w:leftChars="0" w:right="0" w:rightChars="0" w:firstLine="640" w:firstLineChars="0"/>
        <w:textAlignment w:val="auto"/>
        <w:outlineLvl w:val="9"/>
        <w:rPr>
          <w:rFonts w:hint="eastAsia" w:ascii="仿宋" w:hAnsi="仿宋" w:eastAsia="仿宋" w:cs="仿宋"/>
          <w:b w:val="0"/>
          <w:bCs w:val="0"/>
          <w:color w:val="000000"/>
          <w:sz w:val="32"/>
          <w:szCs w:val="32"/>
        </w:rPr>
      </w:pPr>
      <w:r>
        <w:rPr>
          <w:rFonts w:hint="eastAsia" w:ascii="仿宋" w:hAnsi="仿宋" w:eastAsia="仿宋" w:cs="仿宋"/>
          <w:b w:val="0"/>
          <w:bCs w:val="0"/>
          <w:sz w:val="32"/>
          <w:szCs w:val="32"/>
          <w:lang w:eastAsia="zh-CN"/>
        </w:rPr>
        <w:t>四、</w:t>
      </w:r>
      <w:r>
        <w:rPr>
          <w:rFonts w:hint="eastAsia" w:ascii="仿宋" w:hAnsi="仿宋" w:eastAsia="仿宋" w:cs="仿宋"/>
          <w:b w:val="0"/>
          <w:bCs w:val="0"/>
          <w:sz w:val="32"/>
          <w:szCs w:val="32"/>
        </w:rPr>
        <w:t>生产区与生</w:t>
      </w:r>
      <w:r>
        <w:rPr>
          <w:rFonts w:hint="eastAsia" w:ascii="仿宋" w:hAnsi="仿宋" w:eastAsia="仿宋" w:cs="仿宋"/>
          <w:b w:val="0"/>
          <w:bCs w:val="0"/>
          <w:color w:val="000000"/>
          <w:sz w:val="32"/>
          <w:szCs w:val="32"/>
        </w:rPr>
        <w:t>活区分开。生产区应具有良好的通</w:t>
      </w:r>
      <w:r>
        <w:rPr>
          <w:rFonts w:hint="eastAsia" w:ascii="仿宋" w:hAnsi="仿宋" w:eastAsia="仿宋" w:cs="仿宋"/>
          <w:b w:val="0"/>
          <w:bCs w:val="0"/>
          <w:sz w:val="32"/>
          <w:szCs w:val="32"/>
        </w:rPr>
        <w:t>风换气、</w:t>
      </w:r>
      <w:r>
        <w:rPr>
          <w:rFonts w:hint="eastAsia" w:ascii="仿宋" w:hAnsi="仿宋" w:eastAsia="仿宋" w:cs="仿宋"/>
          <w:b w:val="0"/>
          <w:bCs w:val="0"/>
          <w:color w:val="000000"/>
          <w:sz w:val="32"/>
          <w:szCs w:val="32"/>
        </w:rPr>
        <w:t>排水等条件，有</w:t>
      </w:r>
      <w:r>
        <w:rPr>
          <w:rFonts w:hint="eastAsia" w:ascii="仿宋" w:hAnsi="仿宋" w:eastAsia="仿宋" w:cs="仿宋"/>
          <w:b w:val="0"/>
          <w:bCs w:val="0"/>
          <w:sz w:val="32"/>
          <w:szCs w:val="32"/>
        </w:rPr>
        <w:t>温度控制</w:t>
      </w:r>
      <w:r>
        <w:rPr>
          <w:rFonts w:hint="eastAsia" w:ascii="仿宋" w:hAnsi="仿宋" w:eastAsia="仿宋" w:cs="仿宋"/>
          <w:b w:val="0"/>
          <w:bCs w:val="0"/>
          <w:color w:val="000000"/>
          <w:sz w:val="32"/>
          <w:szCs w:val="32"/>
        </w:rPr>
        <w:t>要求的加工场所应配有</w:t>
      </w:r>
      <w:r>
        <w:rPr>
          <w:rFonts w:hint="eastAsia" w:ascii="仿宋" w:hAnsi="仿宋" w:eastAsia="仿宋" w:cs="仿宋"/>
          <w:b w:val="0"/>
          <w:bCs w:val="0"/>
          <w:sz w:val="32"/>
          <w:szCs w:val="32"/>
        </w:rPr>
        <w:t>控温设</w:t>
      </w:r>
      <w:r>
        <w:rPr>
          <w:rFonts w:hint="eastAsia" w:ascii="仿宋" w:hAnsi="仿宋" w:eastAsia="仿宋" w:cs="仿宋"/>
          <w:b w:val="0"/>
          <w:bCs w:val="0"/>
          <w:color w:val="000000"/>
          <w:sz w:val="32"/>
          <w:szCs w:val="32"/>
        </w:rPr>
        <w:t>施，生产区应配有排水、防蝇、防虫、防鼠等设施。</w:t>
      </w:r>
    </w:p>
    <w:p>
      <w:pPr>
        <w:pStyle w:val="13"/>
        <w:keepNext w:val="0"/>
        <w:keepLines w:val="0"/>
        <w:pageBreakBefore w:val="0"/>
        <w:kinsoku/>
        <w:wordWrap/>
        <w:overflowPunct/>
        <w:topLinePunct w:val="0"/>
        <w:bidi w:val="0"/>
        <w:spacing w:line="400" w:lineRule="exact"/>
        <w:ind w:left="0" w:leftChars="0" w:right="0" w:rightChars="0" w:firstLine="640" w:firstLineChars="0"/>
        <w:textAlignment w:val="auto"/>
        <w:outlineLvl w:val="9"/>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lang w:eastAsia="zh-CN"/>
        </w:rPr>
        <w:t>五、</w:t>
      </w:r>
      <w:r>
        <w:rPr>
          <w:rFonts w:hint="eastAsia" w:ascii="仿宋" w:hAnsi="仿宋" w:eastAsia="仿宋" w:cs="仿宋"/>
          <w:b w:val="0"/>
          <w:bCs w:val="0"/>
          <w:sz w:val="32"/>
          <w:szCs w:val="32"/>
        </w:rPr>
        <w:t>产品应贮存在2℃～6℃清洁卫生的库房内，不得与有毒、有害、有异味、易挥发、易腐蚀的物品同处存放。</w:t>
      </w:r>
    </w:p>
    <w:p>
      <w:pPr>
        <w:pStyle w:val="13"/>
        <w:keepNext w:val="0"/>
        <w:keepLines w:val="0"/>
        <w:pageBreakBefore w:val="0"/>
        <w:widowControl w:val="0"/>
        <w:numPr>
          <w:ilvl w:val="0"/>
          <w:numId w:val="0"/>
        </w:numPr>
        <w:kinsoku/>
        <w:wordWrap/>
        <w:overflowPunct/>
        <w:topLinePunct w:val="0"/>
        <w:bidi w:val="0"/>
        <w:spacing w:line="400" w:lineRule="exact"/>
        <w:ind w:right="0" w:rightChars="0" w:firstLine="640"/>
        <w:jc w:val="both"/>
        <w:textAlignment w:val="auto"/>
        <w:outlineLvl w:val="9"/>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第六条</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sz w:val="32"/>
          <w:szCs w:val="32"/>
        </w:rPr>
        <w:t>设备核查</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应核查《食品生产许可证申请书》中申报生产能力和企业拥有的生产设备数量、参数的适应程度。现场核查以下</w:t>
      </w:r>
      <w:r>
        <w:rPr>
          <w:rFonts w:hint="eastAsia" w:ascii="仿宋" w:hAnsi="仿宋" w:eastAsia="仿宋" w:cs="仿宋"/>
          <w:b w:val="0"/>
          <w:bCs w:val="0"/>
          <w:sz w:val="32"/>
          <w:szCs w:val="32"/>
          <w:lang w:eastAsia="zh-CN"/>
        </w:rPr>
        <w:t>设备</w:t>
      </w:r>
      <w:r>
        <w:rPr>
          <w:rFonts w:hint="eastAsia" w:ascii="仿宋" w:hAnsi="仿宋" w:eastAsia="仿宋" w:cs="仿宋"/>
          <w:b w:val="0"/>
          <w:bCs w:val="0"/>
          <w:sz w:val="32"/>
          <w:szCs w:val="32"/>
        </w:rPr>
        <w:t>要求</w:t>
      </w:r>
      <w:r>
        <w:rPr>
          <w:rFonts w:hint="eastAsia" w:ascii="仿宋" w:hAnsi="仿宋" w:eastAsia="仿宋" w:cs="仿宋"/>
          <w:b w:val="0"/>
          <w:bCs w:val="0"/>
          <w:sz w:val="32"/>
          <w:szCs w:val="32"/>
          <w:lang w:eastAsia="zh-CN"/>
        </w:rPr>
        <w:t>：</w:t>
      </w:r>
    </w:p>
    <w:p>
      <w:pPr>
        <w:pStyle w:val="13"/>
        <w:keepNext w:val="0"/>
        <w:keepLines w:val="0"/>
        <w:pageBreakBefore w:val="0"/>
        <w:widowControl w:val="0"/>
        <w:numPr>
          <w:ilvl w:val="0"/>
          <w:numId w:val="0"/>
        </w:numPr>
        <w:kinsoku/>
        <w:wordWrap/>
        <w:overflowPunct/>
        <w:topLinePunct w:val="0"/>
        <w:bidi w:val="0"/>
        <w:spacing w:line="400" w:lineRule="exact"/>
        <w:ind w:right="0" w:rightChars="0" w:firstLine="640"/>
        <w:jc w:val="both"/>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一、</w:t>
      </w:r>
      <w:r>
        <w:rPr>
          <w:rFonts w:hint="eastAsia" w:ascii="仿宋" w:hAnsi="仿宋" w:eastAsia="仿宋" w:cs="仿宋"/>
          <w:b w:val="0"/>
          <w:bCs w:val="0"/>
          <w:sz w:val="32"/>
          <w:szCs w:val="32"/>
        </w:rPr>
        <w:t>必备的生产设备（根据生产工艺需求）</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原料处理设备：不锈钢、瓷砖贴面水槽或清洗机等；杀菌设备设施；培育设备：孵化箱（桶）、孵化自动喷淋装置、自动温湿度监控设备等；清洗设备设施：清洗脱壳设备设施等；包装设备设施：包装设备设施、生产日期打印装置、计量称重设备、封口设备等；温控设备设施：包装车间应有温度控制及监控设备设施。</w:t>
      </w:r>
    </w:p>
    <w:p>
      <w:pPr>
        <w:keepNext w:val="0"/>
        <w:keepLines w:val="0"/>
        <w:pageBreakBefore w:val="0"/>
        <w:kinsoku/>
        <w:wordWrap/>
        <w:overflowPunct/>
        <w:topLinePunct w:val="0"/>
        <w:bidi w:val="0"/>
        <w:spacing w:line="400" w:lineRule="exact"/>
        <w:ind w:right="0" w:rightChars="0" w:firstLine="640" w:firstLineChars="20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直接接触食品的生产加工设备、设施及用具均应采用无毒、无害、耐腐蚀、不生锈、易清洗消毒，不易滋生微生物的材料制成，不锈钢材质应符合GB4806.9，塑料容器应为食品级。</w:t>
      </w:r>
    </w:p>
    <w:p>
      <w:pPr>
        <w:keepNext w:val="0"/>
        <w:keepLines w:val="0"/>
        <w:pageBreakBefore w:val="0"/>
        <w:kinsoku/>
        <w:wordWrap/>
        <w:overflowPunct/>
        <w:topLinePunct w:val="0"/>
        <w:bidi w:val="0"/>
        <w:spacing w:line="400" w:lineRule="exact"/>
        <w:ind w:right="0" w:rightChars="0" w:firstLine="640" w:firstLineChars="20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二、</w:t>
      </w:r>
      <w:r>
        <w:rPr>
          <w:rFonts w:hint="eastAsia" w:ascii="仿宋" w:hAnsi="仿宋" w:eastAsia="仿宋" w:cs="仿宋"/>
          <w:b w:val="0"/>
          <w:bCs w:val="0"/>
          <w:sz w:val="32"/>
          <w:szCs w:val="32"/>
        </w:rPr>
        <w:t>必备的检验设备</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检验设备的数量应与企业生产能力相适应，检验仪器设备和检验用计量器具应按照相关规定定期进行校验。必备出厂检验设备包括：天平（0.1g）。</w:t>
      </w:r>
    </w:p>
    <w:p>
      <w:pPr>
        <w:pStyle w:val="13"/>
        <w:keepNext w:val="0"/>
        <w:keepLines w:val="0"/>
        <w:pageBreakBefore w:val="0"/>
        <w:kinsoku/>
        <w:wordWrap/>
        <w:overflowPunct/>
        <w:topLinePunct w:val="0"/>
        <w:bidi w:val="0"/>
        <w:spacing w:line="400" w:lineRule="exact"/>
        <w:ind w:left="0" w:leftChars="0" w:right="0" w:rightChars="0" w:firstLine="640" w:firstLineChars="0"/>
        <w:textAlignment w:val="auto"/>
        <w:outlineLvl w:val="9"/>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第七条</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sz w:val="32"/>
          <w:szCs w:val="32"/>
        </w:rPr>
        <w:t>设备布局、基本工艺流程、关键控制点</w:t>
      </w:r>
      <w:r>
        <w:rPr>
          <w:rFonts w:hint="eastAsia" w:ascii="仿宋" w:hAnsi="仿宋" w:eastAsia="仿宋" w:cs="仿宋"/>
          <w:b w:val="0"/>
          <w:bCs w:val="0"/>
          <w:sz w:val="32"/>
          <w:szCs w:val="32"/>
          <w:lang w:eastAsia="zh-CN"/>
        </w:rPr>
        <w:t>审查。</w:t>
      </w:r>
    </w:p>
    <w:p>
      <w:pPr>
        <w:pStyle w:val="13"/>
        <w:keepNext w:val="0"/>
        <w:keepLines w:val="0"/>
        <w:pageBreakBefore w:val="0"/>
        <w:kinsoku/>
        <w:wordWrap/>
        <w:overflowPunct/>
        <w:topLinePunct w:val="0"/>
        <w:bidi w:val="0"/>
        <w:spacing w:line="400" w:lineRule="exact"/>
        <w:ind w:left="0" w:leftChars="0" w:right="0" w:rightChars="0" w:firstLine="640" w:firstLineChars="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一、</w:t>
      </w:r>
      <w:r>
        <w:rPr>
          <w:rFonts w:hint="eastAsia" w:ascii="仿宋" w:hAnsi="仿宋" w:eastAsia="仿宋" w:cs="仿宋"/>
          <w:b w:val="0"/>
          <w:bCs w:val="0"/>
          <w:sz w:val="32"/>
          <w:szCs w:val="32"/>
        </w:rPr>
        <w:t>设备布局</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设备的布局应当符合工艺和《食品安全国家标准 食品生产通用卫生规范》</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GB14881</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的要求。</w:t>
      </w:r>
    </w:p>
    <w:p>
      <w:pPr>
        <w:pStyle w:val="13"/>
        <w:keepNext w:val="0"/>
        <w:keepLines w:val="0"/>
        <w:pageBreakBefore w:val="0"/>
        <w:kinsoku/>
        <w:wordWrap/>
        <w:overflowPunct/>
        <w:topLinePunct w:val="0"/>
        <w:bidi w:val="0"/>
        <w:spacing w:line="400" w:lineRule="exact"/>
        <w:ind w:left="0" w:leftChars="0" w:right="0" w:rightChars="0" w:firstLine="640" w:firstLineChars="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二、</w:t>
      </w:r>
      <w:r>
        <w:rPr>
          <w:rFonts w:hint="eastAsia" w:ascii="仿宋" w:hAnsi="仿宋" w:eastAsia="仿宋" w:cs="仿宋"/>
          <w:b w:val="0"/>
          <w:bCs w:val="0"/>
          <w:sz w:val="32"/>
          <w:szCs w:val="32"/>
        </w:rPr>
        <w:t>基本工艺流程</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原料→筛选→洗豆→杀菌→浸豆→机械控温培育→采收→清洗→包装→成品（冷藏）</w:t>
      </w:r>
    </w:p>
    <w:p>
      <w:pPr>
        <w:pStyle w:val="13"/>
        <w:keepNext w:val="0"/>
        <w:keepLines w:val="0"/>
        <w:pageBreakBefore w:val="0"/>
        <w:kinsoku/>
        <w:wordWrap/>
        <w:overflowPunct/>
        <w:topLinePunct w:val="0"/>
        <w:bidi w:val="0"/>
        <w:spacing w:line="400" w:lineRule="exact"/>
        <w:ind w:left="0" w:leftChars="0" w:right="0" w:rightChars="0" w:firstLine="640" w:firstLineChars="0"/>
        <w:textAlignment w:val="auto"/>
        <w:outlineLvl w:val="9"/>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三、</w:t>
      </w:r>
      <w:r>
        <w:rPr>
          <w:rFonts w:hint="eastAsia" w:ascii="仿宋" w:hAnsi="仿宋" w:eastAsia="仿宋" w:cs="仿宋"/>
          <w:b w:val="0"/>
          <w:bCs w:val="0"/>
          <w:sz w:val="32"/>
          <w:szCs w:val="32"/>
        </w:rPr>
        <w:t>关键控制环节</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选料和清洗</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杀菌方式和时间、杀菌剂品种和浓度</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洗涤剂、消毒剂的使用</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机械控温培育时间、喷淋频次、温湿度控制</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生产加工中环境卫生控制</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成品的包装与贮运条件</w:t>
      </w:r>
      <w:r>
        <w:rPr>
          <w:rFonts w:hint="eastAsia" w:ascii="仿宋" w:hAnsi="仿宋" w:eastAsia="仿宋" w:cs="仿宋"/>
          <w:b w:val="0"/>
          <w:bCs w:val="0"/>
          <w:sz w:val="32"/>
          <w:szCs w:val="32"/>
          <w:lang w:eastAsia="zh-CN"/>
        </w:rPr>
        <w:t>。</w:t>
      </w:r>
    </w:p>
    <w:p>
      <w:pPr>
        <w:pStyle w:val="13"/>
        <w:keepNext w:val="0"/>
        <w:keepLines w:val="0"/>
        <w:pageBreakBefore w:val="0"/>
        <w:kinsoku/>
        <w:wordWrap/>
        <w:overflowPunct/>
        <w:topLinePunct w:val="0"/>
        <w:bidi w:val="0"/>
        <w:spacing w:line="400" w:lineRule="exact"/>
        <w:ind w:left="0" w:leftChars="0" w:right="0" w:rightChars="0" w:firstLine="0" w:firstLine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第三章</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sz w:val="32"/>
          <w:szCs w:val="32"/>
        </w:rPr>
        <w:t>原辅材料的有关要求</w:t>
      </w:r>
    </w:p>
    <w:p>
      <w:pPr>
        <w:keepNext w:val="0"/>
        <w:keepLines w:val="0"/>
        <w:pageBreakBefore w:val="0"/>
        <w:kinsoku/>
        <w:wordWrap/>
        <w:overflowPunct/>
        <w:topLinePunct w:val="0"/>
        <w:bidi w:val="0"/>
        <w:spacing w:line="400" w:lineRule="exact"/>
        <w:ind w:right="0" w:rightChars="0" w:firstLine="64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第八条</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sz w:val="32"/>
          <w:szCs w:val="32"/>
        </w:rPr>
        <w:t>企业生产豆芽所使用的大豆、绿豆等豆类及包装材料必须符合国家标准、行业标准及有关规定，原材料中涉及生产许可证管理的产品必须采购获证企业的合格产品。</w:t>
      </w:r>
    </w:p>
    <w:p>
      <w:pPr>
        <w:keepNext w:val="0"/>
        <w:keepLines w:val="0"/>
        <w:pageBreakBefore w:val="0"/>
        <w:kinsoku/>
        <w:wordWrap/>
        <w:overflowPunct/>
        <w:topLinePunct w:val="0"/>
        <w:bidi w:val="0"/>
        <w:spacing w:line="400" w:lineRule="exact"/>
        <w:ind w:right="0" w:rightChars="0" w:firstLine="64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第九条</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sz w:val="32"/>
          <w:szCs w:val="32"/>
        </w:rPr>
        <w:t>豆芽生产过程中不得使用未经国家批准的农药、化肥、植物生长调节剂、抗生素等化学药剂以及不符合GB 2760规定的食品添加剂。</w:t>
      </w:r>
    </w:p>
    <w:p>
      <w:pPr>
        <w:keepNext w:val="0"/>
        <w:keepLines w:val="0"/>
        <w:pageBreakBefore w:val="0"/>
        <w:kinsoku/>
        <w:wordWrap/>
        <w:overflowPunct/>
        <w:topLinePunct w:val="0"/>
        <w:bidi w:val="0"/>
        <w:spacing w:line="400" w:lineRule="exact"/>
        <w:ind w:right="0" w:rightChars="0" w:firstLine="64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第十条</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sz w:val="32"/>
          <w:szCs w:val="32"/>
        </w:rPr>
        <w:t>生产加工用水应符合GB 5749《生活饮用水卫生标准》的规定。</w:t>
      </w:r>
    </w:p>
    <w:p>
      <w:pPr>
        <w:keepNext w:val="0"/>
        <w:keepLines w:val="0"/>
        <w:pageBreakBefore w:val="0"/>
        <w:tabs>
          <w:tab w:val="left" w:pos="0"/>
          <w:tab w:val="left" w:pos="425"/>
        </w:tabs>
        <w:kinsoku/>
        <w:wordWrap/>
        <w:overflowPunct/>
        <w:topLinePunct w:val="0"/>
        <w:bidi w:val="0"/>
        <w:snapToGrid/>
        <w:spacing w:line="420" w:lineRule="exact"/>
        <w:ind w:right="0" w:rightChars="0" w:firstLine="640" w:firstLineChars="200"/>
        <w:textAlignment w:val="auto"/>
        <w:outlineLvl w:val="3"/>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第十一条</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color w:val="000000"/>
          <w:sz w:val="32"/>
          <w:szCs w:val="32"/>
        </w:rPr>
        <w:t>企业使用的洗涤剂、消毒剂以及对环境场所进行消毒、杀菌的方式应安全可靠，符合</w:t>
      </w:r>
      <w:r>
        <w:rPr>
          <w:rFonts w:hint="eastAsia" w:ascii="仿宋" w:hAnsi="仿宋" w:eastAsia="仿宋" w:cs="仿宋"/>
          <w:b w:val="0"/>
          <w:bCs w:val="0"/>
          <w:sz w:val="32"/>
          <w:szCs w:val="32"/>
        </w:rPr>
        <w:t>国家相关标准</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对人体安全无害。</w:t>
      </w:r>
      <w:r>
        <w:rPr>
          <w:rFonts w:hint="eastAsia" w:ascii="仿宋" w:hAnsi="仿宋" w:eastAsia="仿宋" w:cs="仿宋"/>
          <w:b w:val="0"/>
          <w:bCs w:val="0"/>
          <w:kern w:val="0"/>
          <w:sz w:val="32"/>
          <w:szCs w:val="32"/>
        </w:rPr>
        <w:t>不得采用甲醛、高锰酸钾熏蒸方式对环境</w:t>
      </w:r>
      <w:r>
        <w:rPr>
          <w:rFonts w:hint="eastAsia" w:ascii="仿宋" w:hAnsi="仿宋" w:eastAsia="仿宋" w:cs="仿宋"/>
          <w:b w:val="0"/>
          <w:bCs w:val="0"/>
          <w:kern w:val="0"/>
          <w:sz w:val="32"/>
          <w:szCs w:val="32"/>
          <w:lang w:eastAsia="zh-CN"/>
        </w:rPr>
        <w:t>场所</w:t>
      </w:r>
      <w:r>
        <w:rPr>
          <w:rFonts w:hint="eastAsia" w:ascii="仿宋" w:hAnsi="仿宋" w:eastAsia="仿宋" w:cs="仿宋"/>
          <w:b w:val="0"/>
          <w:bCs w:val="0"/>
          <w:kern w:val="0"/>
          <w:sz w:val="32"/>
          <w:szCs w:val="32"/>
        </w:rPr>
        <w:t>进行消毒杀菌。</w:t>
      </w:r>
    </w:p>
    <w:p>
      <w:pPr>
        <w:keepNext w:val="0"/>
        <w:keepLines w:val="0"/>
        <w:pageBreakBefore w:val="0"/>
        <w:kinsoku/>
        <w:wordWrap/>
        <w:overflowPunct/>
        <w:topLinePunct w:val="0"/>
        <w:bidi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第四章</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sz w:val="32"/>
          <w:szCs w:val="32"/>
        </w:rPr>
        <w:t>标签和标志、包装、贮存、运输</w:t>
      </w:r>
    </w:p>
    <w:p>
      <w:pPr>
        <w:keepNext w:val="0"/>
        <w:keepLines w:val="0"/>
        <w:pageBreakBefore w:val="0"/>
        <w:kinsoku/>
        <w:wordWrap/>
        <w:overflowPunct/>
        <w:topLinePunct w:val="0"/>
        <w:bidi w:val="0"/>
        <w:spacing w:line="400" w:lineRule="exact"/>
        <w:ind w:right="0" w:rightChars="0" w:firstLine="627" w:firstLineChars="196"/>
        <w:textAlignment w:val="auto"/>
        <w:outlineLvl w:val="9"/>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lang w:eastAsia="zh-CN"/>
        </w:rPr>
        <w:t>第十二条</w:t>
      </w:r>
      <w:r>
        <w:rPr>
          <w:rFonts w:hint="eastAsia" w:ascii="仿宋" w:hAnsi="仿宋" w:eastAsia="仿宋" w:cs="仿宋"/>
          <w:b w:val="0"/>
          <w:bCs w:val="0"/>
          <w:color w:val="000000"/>
          <w:sz w:val="32"/>
          <w:szCs w:val="32"/>
          <w:lang w:val="en-US" w:eastAsia="zh-CN"/>
        </w:rPr>
        <w:t xml:space="preserve"> </w:t>
      </w:r>
      <w:r>
        <w:rPr>
          <w:rFonts w:hint="eastAsia" w:ascii="仿宋" w:hAnsi="仿宋" w:eastAsia="仿宋" w:cs="仿宋"/>
          <w:b w:val="0"/>
          <w:bCs w:val="0"/>
          <w:color w:val="000000"/>
          <w:sz w:val="32"/>
          <w:szCs w:val="32"/>
        </w:rPr>
        <w:t>工业化豆芽的标签应符合</w:t>
      </w:r>
      <w:r>
        <w:rPr>
          <w:rFonts w:hint="eastAsia" w:ascii="仿宋" w:hAnsi="仿宋" w:eastAsia="仿宋" w:cs="仿宋"/>
          <w:b w:val="0"/>
          <w:bCs w:val="0"/>
          <w:sz w:val="32"/>
          <w:szCs w:val="32"/>
        </w:rPr>
        <w:t>GB 7718《食品安全国家标准 预包装食品标签通则》和GB 28050《食品安全国家标准 预包装食品营养标签通则》</w:t>
      </w:r>
      <w:r>
        <w:rPr>
          <w:rFonts w:hint="eastAsia" w:ascii="仿宋" w:hAnsi="仿宋" w:eastAsia="仿宋" w:cs="仿宋"/>
          <w:b w:val="0"/>
          <w:bCs w:val="0"/>
          <w:color w:val="000000"/>
          <w:sz w:val="32"/>
          <w:szCs w:val="32"/>
        </w:rPr>
        <w:t>的规定。豆芽包装后立即移至成品冷藏库，贮存冷藏库库温</w:t>
      </w:r>
      <w:r>
        <w:rPr>
          <w:rFonts w:hint="eastAsia" w:ascii="仿宋" w:hAnsi="仿宋" w:eastAsia="仿宋" w:cs="仿宋"/>
          <w:b w:val="0"/>
          <w:bCs w:val="0"/>
          <w:sz w:val="32"/>
          <w:szCs w:val="32"/>
        </w:rPr>
        <w:t>应在2℃~6℃</w:t>
      </w:r>
      <w:r>
        <w:rPr>
          <w:rFonts w:hint="eastAsia" w:ascii="仿宋" w:hAnsi="仿宋" w:eastAsia="仿宋" w:cs="仿宋"/>
          <w:b w:val="0"/>
          <w:bCs w:val="0"/>
          <w:color w:val="000000"/>
          <w:sz w:val="32"/>
          <w:szCs w:val="32"/>
        </w:rPr>
        <w:t>范围内。</w:t>
      </w:r>
    </w:p>
    <w:p>
      <w:pPr>
        <w:keepNext w:val="0"/>
        <w:keepLines w:val="0"/>
        <w:pageBreakBefore w:val="0"/>
        <w:kinsoku/>
        <w:wordWrap/>
        <w:overflowPunct/>
        <w:topLinePunct w:val="0"/>
        <w:bidi w:val="0"/>
        <w:spacing w:line="400" w:lineRule="exact"/>
        <w:ind w:right="0" w:rightChars="0" w:firstLine="627" w:firstLineChars="196"/>
        <w:textAlignment w:val="auto"/>
        <w:outlineLvl w:val="9"/>
        <w:rPr>
          <w:rFonts w:hint="eastAsia" w:ascii="仿宋" w:hAnsi="仿宋" w:eastAsia="仿宋" w:cs="仿宋"/>
          <w:b w:val="0"/>
          <w:bCs w:val="0"/>
          <w:color w:val="000000"/>
          <w:sz w:val="32"/>
          <w:szCs w:val="32"/>
        </w:rPr>
      </w:pPr>
      <w:r>
        <w:rPr>
          <w:rFonts w:hint="eastAsia" w:ascii="仿宋" w:hAnsi="仿宋" w:eastAsia="仿宋" w:cs="仿宋"/>
          <w:b w:val="0"/>
          <w:bCs w:val="0"/>
          <w:color w:val="000000"/>
          <w:sz w:val="32"/>
          <w:szCs w:val="32"/>
          <w:lang w:eastAsia="zh-CN"/>
        </w:rPr>
        <w:t>第十三条</w:t>
      </w:r>
      <w:r>
        <w:rPr>
          <w:rFonts w:hint="eastAsia" w:ascii="仿宋" w:hAnsi="仿宋" w:eastAsia="仿宋" w:cs="仿宋"/>
          <w:b w:val="0"/>
          <w:bCs w:val="0"/>
          <w:color w:val="000000"/>
          <w:sz w:val="32"/>
          <w:szCs w:val="32"/>
          <w:lang w:val="en-US" w:eastAsia="zh-CN"/>
        </w:rPr>
        <w:t xml:space="preserve"> </w:t>
      </w:r>
      <w:r>
        <w:rPr>
          <w:rFonts w:hint="eastAsia" w:ascii="仿宋" w:hAnsi="仿宋" w:eastAsia="仿宋" w:cs="仿宋"/>
          <w:b w:val="0"/>
          <w:bCs w:val="0"/>
          <w:color w:val="000000"/>
          <w:sz w:val="32"/>
          <w:szCs w:val="32"/>
        </w:rPr>
        <w:t>工业化豆芽的包装容器及其材料应符合相关的国家标准和行业标准。销售的包装应完整、不易散包。</w:t>
      </w:r>
    </w:p>
    <w:p>
      <w:pPr>
        <w:keepNext w:val="0"/>
        <w:keepLines w:val="0"/>
        <w:pageBreakBefore w:val="0"/>
        <w:kinsoku/>
        <w:wordWrap/>
        <w:overflowPunct/>
        <w:topLinePunct w:val="0"/>
        <w:bidi w:val="0"/>
        <w:spacing w:line="400" w:lineRule="exact"/>
        <w:ind w:right="0" w:rightChars="0" w:firstLine="627" w:firstLineChars="196"/>
        <w:textAlignment w:val="auto"/>
        <w:outlineLvl w:val="9"/>
        <w:rPr>
          <w:rFonts w:hint="eastAsia" w:ascii="仿宋" w:hAnsi="仿宋" w:eastAsia="仿宋" w:cs="仿宋"/>
          <w:b w:val="0"/>
          <w:bCs w:val="0"/>
          <w:sz w:val="32"/>
          <w:szCs w:val="32"/>
          <w:highlight w:val="green"/>
        </w:rPr>
      </w:pPr>
      <w:r>
        <w:rPr>
          <w:rFonts w:hint="eastAsia" w:ascii="仿宋" w:hAnsi="仿宋" w:eastAsia="仿宋" w:cs="仿宋"/>
          <w:b w:val="0"/>
          <w:bCs w:val="0"/>
          <w:color w:val="000000"/>
          <w:sz w:val="32"/>
          <w:szCs w:val="32"/>
          <w:lang w:eastAsia="zh-CN"/>
        </w:rPr>
        <w:t>第十四条</w:t>
      </w:r>
      <w:r>
        <w:rPr>
          <w:rFonts w:hint="eastAsia" w:ascii="仿宋" w:hAnsi="仿宋" w:eastAsia="仿宋" w:cs="仿宋"/>
          <w:b w:val="0"/>
          <w:bCs w:val="0"/>
          <w:color w:val="000000"/>
          <w:sz w:val="32"/>
          <w:szCs w:val="32"/>
          <w:lang w:val="en-US" w:eastAsia="zh-CN"/>
        </w:rPr>
        <w:t xml:space="preserve"> </w:t>
      </w:r>
      <w:r>
        <w:rPr>
          <w:rFonts w:hint="eastAsia" w:ascii="仿宋" w:hAnsi="仿宋" w:eastAsia="仿宋" w:cs="仿宋"/>
          <w:b w:val="0"/>
          <w:bCs w:val="0"/>
          <w:color w:val="000000"/>
          <w:sz w:val="32"/>
          <w:szCs w:val="32"/>
        </w:rPr>
        <w:t>工业化豆芽运输工具应配有空调</w:t>
      </w:r>
      <w:r>
        <w:rPr>
          <w:rFonts w:hint="eastAsia" w:ascii="仿宋" w:hAnsi="仿宋" w:eastAsia="仿宋" w:cs="仿宋"/>
          <w:b w:val="0"/>
          <w:bCs w:val="0"/>
          <w:sz w:val="32"/>
          <w:szCs w:val="32"/>
        </w:rPr>
        <w:t>或其他保温设施，并具有温度监控设备，保持清洁、干燥，并应定期清洗、消毒，不得与腐蚀性、有毒、有害物品混运。</w:t>
      </w:r>
    </w:p>
    <w:p>
      <w:pPr>
        <w:pStyle w:val="20"/>
        <w:keepNext w:val="0"/>
        <w:keepLines w:val="0"/>
        <w:pageBreakBefore w:val="0"/>
        <w:numPr>
          <w:ilvl w:val="0"/>
          <w:numId w:val="0"/>
        </w:numPr>
        <w:tabs>
          <w:tab w:val="left" w:pos="8820"/>
        </w:tabs>
        <w:kinsoku/>
        <w:wordWrap/>
        <w:overflowPunct/>
        <w:topLinePunct w:val="0"/>
        <w:bidi w:val="0"/>
        <w:snapToGrid/>
        <w:spacing w:before="240" w:line="420" w:lineRule="exact"/>
        <w:ind w:leftChars="0" w:right="0" w:rightChars="0"/>
        <w:jc w:val="center"/>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eastAsia="zh-CN"/>
        </w:rPr>
        <w:t>第五章</w:t>
      </w:r>
      <w:r>
        <w:rPr>
          <w:rFonts w:hint="eastAsia" w:ascii="仿宋" w:hAnsi="仿宋" w:eastAsia="仿宋" w:cs="仿宋"/>
          <w:b w:val="0"/>
          <w:bCs w:val="0"/>
          <w:kern w:val="0"/>
          <w:sz w:val="32"/>
          <w:szCs w:val="32"/>
          <w:lang w:val="en-US" w:eastAsia="zh-CN"/>
        </w:rPr>
        <w:t xml:space="preserve"> </w:t>
      </w:r>
      <w:r>
        <w:rPr>
          <w:rFonts w:hint="eastAsia" w:ascii="仿宋" w:hAnsi="仿宋" w:eastAsia="仿宋" w:cs="仿宋"/>
          <w:b w:val="0"/>
          <w:bCs w:val="0"/>
          <w:kern w:val="0"/>
          <w:sz w:val="32"/>
          <w:szCs w:val="32"/>
        </w:rPr>
        <w:t>试制产品检验合格报告</w:t>
      </w:r>
    </w:p>
    <w:p>
      <w:pPr>
        <w:keepNext w:val="0"/>
        <w:keepLines w:val="0"/>
        <w:pageBreakBefore w:val="0"/>
        <w:kinsoku/>
        <w:wordWrap/>
        <w:overflowPunct/>
        <w:topLinePunct w:val="0"/>
        <w:bidi w:val="0"/>
        <w:snapToGrid/>
        <w:spacing w:line="420" w:lineRule="exact"/>
        <w:ind w:right="0" w:rightChars="0" w:firstLine="643" w:firstLineChars="20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kern w:val="0"/>
          <w:sz w:val="32"/>
          <w:szCs w:val="32"/>
        </w:rPr>
        <w:t>第十</w:t>
      </w:r>
      <w:r>
        <w:rPr>
          <w:rFonts w:hint="eastAsia" w:ascii="仿宋" w:hAnsi="仿宋" w:eastAsia="仿宋" w:cs="仿宋"/>
          <w:b w:val="0"/>
          <w:bCs w:val="0"/>
          <w:kern w:val="0"/>
          <w:sz w:val="32"/>
          <w:szCs w:val="32"/>
          <w:lang w:eastAsia="zh-CN"/>
        </w:rPr>
        <w:t>五</w:t>
      </w:r>
      <w:r>
        <w:rPr>
          <w:rFonts w:hint="eastAsia" w:ascii="仿宋" w:hAnsi="仿宋" w:eastAsia="仿宋" w:cs="仿宋"/>
          <w:b w:val="0"/>
          <w:bCs w:val="0"/>
          <w:kern w:val="0"/>
          <w:sz w:val="32"/>
          <w:szCs w:val="32"/>
        </w:rPr>
        <w:t xml:space="preserve">条 </w:t>
      </w:r>
      <w:r>
        <w:rPr>
          <w:rFonts w:hint="eastAsia" w:ascii="仿宋" w:hAnsi="仿宋" w:eastAsia="仿宋" w:cs="仿宋"/>
          <w:b w:val="0"/>
          <w:bCs w:val="0"/>
          <w:sz w:val="32"/>
          <w:szCs w:val="32"/>
        </w:rPr>
        <w:t>企业提供试制产品的有资质第三方检验合格报告，</w:t>
      </w:r>
      <w:r>
        <w:rPr>
          <w:rFonts w:hint="eastAsia" w:ascii="仿宋" w:hAnsi="仿宋" w:eastAsia="仿宋" w:cs="仿宋"/>
          <w:b w:val="0"/>
          <w:bCs w:val="0"/>
          <w:kern w:val="0"/>
          <w:sz w:val="32"/>
          <w:szCs w:val="32"/>
        </w:rPr>
        <w:t>检验项目应涵盖附表中的全部项目</w:t>
      </w:r>
      <w:r>
        <w:rPr>
          <w:rFonts w:hint="eastAsia" w:ascii="仿宋" w:hAnsi="仿宋" w:eastAsia="仿宋" w:cs="仿宋"/>
          <w:b w:val="0"/>
          <w:bCs w:val="0"/>
          <w:sz w:val="32"/>
          <w:szCs w:val="32"/>
        </w:rPr>
        <w:t>。出厂检验</w:t>
      </w:r>
      <w:r>
        <w:rPr>
          <w:rFonts w:hint="eastAsia" w:ascii="仿宋" w:hAnsi="仿宋" w:eastAsia="仿宋" w:cs="仿宋"/>
          <w:b w:val="0"/>
          <w:bCs w:val="0"/>
          <w:sz w:val="32"/>
          <w:szCs w:val="32"/>
          <w:lang w:eastAsia="zh-CN"/>
        </w:rPr>
        <w:t>项目中</w:t>
      </w:r>
      <w:r>
        <w:rPr>
          <w:rFonts w:hint="eastAsia" w:ascii="仿宋" w:hAnsi="仿宋" w:eastAsia="仿宋" w:cs="仿宋"/>
          <w:b w:val="0"/>
          <w:bCs w:val="0"/>
          <w:sz w:val="32"/>
          <w:szCs w:val="32"/>
        </w:rPr>
        <w:t>注有“*”标记的，企业应当每年检验2次。</w:t>
      </w:r>
    </w:p>
    <w:p>
      <w:pPr>
        <w:keepNext w:val="0"/>
        <w:keepLines w:val="0"/>
        <w:pageBreakBefore w:val="0"/>
        <w:kinsoku/>
        <w:wordWrap/>
        <w:overflowPunct/>
        <w:topLinePunct w:val="0"/>
        <w:bidi w:val="0"/>
        <w:snapToGrid/>
        <w:spacing w:line="420" w:lineRule="exact"/>
        <w:ind w:right="0" w:rightChars="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sz w:val="32"/>
          <w:szCs w:val="32"/>
          <w:lang w:eastAsia="zh-CN"/>
        </w:rPr>
        <w:t>第十六条</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sz w:val="32"/>
          <w:szCs w:val="32"/>
        </w:rPr>
        <w:t>企业可以采用国家规定的快速检测方法对产品进行检测，但应保持检测结果准确。企业使用的快速检测方法及设备应每月与食品安全国家标准规定的检验方法进行比对或者验证。快速检测结果呈阳性时，应使用食品安全国家标准规定的检验方法进行复检。</w:t>
      </w:r>
    </w:p>
    <w:p>
      <w:pPr>
        <w:pStyle w:val="20"/>
        <w:keepNext w:val="0"/>
        <w:keepLines w:val="0"/>
        <w:pageBreakBefore w:val="0"/>
        <w:numPr>
          <w:ilvl w:val="0"/>
          <w:numId w:val="0"/>
        </w:numPr>
        <w:tabs>
          <w:tab w:val="left" w:pos="8820"/>
        </w:tabs>
        <w:kinsoku/>
        <w:wordWrap/>
        <w:overflowPunct/>
        <w:topLinePunct w:val="0"/>
        <w:bidi w:val="0"/>
        <w:snapToGrid/>
        <w:spacing w:before="240" w:line="420" w:lineRule="exact"/>
        <w:ind w:leftChars="0" w:right="0" w:rightChars="0"/>
        <w:jc w:val="center"/>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eastAsia="zh-CN"/>
        </w:rPr>
        <w:t>第六章</w:t>
      </w:r>
      <w:r>
        <w:rPr>
          <w:rFonts w:hint="eastAsia" w:ascii="仿宋" w:hAnsi="仿宋" w:eastAsia="仿宋" w:cs="仿宋"/>
          <w:b w:val="0"/>
          <w:bCs w:val="0"/>
          <w:kern w:val="0"/>
          <w:sz w:val="32"/>
          <w:szCs w:val="32"/>
          <w:lang w:val="en-US" w:eastAsia="zh-CN"/>
        </w:rPr>
        <w:t xml:space="preserve"> </w:t>
      </w:r>
      <w:r>
        <w:rPr>
          <w:rFonts w:hint="eastAsia" w:ascii="仿宋" w:hAnsi="仿宋" w:eastAsia="仿宋" w:cs="仿宋"/>
          <w:b w:val="0"/>
          <w:bCs w:val="0"/>
          <w:kern w:val="0"/>
          <w:sz w:val="32"/>
          <w:szCs w:val="32"/>
        </w:rPr>
        <w:t>附则</w:t>
      </w:r>
    </w:p>
    <w:p>
      <w:pPr>
        <w:keepNext w:val="0"/>
        <w:keepLines w:val="0"/>
        <w:pageBreakBefore w:val="0"/>
        <w:kinsoku/>
        <w:wordWrap/>
        <w:overflowPunct/>
        <w:topLinePunct w:val="0"/>
        <w:bidi w:val="0"/>
        <w:snapToGrid/>
        <w:spacing w:line="420" w:lineRule="exact"/>
        <w:ind w:right="0" w:rightChars="0" w:firstLine="643" w:firstLineChars="200"/>
        <w:textAlignment w:val="auto"/>
        <w:outlineLvl w:val="9"/>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第十</w:t>
      </w:r>
      <w:r>
        <w:rPr>
          <w:rFonts w:hint="eastAsia" w:ascii="仿宋" w:hAnsi="仿宋" w:eastAsia="仿宋" w:cs="仿宋"/>
          <w:b w:val="0"/>
          <w:bCs w:val="0"/>
          <w:kern w:val="0"/>
          <w:sz w:val="32"/>
          <w:szCs w:val="32"/>
          <w:lang w:eastAsia="zh-CN"/>
        </w:rPr>
        <w:t>七</w:t>
      </w:r>
      <w:r>
        <w:rPr>
          <w:rFonts w:hint="eastAsia" w:ascii="仿宋" w:hAnsi="仿宋" w:eastAsia="仿宋" w:cs="仿宋"/>
          <w:b w:val="0"/>
          <w:bCs w:val="0"/>
          <w:kern w:val="0"/>
          <w:sz w:val="32"/>
          <w:szCs w:val="32"/>
        </w:rPr>
        <w:t xml:space="preserve">条 </w:t>
      </w:r>
      <w:r>
        <w:rPr>
          <w:rFonts w:hint="eastAsia" w:ascii="仿宋" w:hAnsi="仿宋" w:eastAsia="仿宋" w:cs="仿宋"/>
          <w:b w:val="0"/>
          <w:bCs w:val="0"/>
          <w:sz w:val="32"/>
          <w:szCs w:val="32"/>
        </w:rPr>
        <w:t>本类产品不允许分装</w:t>
      </w:r>
      <w:r>
        <w:rPr>
          <w:rFonts w:hint="eastAsia" w:ascii="仿宋" w:hAnsi="仿宋" w:eastAsia="仿宋" w:cs="仿宋"/>
          <w:b w:val="0"/>
          <w:bCs w:val="0"/>
          <w:color w:val="0000FF"/>
          <w:sz w:val="32"/>
          <w:szCs w:val="32"/>
        </w:rPr>
        <w:t>。</w:t>
      </w:r>
    </w:p>
    <w:p>
      <w:pPr>
        <w:keepNext w:val="0"/>
        <w:keepLines w:val="0"/>
        <w:pageBreakBefore w:val="0"/>
        <w:kinsoku/>
        <w:wordWrap/>
        <w:overflowPunct/>
        <w:topLinePunct w:val="0"/>
        <w:bidi w:val="0"/>
        <w:spacing w:line="400" w:lineRule="exact"/>
        <w:ind w:right="0" w:rightChars="0" w:firstLine="640" w:firstLineChars="20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第十八条</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kern w:val="0"/>
          <w:sz w:val="32"/>
          <w:szCs w:val="32"/>
        </w:rPr>
        <w:t>本</w:t>
      </w:r>
      <w:r>
        <w:rPr>
          <w:rFonts w:hint="eastAsia" w:ascii="仿宋" w:hAnsi="仿宋" w:eastAsia="仿宋" w:cs="仿宋"/>
          <w:b w:val="0"/>
          <w:bCs w:val="0"/>
          <w:kern w:val="0"/>
          <w:sz w:val="32"/>
          <w:szCs w:val="32"/>
          <w:lang w:eastAsia="zh-CN"/>
        </w:rPr>
        <w:t>规范</w:t>
      </w:r>
      <w:r>
        <w:rPr>
          <w:rFonts w:hint="eastAsia" w:ascii="仿宋" w:hAnsi="仿宋" w:eastAsia="仿宋" w:cs="仿宋"/>
          <w:b w:val="0"/>
          <w:bCs w:val="0"/>
          <w:kern w:val="0"/>
          <w:sz w:val="32"/>
          <w:szCs w:val="32"/>
        </w:rPr>
        <w:t>自</w:t>
      </w:r>
      <w:r>
        <w:rPr>
          <w:rFonts w:hint="eastAsia" w:ascii="仿宋" w:hAnsi="仿宋" w:eastAsia="仿宋" w:cs="仿宋"/>
          <w:b w:val="0"/>
          <w:bCs w:val="0"/>
          <w:sz w:val="32"/>
          <w:szCs w:val="32"/>
        </w:rPr>
        <w:t>发布之</w:t>
      </w:r>
      <w:r>
        <w:rPr>
          <w:rFonts w:hint="eastAsia" w:ascii="仿宋" w:hAnsi="仿宋" w:eastAsia="仿宋" w:cs="仿宋"/>
          <w:b w:val="0"/>
          <w:bCs w:val="0"/>
          <w:kern w:val="0"/>
          <w:sz w:val="32"/>
          <w:szCs w:val="32"/>
        </w:rPr>
        <w:t>日起施行。</w:t>
      </w:r>
      <w:r>
        <w:rPr>
          <w:rFonts w:hint="eastAsia" w:ascii="仿宋" w:hAnsi="仿宋" w:eastAsia="仿宋" w:cs="仿宋"/>
          <w:b w:val="0"/>
          <w:bCs w:val="0"/>
          <w:sz w:val="32"/>
          <w:szCs w:val="32"/>
          <w:lang w:val="en-US" w:eastAsia="zh-CN"/>
        </w:rPr>
        <w:t xml:space="preserve"> </w:t>
      </w:r>
    </w:p>
    <w:p>
      <w:pPr>
        <w:keepNext w:val="0"/>
        <w:keepLines w:val="0"/>
        <w:pageBreakBefore w:val="0"/>
        <w:kinsoku/>
        <w:wordWrap/>
        <w:overflowPunct/>
        <w:topLinePunct w:val="0"/>
        <w:bidi w:val="0"/>
        <w:spacing w:line="400" w:lineRule="exact"/>
        <w:ind w:right="0" w:rightChars="0"/>
        <w:jc w:val="left"/>
        <w:textAlignment w:val="auto"/>
        <w:outlineLvl w:val="9"/>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eastAsia="zh-CN"/>
        </w:rPr>
        <w:t>附表：</w:t>
      </w:r>
    </w:p>
    <w:p>
      <w:pPr>
        <w:keepNext w:val="0"/>
        <w:keepLines w:val="0"/>
        <w:pageBreakBefore w:val="0"/>
        <w:kinsoku/>
        <w:wordWrap/>
        <w:overflowPunct/>
        <w:topLinePunct w:val="0"/>
        <w:bidi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表1  工业化豆芽产品检验项目表</w:t>
      </w:r>
    </w:p>
    <w:tbl>
      <w:tblPr>
        <w:tblStyle w:val="8"/>
        <w:tblW w:w="9355" w:type="dxa"/>
        <w:jc w:val="center"/>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593"/>
        <w:gridCol w:w="567"/>
        <w:gridCol w:w="567"/>
        <w:gridCol w:w="4110"/>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8" w:hRule="atLeast"/>
          <w:jc w:val="center"/>
        </w:trPr>
        <w:tc>
          <w:tcPr>
            <w:tcW w:w="534"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序号</w:t>
            </w:r>
          </w:p>
        </w:tc>
        <w:tc>
          <w:tcPr>
            <w:tcW w:w="1593"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检验项目</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监督</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出厂</w:t>
            </w:r>
          </w:p>
        </w:tc>
        <w:tc>
          <w:tcPr>
            <w:tcW w:w="4110"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检测方法</w:t>
            </w:r>
          </w:p>
        </w:tc>
        <w:tc>
          <w:tcPr>
            <w:tcW w:w="1984"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限量及依据法律法规或标准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9" w:hRule="atLeast"/>
          <w:jc w:val="center"/>
        </w:trPr>
        <w:tc>
          <w:tcPr>
            <w:tcW w:w="534" w:type="dxa"/>
            <w:vAlign w:val="center"/>
          </w:tcPr>
          <w:p>
            <w:pPr>
              <w:keepNext w:val="0"/>
              <w:keepLines w:val="0"/>
              <w:pageBreakBefore w:val="0"/>
              <w:numPr>
                <w:ilvl w:val="0"/>
                <w:numId w:val="1"/>
              </w:numPr>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1</w:t>
            </w:r>
          </w:p>
        </w:tc>
        <w:tc>
          <w:tcPr>
            <w:tcW w:w="1593"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标签</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4110"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GB7718《食品安全国家标准 预包装食品标签通则》，GB28050《食品安全国家标准 预包装食品营养标签通则》</w:t>
            </w:r>
          </w:p>
        </w:tc>
        <w:tc>
          <w:tcPr>
            <w:tcW w:w="1984"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2" w:hRule="atLeast"/>
          <w:jc w:val="center"/>
        </w:trPr>
        <w:tc>
          <w:tcPr>
            <w:tcW w:w="534" w:type="dxa"/>
            <w:vAlign w:val="center"/>
          </w:tcPr>
          <w:p>
            <w:pPr>
              <w:keepNext w:val="0"/>
              <w:keepLines w:val="0"/>
              <w:pageBreakBefore w:val="0"/>
              <w:numPr>
                <w:ilvl w:val="0"/>
                <w:numId w:val="1"/>
              </w:numPr>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2</w:t>
            </w:r>
          </w:p>
        </w:tc>
        <w:tc>
          <w:tcPr>
            <w:tcW w:w="1593"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净含量</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4110"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《定量包装商品计量监督管理办法》（国家质检总局</w:t>
            </w:r>
            <w:r>
              <w:rPr>
                <w:rFonts w:hint="eastAsia" w:ascii="仿宋" w:hAnsi="仿宋" w:eastAsia="仿宋" w:cs="仿宋"/>
                <w:b w:val="0"/>
                <w:bCs w:val="0"/>
                <w:sz w:val="32"/>
                <w:szCs w:val="32"/>
                <w:lang w:eastAsia="zh-CN"/>
              </w:rPr>
              <w:t>令</w:t>
            </w:r>
            <w:r>
              <w:rPr>
                <w:rFonts w:hint="eastAsia" w:ascii="仿宋" w:hAnsi="仿宋" w:eastAsia="仿宋" w:cs="仿宋"/>
                <w:b w:val="0"/>
                <w:bCs w:val="0"/>
                <w:sz w:val="32"/>
                <w:szCs w:val="32"/>
              </w:rPr>
              <w:t>第75号）</w:t>
            </w:r>
          </w:p>
        </w:tc>
        <w:tc>
          <w:tcPr>
            <w:tcW w:w="1984"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4" w:hRule="atLeast"/>
          <w:jc w:val="center"/>
        </w:trPr>
        <w:tc>
          <w:tcPr>
            <w:tcW w:w="534" w:type="dxa"/>
            <w:vAlign w:val="center"/>
          </w:tcPr>
          <w:p>
            <w:pPr>
              <w:keepNext w:val="0"/>
              <w:keepLines w:val="0"/>
              <w:pageBreakBefore w:val="0"/>
              <w:numPr>
                <w:ilvl w:val="0"/>
                <w:numId w:val="1"/>
              </w:numPr>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p>
        </w:tc>
        <w:tc>
          <w:tcPr>
            <w:tcW w:w="1593"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感官</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4110"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p>
        </w:tc>
        <w:tc>
          <w:tcPr>
            <w:tcW w:w="1984"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参考NY/T1325《绿色食品 芽苗类蔬菜》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jc w:val="center"/>
        </w:trPr>
        <w:tc>
          <w:tcPr>
            <w:tcW w:w="534" w:type="dxa"/>
            <w:vAlign w:val="center"/>
          </w:tcPr>
          <w:p>
            <w:pPr>
              <w:keepNext w:val="0"/>
              <w:keepLines w:val="0"/>
              <w:pageBreakBefore w:val="0"/>
              <w:numPr>
                <w:ilvl w:val="0"/>
                <w:numId w:val="1"/>
              </w:numPr>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4</w:t>
            </w:r>
          </w:p>
        </w:tc>
        <w:tc>
          <w:tcPr>
            <w:tcW w:w="1593"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铅（以Pb计）</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4110"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GB5009.12《食品安全国家标准 食品中铅的测定方法》第二法</w:t>
            </w:r>
          </w:p>
        </w:tc>
        <w:tc>
          <w:tcPr>
            <w:tcW w:w="1984"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限量：0.2 mg/kg （符合GB 2762）</w:t>
            </w:r>
          </w:p>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（依据NY/T 1325，限量为0.1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jc w:val="center"/>
        </w:trPr>
        <w:tc>
          <w:tcPr>
            <w:tcW w:w="534" w:type="dxa"/>
            <w:vAlign w:val="center"/>
          </w:tcPr>
          <w:p>
            <w:pPr>
              <w:keepNext w:val="0"/>
              <w:keepLines w:val="0"/>
              <w:pageBreakBefore w:val="0"/>
              <w:numPr>
                <w:ilvl w:val="0"/>
                <w:numId w:val="1"/>
              </w:numPr>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5</w:t>
            </w:r>
          </w:p>
        </w:tc>
        <w:tc>
          <w:tcPr>
            <w:tcW w:w="1593"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总砷（以As计）</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4110"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GB5009.11《食品安全国家标准 食品中总砷及无机砷的测定》第一法</w:t>
            </w:r>
          </w:p>
        </w:tc>
        <w:tc>
          <w:tcPr>
            <w:tcW w:w="1984"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限量：0.5 mg/kg（符合GB2762）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9" w:hRule="atLeast"/>
          <w:jc w:val="center"/>
        </w:trPr>
        <w:tc>
          <w:tcPr>
            <w:tcW w:w="534" w:type="dxa"/>
            <w:vAlign w:val="center"/>
          </w:tcPr>
          <w:p>
            <w:pPr>
              <w:keepNext w:val="0"/>
              <w:keepLines w:val="0"/>
              <w:pageBreakBefore w:val="0"/>
              <w:numPr>
                <w:ilvl w:val="0"/>
                <w:numId w:val="1"/>
              </w:numPr>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6</w:t>
            </w:r>
          </w:p>
        </w:tc>
        <w:tc>
          <w:tcPr>
            <w:tcW w:w="1593"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总汞（以Hg计）</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4110"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GB5009.17《食品安全国家标准 食品中总汞及有机汞的测定》</w:t>
            </w:r>
          </w:p>
        </w:tc>
        <w:tc>
          <w:tcPr>
            <w:tcW w:w="1984"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限量：0.01 mg/kg（符合GB2762）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9" w:hRule="atLeast"/>
          <w:jc w:val="center"/>
        </w:trPr>
        <w:tc>
          <w:tcPr>
            <w:tcW w:w="534" w:type="dxa"/>
            <w:vAlign w:val="center"/>
          </w:tcPr>
          <w:p>
            <w:pPr>
              <w:keepNext w:val="0"/>
              <w:keepLines w:val="0"/>
              <w:pageBreakBefore w:val="0"/>
              <w:numPr>
                <w:ilvl w:val="0"/>
                <w:numId w:val="1"/>
              </w:numPr>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7</w:t>
            </w:r>
          </w:p>
        </w:tc>
        <w:tc>
          <w:tcPr>
            <w:tcW w:w="1593"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镉（以Cd计）</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4110"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GB5009.15《食品安全国家标准 食品中镉的测定方法》</w:t>
            </w:r>
          </w:p>
        </w:tc>
        <w:tc>
          <w:tcPr>
            <w:tcW w:w="1984"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限量：0.1 mg/kg（符合GB2762）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9" w:hRule="atLeast"/>
          <w:jc w:val="center"/>
        </w:trPr>
        <w:tc>
          <w:tcPr>
            <w:tcW w:w="534" w:type="dxa"/>
            <w:vAlign w:val="center"/>
          </w:tcPr>
          <w:p>
            <w:pPr>
              <w:keepNext w:val="0"/>
              <w:keepLines w:val="0"/>
              <w:pageBreakBefore w:val="0"/>
              <w:numPr>
                <w:ilvl w:val="0"/>
                <w:numId w:val="1"/>
              </w:numPr>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8</w:t>
            </w:r>
          </w:p>
        </w:tc>
        <w:tc>
          <w:tcPr>
            <w:tcW w:w="1593"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铬（以Cr计）</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4110"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GB5009.123《食品安全国家标准 食品中铬的测定》</w:t>
            </w:r>
          </w:p>
        </w:tc>
        <w:tc>
          <w:tcPr>
            <w:tcW w:w="1984"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限量：0.5 mg/kg（符合GB2762）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9" w:hRule="atLeast"/>
          <w:jc w:val="center"/>
        </w:trPr>
        <w:tc>
          <w:tcPr>
            <w:tcW w:w="534" w:type="dxa"/>
            <w:vAlign w:val="center"/>
          </w:tcPr>
          <w:p>
            <w:pPr>
              <w:keepNext w:val="0"/>
              <w:keepLines w:val="0"/>
              <w:pageBreakBefore w:val="0"/>
              <w:numPr>
                <w:ilvl w:val="0"/>
                <w:numId w:val="1"/>
              </w:numPr>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9</w:t>
            </w:r>
          </w:p>
        </w:tc>
        <w:tc>
          <w:tcPr>
            <w:tcW w:w="1593"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亚硫酸盐（以SO</w:t>
            </w:r>
            <w:r>
              <w:rPr>
                <w:rFonts w:hint="eastAsia" w:ascii="仿宋" w:hAnsi="仿宋" w:eastAsia="仿宋" w:cs="仿宋"/>
                <w:b w:val="0"/>
                <w:bCs w:val="0"/>
                <w:sz w:val="32"/>
                <w:szCs w:val="32"/>
                <w:vertAlign w:val="subscript"/>
              </w:rPr>
              <w:t>2</w:t>
            </w:r>
            <w:r>
              <w:rPr>
                <w:rFonts w:hint="eastAsia" w:ascii="仿宋" w:hAnsi="仿宋" w:eastAsia="仿宋" w:cs="仿宋"/>
                <w:b w:val="0"/>
                <w:bCs w:val="0"/>
                <w:sz w:val="32"/>
                <w:szCs w:val="32"/>
              </w:rPr>
              <w:t>计）</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4110"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GB5009.34《食品安全国家标准 食品中二氧化硫的测定》</w:t>
            </w:r>
          </w:p>
        </w:tc>
        <w:tc>
          <w:tcPr>
            <w:tcW w:w="1984"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限量：20.0  mg/kg（符合GB22556《豆芽卫生标准》）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9" w:hRule="atLeast"/>
          <w:jc w:val="center"/>
        </w:trPr>
        <w:tc>
          <w:tcPr>
            <w:tcW w:w="534" w:type="dxa"/>
            <w:vAlign w:val="center"/>
          </w:tcPr>
          <w:p>
            <w:pPr>
              <w:keepNext w:val="0"/>
              <w:keepLines w:val="0"/>
              <w:pageBreakBefore w:val="0"/>
              <w:numPr>
                <w:ilvl w:val="0"/>
                <w:numId w:val="1"/>
              </w:numPr>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p>
        </w:tc>
        <w:tc>
          <w:tcPr>
            <w:tcW w:w="1593"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4-氯苯氧乙酸钠</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4110"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食品安全监督抽检和风险监测指定方法 豆芽中4-氯苯氧乙酸钠、6-苄基腺嘌呤、2,4-滴、赤霉素、福美双的测定</w:t>
            </w:r>
          </w:p>
        </w:tc>
        <w:tc>
          <w:tcPr>
            <w:tcW w:w="1984"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不得检出（</w:t>
            </w:r>
            <w:r>
              <w:rPr>
                <w:rFonts w:hint="eastAsia" w:ascii="仿宋" w:hAnsi="仿宋" w:eastAsia="仿宋" w:cs="仿宋"/>
                <w:b w:val="0"/>
                <w:bCs w:val="0"/>
                <w:kern w:val="0"/>
                <w:sz w:val="32"/>
                <w:szCs w:val="32"/>
              </w:rPr>
              <w:t>≤</w:t>
            </w:r>
            <w:r>
              <w:rPr>
                <w:rFonts w:hint="eastAsia" w:ascii="仿宋" w:hAnsi="仿宋" w:eastAsia="仿宋" w:cs="仿宋"/>
                <w:b w:val="0"/>
                <w:bCs w:val="0"/>
                <w:sz w:val="32"/>
                <w:szCs w:val="32"/>
              </w:rPr>
              <w:t>0.10 mg/kg）</w:t>
            </w:r>
          </w:p>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（依据：国家食品药品监督管理总局 农业部 国家卫生和生育计划委员会 2015年第11号公告）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8" w:hRule="atLeast"/>
          <w:jc w:val="center"/>
        </w:trPr>
        <w:tc>
          <w:tcPr>
            <w:tcW w:w="534" w:type="dxa"/>
            <w:vAlign w:val="center"/>
          </w:tcPr>
          <w:p>
            <w:pPr>
              <w:keepNext w:val="0"/>
              <w:keepLines w:val="0"/>
              <w:pageBreakBefore w:val="0"/>
              <w:numPr>
                <w:ilvl w:val="0"/>
                <w:numId w:val="1"/>
              </w:numPr>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11</w:t>
            </w:r>
          </w:p>
        </w:tc>
        <w:tc>
          <w:tcPr>
            <w:tcW w:w="1593"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6-苄基腺嘌呤</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4110"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GB/T23381《食品中6-苄基腺嘌呤的测定 高效液相色谱法》</w:t>
            </w:r>
          </w:p>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p>
        </w:tc>
        <w:tc>
          <w:tcPr>
            <w:tcW w:w="1984"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不得检出（</w:t>
            </w:r>
            <w:r>
              <w:rPr>
                <w:rFonts w:hint="eastAsia" w:ascii="仿宋" w:hAnsi="仿宋" w:eastAsia="仿宋" w:cs="仿宋"/>
                <w:b w:val="0"/>
                <w:bCs w:val="0"/>
                <w:kern w:val="0"/>
                <w:sz w:val="32"/>
                <w:szCs w:val="32"/>
              </w:rPr>
              <w:t>≤</w:t>
            </w:r>
            <w:r>
              <w:rPr>
                <w:rFonts w:hint="eastAsia" w:ascii="仿宋" w:hAnsi="仿宋" w:eastAsia="仿宋" w:cs="仿宋"/>
                <w:b w:val="0"/>
                <w:bCs w:val="0"/>
                <w:sz w:val="32"/>
                <w:szCs w:val="32"/>
              </w:rPr>
              <w:t>0.02 mg/kg）</w:t>
            </w:r>
          </w:p>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（依据：国家食品药品监督管理总局 农业部 国家卫生和生育计划委员会 2015年第11号公告）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8" w:hRule="atLeast"/>
          <w:jc w:val="center"/>
        </w:trPr>
        <w:tc>
          <w:tcPr>
            <w:tcW w:w="534" w:type="dxa"/>
            <w:vAlign w:val="center"/>
          </w:tcPr>
          <w:p>
            <w:pPr>
              <w:keepNext w:val="0"/>
              <w:keepLines w:val="0"/>
              <w:pageBreakBefore w:val="0"/>
              <w:numPr>
                <w:ilvl w:val="0"/>
                <w:numId w:val="1"/>
              </w:numPr>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12</w:t>
            </w:r>
          </w:p>
        </w:tc>
        <w:tc>
          <w:tcPr>
            <w:tcW w:w="1593"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2,4-二氯苯氧乙酸</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4110"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食品安全监督抽检和风险监测指定方法 豆芽中4-氯苯氧乙酸钠、6-苄基腺嘌呤、2,4-滴、赤霉素、福美双的测定</w:t>
            </w:r>
          </w:p>
        </w:tc>
        <w:tc>
          <w:tcPr>
            <w:tcW w:w="1984"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不得检出（</w:t>
            </w:r>
            <w:r>
              <w:rPr>
                <w:rFonts w:hint="eastAsia" w:ascii="仿宋" w:hAnsi="仿宋" w:eastAsia="仿宋" w:cs="仿宋"/>
                <w:b w:val="0"/>
                <w:bCs w:val="0"/>
                <w:kern w:val="0"/>
                <w:sz w:val="32"/>
                <w:szCs w:val="32"/>
              </w:rPr>
              <w:t>≤</w:t>
            </w:r>
            <w:r>
              <w:rPr>
                <w:rFonts w:hint="eastAsia" w:ascii="仿宋" w:hAnsi="仿宋" w:eastAsia="仿宋" w:cs="仿宋"/>
                <w:b w:val="0"/>
                <w:bCs w:val="0"/>
                <w:sz w:val="32"/>
                <w:szCs w:val="32"/>
              </w:rPr>
              <w:t>0.002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8" w:hRule="atLeast"/>
          <w:jc w:val="center"/>
        </w:trPr>
        <w:tc>
          <w:tcPr>
            <w:tcW w:w="534" w:type="dxa"/>
            <w:vAlign w:val="center"/>
          </w:tcPr>
          <w:p>
            <w:pPr>
              <w:keepNext w:val="0"/>
              <w:keepLines w:val="0"/>
              <w:pageBreakBefore w:val="0"/>
              <w:numPr>
                <w:ilvl w:val="0"/>
                <w:numId w:val="1"/>
              </w:numPr>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p>
        </w:tc>
        <w:tc>
          <w:tcPr>
            <w:tcW w:w="1593"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赤霉素</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4110"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食品安全监督抽检和风险监测指定方法 豆芽中4-氯苯氧乙酸钠、6-苄基腺嘌呤、2,4-滴、赤霉素、福美双的测定</w:t>
            </w:r>
          </w:p>
        </w:tc>
        <w:tc>
          <w:tcPr>
            <w:tcW w:w="1984"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不得检出（</w:t>
            </w:r>
            <w:r>
              <w:rPr>
                <w:rFonts w:hint="eastAsia" w:ascii="仿宋" w:hAnsi="仿宋" w:eastAsia="仿宋" w:cs="仿宋"/>
                <w:b w:val="0"/>
                <w:bCs w:val="0"/>
                <w:kern w:val="0"/>
                <w:sz w:val="32"/>
                <w:szCs w:val="32"/>
              </w:rPr>
              <w:t>≤</w:t>
            </w:r>
            <w:r>
              <w:rPr>
                <w:rFonts w:hint="eastAsia" w:ascii="仿宋" w:hAnsi="仿宋" w:eastAsia="仿宋" w:cs="仿宋"/>
                <w:b w:val="0"/>
                <w:bCs w:val="0"/>
                <w:sz w:val="32"/>
                <w:szCs w:val="32"/>
              </w:rPr>
              <w:t>0.20 mg/kg）</w:t>
            </w:r>
          </w:p>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（依据：国家食品药品监督管理总局 农业部 国家卫生和生育计划委员会 2015年第11号公告）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8" w:hRule="atLeast"/>
          <w:jc w:val="center"/>
        </w:trPr>
        <w:tc>
          <w:tcPr>
            <w:tcW w:w="534" w:type="dxa"/>
            <w:vAlign w:val="center"/>
          </w:tcPr>
          <w:p>
            <w:pPr>
              <w:keepNext w:val="0"/>
              <w:keepLines w:val="0"/>
              <w:pageBreakBefore w:val="0"/>
              <w:numPr>
                <w:ilvl w:val="0"/>
                <w:numId w:val="1"/>
              </w:numPr>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p>
        </w:tc>
        <w:tc>
          <w:tcPr>
            <w:tcW w:w="1593"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福美双</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4110"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食品安全监督抽检和风险监测指定方法 豆芽中4-氯苯氧乙酸钠、6-苄基腺嘌呤、2,4-滴、赤霉素、福美双的测定</w:t>
            </w:r>
          </w:p>
        </w:tc>
        <w:tc>
          <w:tcPr>
            <w:tcW w:w="1984"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不得检出（</w:t>
            </w:r>
            <w:r>
              <w:rPr>
                <w:rFonts w:hint="eastAsia" w:ascii="仿宋" w:hAnsi="仿宋" w:eastAsia="仿宋" w:cs="仿宋"/>
                <w:b w:val="0"/>
                <w:bCs w:val="0"/>
                <w:kern w:val="0"/>
                <w:sz w:val="32"/>
                <w:szCs w:val="32"/>
              </w:rPr>
              <w:t>≤</w:t>
            </w:r>
            <w:r>
              <w:rPr>
                <w:rFonts w:hint="eastAsia" w:ascii="仿宋" w:hAnsi="仿宋" w:eastAsia="仿宋" w:cs="仿宋"/>
                <w:b w:val="0"/>
                <w:bCs w:val="0"/>
                <w:sz w:val="32"/>
                <w:szCs w:val="32"/>
              </w:rPr>
              <w:t>0.01 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8" w:hRule="atLeast"/>
          <w:jc w:val="center"/>
        </w:trPr>
        <w:tc>
          <w:tcPr>
            <w:tcW w:w="534" w:type="dxa"/>
            <w:vAlign w:val="center"/>
          </w:tcPr>
          <w:p>
            <w:pPr>
              <w:keepNext w:val="0"/>
              <w:keepLines w:val="0"/>
              <w:pageBreakBefore w:val="0"/>
              <w:numPr>
                <w:ilvl w:val="0"/>
                <w:numId w:val="1"/>
              </w:numPr>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p>
        </w:tc>
        <w:tc>
          <w:tcPr>
            <w:tcW w:w="1593"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百菌清</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4110"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NY/T761《蔬菜和水果中有机磷、有机氯、拟除虫菊酯和氨基甲酸酯类农药多残留的测定》</w:t>
            </w:r>
          </w:p>
        </w:tc>
        <w:tc>
          <w:tcPr>
            <w:tcW w:w="1984"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kern w:val="0"/>
                <w:sz w:val="32"/>
                <w:szCs w:val="32"/>
              </w:rPr>
              <w:t>≤</w:t>
            </w:r>
            <w:r>
              <w:rPr>
                <w:rFonts w:hint="eastAsia" w:ascii="仿宋" w:hAnsi="仿宋" w:eastAsia="仿宋" w:cs="仿宋"/>
                <w:b w:val="0"/>
                <w:bCs w:val="0"/>
                <w:sz w:val="32"/>
                <w:szCs w:val="32"/>
              </w:rPr>
              <w:t>0.01 mg/kg（符合NY/T1325）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8" w:hRule="atLeast"/>
          <w:jc w:val="center"/>
        </w:trPr>
        <w:tc>
          <w:tcPr>
            <w:tcW w:w="534" w:type="dxa"/>
            <w:vAlign w:val="center"/>
          </w:tcPr>
          <w:p>
            <w:pPr>
              <w:keepNext w:val="0"/>
              <w:keepLines w:val="0"/>
              <w:pageBreakBefore w:val="0"/>
              <w:numPr>
                <w:ilvl w:val="0"/>
                <w:numId w:val="1"/>
              </w:numPr>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p>
        </w:tc>
        <w:tc>
          <w:tcPr>
            <w:tcW w:w="1593"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多菌灵</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4110"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GB/T20769《水果和蔬菜中450种农药及相关化学品残留量的测定 液相色谱-串联质谱法》</w:t>
            </w:r>
          </w:p>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GB/T5009.188 蔬菜、水果中甲基托布津、多菌灵的测定</w:t>
            </w:r>
          </w:p>
        </w:tc>
        <w:tc>
          <w:tcPr>
            <w:tcW w:w="1984"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kern w:val="0"/>
                <w:sz w:val="32"/>
                <w:szCs w:val="32"/>
              </w:rPr>
              <w:t>≤</w:t>
            </w:r>
            <w:r>
              <w:rPr>
                <w:rFonts w:hint="eastAsia" w:ascii="仿宋" w:hAnsi="仿宋" w:eastAsia="仿宋" w:cs="仿宋"/>
                <w:b w:val="0"/>
                <w:bCs w:val="0"/>
                <w:sz w:val="32"/>
                <w:szCs w:val="32"/>
              </w:rPr>
              <w:t>0.01 mg/kg（符合NY/T1325）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6" w:hRule="atLeast"/>
          <w:jc w:val="center"/>
        </w:trPr>
        <w:tc>
          <w:tcPr>
            <w:tcW w:w="534" w:type="dxa"/>
            <w:vAlign w:val="center"/>
          </w:tcPr>
          <w:p>
            <w:pPr>
              <w:keepNext w:val="0"/>
              <w:keepLines w:val="0"/>
              <w:pageBreakBefore w:val="0"/>
              <w:numPr>
                <w:ilvl w:val="0"/>
                <w:numId w:val="1"/>
              </w:numPr>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p>
        </w:tc>
        <w:tc>
          <w:tcPr>
            <w:tcW w:w="1593"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致病菌（沙门氏菌、金黄色葡萄球菌）</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567"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w:t>
            </w:r>
          </w:p>
        </w:tc>
        <w:tc>
          <w:tcPr>
            <w:tcW w:w="4110"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GB4789.4《食品安全国家标准 食品微生物学检验 沙门氏菌检验》，GB4789.10《食品安全国家标准 食品微生物学检验 金黄色葡萄球菌检验》</w:t>
            </w:r>
          </w:p>
        </w:tc>
        <w:tc>
          <w:tcPr>
            <w:tcW w:w="1984" w:type="dxa"/>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不得检出</w:t>
            </w:r>
          </w:p>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符合 GB22556的规定</w:t>
            </w:r>
          </w:p>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6" w:hRule="atLeast"/>
          <w:jc w:val="center"/>
        </w:trPr>
        <w:tc>
          <w:tcPr>
            <w:tcW w:w="534" w:type="dxa"/>
            <w:vAlign w:val="center"/>
          </w:tcPr>
          <w:p>
            <w:pPr>
              <w:keepNext w:val="0"/>
              <w:keepLines w:val="0"/>
              <w:pageBreakBefore w:val="0"/>
              <w:numPr>
                <w:ilvl w:val="0"/>
                <w:numId w:val="1"/>
              </w:numPr>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p>
        </w:tc>
        <w:tc>
          <w:tcPr>
            <w:tcW w:w="8821" w:type="dxa"/>
            <w:gridSpan w:val="5"/>
            <w:vAlign w:val="center"/>
          </w:tcPr>
          <w:p>
            <w:pPr>
              <w:keepNext w:val="0"/>
              <w:keepLines w:val="0"/>
              <w:pageBreakBefore w:val="0"/>
              <w:kinsoku/>
              <w:wordWrap/>
              <w:overflowPunct/>
              <w:topLinePunct w:val="0"/>
              <w:bidi w:val="0"/>
              <w:adjustRightInd w:val="0"/>
              <w:snapToGrid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其他项目应符合GB2762、GB2763、GB29921的规定</w:t>
            </w:r>
          </w:p>
        </w:tc>
      </w:tr>
    </w:tbl>
    <w:p>
      <w:pPr>
        <w:keepNext w:val="0"/>
        <w:keepLines w:val="0"/>
        <w:pageBreakBefore w:val="0"/>
        <w:widowControl/>
        <w:shd w:val="clear" w:color="auto" w:fill="FFFFFF"/>
        <w:kinsoku/>
        <w:wordWrap/>
        <w:overflowPunct/>
        <w:topLinePunct w:val="0"/>
        <w:bidi w:val="0"/>
        <w:spacing w:line="400" w:lineRule="exact"/>
        <w:ind w:right="0" w:rightChars="0"/>
        <w:jc w:val="center"/>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表</w:t>
      </w: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产品相关标准</w:t>
      </w:r>
      <w:r>
        <w:rPr>
          <w:rFonts w:hint="eastAsia" w:ascii="仿宋" w:hAnsi="仿宋" w:eastAsia="仿宋" w:cs="仿宋"/>
          <w:b w:val="0"/>
          <w:bCs w:val="0"/>
          <w:sz w:val="32"/>
          <w:szCs w:val="32"/>
          <w:lang w:eastAsia="zh-CN"/>
        </w:rPr>
        <w:t>列表</w:t>
      </w:r>
    </w:p>
    <w:p>
      <w:pPr>
        <w:pStyle w:val="13"/>
        <w:keepNext w:val="0"/>
        <w:keepLines w:val="0"/>
        <w:pageBreakBefore w:val="0"/>
        <w:kinsoku/>
        <w:wordWrap/>
        <w:overflowPunct/>
        <w:topLinePunct w:val="0"/>
        <w:bidi w:val="0"/>
        <w:spacing w:line="400" w:lineRule="exact"/>
        <w:ind w:right="0" w:rightChars="0" w:firstLine="64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GB22556《豆芽卫生标准》；</w:t>
      </w:r>
    </w:p>
    <w:p>
      <w:pPr>
        <w:pStyle w:val="13"/>
        <w:keepNext w:val="0"/>
        <w:keepLines w:val="0"/>
        <w:pageBreakBefore w:val="0"/>
        <w:kinsoku/>
        <w:wordWrap/>
        <w:overflowPunct/>
        <w:topLinePunct w:val="0"/>
        <w:bidi w:val="0"/>
        <w:spacing w:line="400" w:lineRule="exact"/>
        <w:ind w:right="0" w:rightChars="0" w:firstLine="64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GB1352《大豆》；</w:t>
      </w:r>
    </w:p>
    <w:p>
      <w:pPr>
        <w:pStyle w:val="13"/>
        <w:keepNext w:val="0"/>
        <w:keepLines w:val="0"/>
        <w:pageBreakBefore w:val="0"/>
        <w:kinsoku/>
        <w:wordWrap/>
        <w:overflowPunct/>
        <w:topLinePunct w:val="0"/>
        <w:bidi w:val="0"/>
        <w:spacing w:line="400" w:lineRule="exact"/>
        <w:ind w:right="0" w:rightChars="0" w:firstLine="64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GB/T10462《绿豆》；</w:t>
      </w:r>
    </w:p>
    <w:p>
      <w:pPr>
        <w:pStyle w:val="13"/>
        <w:keepNext w:val="0"/>
        <w:keepLines w:val="0"/>
        <w:pageBreakBefore w:val="0"/>
        <w:kinsoku/>
        <w:wordWrap/>
        <w:overflowPunct/>
        <w:topLinePunct w:val="0"/>
        <w:bidi w:val="0"/>
        <w:spacing w:line="400" w:lineRule="exact"/>
        <w:ind w:right="0" w:rightChars="0" w:firstLine="64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GB2760《食品安全国家标准 食品添加剂使用标准》；</w:t>
      </w:r>
    </w:p>
    <w:p>
      <w:pPr>
        <w:pStyle w:val="13"/>
        <w:keepNext w:val="0"/>
        <w:keepLines w:val="0"/>
        <w:pageBreakBefore w:val="0"/>
        <w:kinsoku/>
        <w:wordWrap/>
        <w:overflowPunct/>
        <w:topLinePunct w:val="0"/>
        <w:bidi w:val="0"/>
        <w:spacing w:line="400" w:lineRule="exact"/>
        <w:ind w:right="0" w:rightChars="0" w:firstLine="64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GB2761《食品安全国家标准 食品中真菌毒素限量》；</w:t>
      </w:r>
    </w:p>
    <w:p>
      <w:pPr>
        <w:pStyle w:val="13"/>
        <w:keepNext w:val="0"/>
        <w:keepLines w:val="0"/>
        <w:pageBreakBefore w:val="0"/>
        <w:kinsoku/>
        <w:wordWrap/>
        <w:overflowPunct/>
        <w:topLinePunct w:val="0"/>
        <w:bidi w:val="0"/>
        <w:spacing w:line="400" w:lineRule="exact"/>
        <w:ind w:right="0" w:rightChars="0" w:firstLine="64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GB2762《食品安全国家标准 食品中污染物限量》；</w:t>
      </w:r>
    </w:p>
    <w:p>
      <w:pPr>
        <w:pStyle w:val="13"/>
        <w:keepNext w:val="0"/>
        <w:keepLines w:val="0"/>
        <w:pageBreakBefore w:val="0"/>
        <w:kinsoku/>
        <w:wordWrap/>
        <w:overflowPunct/>
        <w:topLinePunct w:val="0"/>
        <w:bidi w:val="0"/>
        <w:spacing w:line="400" w:lineRule="exact"/>
        <w:ind w:right="0" w:rightChars="0" w:firstLine="64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GB2763《食品安全国家标准 食品中农药最大残留限量》;</w:t>
      </w:r>
    </w:p>
    <w:p>
      <w:pPr>
        <w:pStyle w:val="13"/>
        <w:keepNext w:val="0"/>
        <w:keepLines w:val="0"/>
        <w:pageBreakBefore w:val="0"/>
        <w:kinsoku/>
        <w:wordWrap/>
        <w:overflowPunct/>
        <w:topLinePunct w:val="0"/>
        <w:bidi w:val="0"/>
        <w:spacing w:line="400" w:lineRule="exact"/>
        <w:ind w:right="0" w:rightChars="0" w:firstLine="64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GB5749《生活饮用水卫生标准》；</w:t>
      </w:r>
    </w:p>
    <w:p>
      <w:pPr>
        <w:pStyle w:val="13"/>
        <w:keepNext w:val="0"/>
        <w:keepLines w:val="0"/>
        <w:pageBreakBefore w:val="0"/>
        <w:kinsoku/>
        <w:wordWrap/>
        <w:overflowPunct/>
        <w:topLinePunct w:val="0"/>
        <w:bidi w:val="0"/>
        <w:spacing w:line="400" w:lineRule="exact"/>
        <w:ind w:right="0" w:rightChars="0" w:firstLine="64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GB7718《食品安全国家标准 预包装食品标签通则》；</w:t>
      </w:r>
    </w:p>
    <w:p>
      <w:pPr>
        <w:pStyle w:val="13"/>
        <w:keepNext w:val="0"/>
        <w:keepLines w:val="0"/>
        <w:pageBreakBefore w:val="0"/>
        <w:kinsoku/>
        <w:wordWrap/>
        <w:overflowPunct/>
        <w:topLinePunct w:val="0"/>
        <w:bidi w:val="0"/>
        <w:spacing w:line="400" w:lineRule="exact"/>
        <w:ind w:right="0" w:rightChars="0" w:firstLine="64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GB4806.9《食品安全国家标准 食品接触用金属材料及制品》；</w:t>
      </w:r>
    </w:p>
    <w:p>
      <w:pPr>
        <w:pStyle w:val="13"/>
        <w:keepNext w:val="0"/>
        <w:keepLines w:val="0"/>
        <w:pageBreakBefore w:val="0"/>
        <w:kinsoku/>
        <w:wordWrap/>
        <w:overflowPunct/>
        <w:topLinePunct w:val="0"/>
        <w:bidi w:val="0"/>
        <w:spacing w:line="400" w:lineRule="exact"/>
        <w:ind w:right="0" w:rightChars="0" w:firstLine="64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GB28050《食品安全国家标准 预包装食品营养标签通则》；</w:t>
      </w:r>
    </w:p>
    <w:p>
      <w:pPr>
        <w:pStyle w:val="13"/>
        <w:keepNext w:val="0"/>
        <w:keepLines w:val="0"/>
        <w:pageBreakBefore w:val="0"/>
        <w:kinsoku/>
        <w:wordWrap/>
        <w:overflowPunct/>
        <w:topLinePunct w:val="0"/>
        <w:bidi w:val="0"/>
        <w:spacing w:line="400" w:lineRule="exact"/>
        <w:ind w:right="0" w:rightChars="0" w:firstLine="64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GB14881《食品安全国家标准 食品企业通用卫生规范》；</w:t>
      </w:r>
    </w:p>
    <w:p>
      <w:pPr>
        <w:pStyle w:val="13"/>
        <w:keepNext w:val="0"/>
        <w:keepLines w:val="0"/>
        <w:pageBreakBefore w:val="0"/>
        <w:kinsoku/>
        <w:wordWrap/>
        <w:overflowPunct/>
        <w:topLinePunct w:val="0"/>
        <w:bidi w:val="0"/>
        <w:spacing w:line="400" w:lineRule="exact"/>
        <w:ind w:right="0" w:rightChars="0" w:firstLine="64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 NY/T1325《绿色食品 芽苗类蔬菜》；</w:t>
      </w:r>
    </w:p>
    <w:p>
      <w:pPr>
        <w:pStyle w:val="13"/>
        <w:keepNext w:val="0"/>
        <w:keepLines w:val="0"/>
        <w:pageBreakBefore w:val="0"/>
        <w:kinsoku/>
        <w:wordWrap/>
        <w:overflowPunct/>
        <w:topLinePunct w:val="0"/>
        <w:bidi w:val="0"/>
        <w:spacing w:line="400" w:lineRule="exact"/>
        <w:ind w:right="0" w:rightChars="0" w:firstLine="64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国家食品药品监督管理总局 农业部 国家卫生和生育计划委员会 2015年第11号公告；</w:t>
      </w:r>
    </w:p>
    <w:p>
      <w:pPr>
        <w:pStyle w:val="13"/>
        <w:keepNext w:val="0"/>
        <w:keepLines w:val="0"/>
        <w:pageBreakBefore w:val="0"/>
        <w:kinsoku/>
        <w:wordWrap/>
        <w:overflowPunct/>
        <w:topLinePunct w:val="0"/>
        <w:bidi w:val="0"/>
        <w:spacing w:line="400" w:lineRule="exact"/>
        <w:ind w:right="0" w:rightChars="0" w:firstLine="64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国家食品药品监督管理总局</w:t>
      </w:r>
      <w:r>
        <w:rPr>
          <w:rFonts w:hint="eastAsia" w:ascii="仿宋" w:hAnsi="仿宋" w:eastAsia="仿宋" w:cs="仿宋"/>
          <w:b w:val="0"/>
          <w:bCs w:val="0"/>
          <w:sz w:val="32"/>
          <w:szCs w:val="32"/>
        </w:rPr>
        <w:t>食品安全监督抽检和风险监测指定方法</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豆芽中4-氯苯氧乙酸钠、6-苄基腺嘌呤、2,4-滴、赤霉素、福美双的测定</w:t>
      </w:r>
      <w:r>
        <w:rPr>
          <w:rFonts w:hint="eastAsia" w:ascii="仿宋" w:hAnsi="仿宋" w:eastAsia="仿宋" w:cs="仿宋"/>
          <w:b w:val="0"/>
          <w:bCs w:val="0"/>
          <w:sz w:val="32"/>
          <w:szCs w:val="32"/>
          <w:lang w:eastAsia="zh-CN"/>
        </w:rPr>
        <w:t>；</w:t>
      </w:r>
    </w:p>
    <w:p>
      <w:pPr>
        <w:pStyle w:val="13"/>
        <w:keepNext w:val="0"/>
        <w:keepLines w:val="0"/>
        <w:pageBreakBefore w:val="0"/>
        <w:kinsoku/>
        <w:wordWrap/>
        <w:overflowPunct/>
        <w:topLinePunct w:val="0"/>
        <w:bidi w:val="0"/>
        <w:spacing w:line="400" w:lineRule="exact"/>
        <w:ind w:right="0" w:rightChars="0" w:firstLine="640"/>
        <w:textAlignment w:val="auto"/>
        <w:outlineLvl w:val="9"/>
        <w:rPr>
          <w:rFonts w:hint="eastAsia" w:ascii="仿宋" w:hAnsi="仿宋" w:eastAsia="仿宋" w:cs="仿宋"/>
          <w:b w:val="0"/>
          <w:bCs w:val="0"/>
          <w:sz w:val="32"/>
          <w:szCs w:val="32"/>
        </w:rPr>
      </w:pPr>
      <w:r>
        <w:rPr>
          <w:rFonts w:hint="eastAsia" w:ascii="仿宋" w:hAnsi="仿宋" w:eastAsia="仿宋" w:cs="仿宋"/>
          <w:b w:val="0"/>
          <w:bCs w:val="0"/>
          <w:sz w:val="32"/>
          <w:szCs w:val="32"/>
        </w:rPr>
        <w:t>经</w:t>
      </w:r>
      <w:r>
        <w:rPr>
          <w:rFonts w:hint="eastAsia" w:ascii="仿宋" w:hAnsi="仿宋" w:eastAsia="仿宋" w:cs="仿宋"/>
          <w:b w:val="0"/>
          <w:bCs w:val="0"/>
          <w:sz w:val="32"/>
          <w:szCs w:val="32"/>
          <w:lang w:eastAsia="zh-CN"/>
        </w:rPr>
        <w:t>省卫计委</w:t>
      </w:r>
      <w:r>
        <w:rPr>
          <w:rFonts w:hint="eastAsia" w:ascii="仿宋" w:hAnsi="仿宋" w:eastAsia="仿宋" w:cs="仿宋"/>
          <w:b w:val="0"/>
          <w:bCs w:val="0"/>
          <w:sz w:val="32"/>
          <w:szCs w:val="32"/>
        </w:rPr>
        <w:t>备案现行有效的企业标准。</w:t>
      </w:r>
    </w:p>
    <w:p>
      <w:pPr>
        <w:keepNext w:val="0"/>
        <w:keepLines w:val="0"/>
        <w:pageBreakBefore w:val="0"/>
        <w:widowControl/>
        <w:shd w:val="clear" w:color="auto" w:fill="FFFFFF"/>
        <w:kinsoku/>
        <w:wordWrap/>
        <w:overflowPunct/>
        <w:topLinePunct w:val="0"/>
        <w:bidi w:val="0"/>
        <w:spacing w:line="400" w:lineRule="exact"/>
        <w:ind w:left="720" w:right="0" w:rightChars="0" w:firstLine="480"/>
        <w:textAlignment w:val="auto"/>
        <w:outlineLvl w:val="9"/>
        <w:rPr>
          <w:rFonts w:hint="eastAsia" w:ascii="仿宋" w:hAnsi="仿宋" w:eastAsia="仿宋" w:cs="仿宋"/>
          <w:b w:val="0"/>
          <w:bCs w:val="0"/>
          <w:color w:val="434343"/>
          <w:kern w:val="0"/>
          <w:sz w:val="32"/>
          <w:szCs w:val="32"/>
        </w:rPr>
      </w:pPr>
    </w:p>
    <w:p>
      <w:pPr>
        <w:keepNext w:val="0"/>
        <w:keepLines w:val="0"/>
        <w:pageBreakBefore w:val="0"/>
        <w:widowControl/>
        <w:shd w:val="clear" w:color="auto" w:fill="FFFFFF"/>
        <w:kinsoku/>
        <w:wordWrap/>
        <w:overflowPunct/>
        <w:topLinePunct w:val="0"/>
        <w:bidi w:val="0"/>
        <w:spacing w:line="400" w:lineRule="exact"/>
        <w:ind w:left="720" w:right="0" w:rightChars="0" w:firstLine="480"/>
        <w:textAlignment w:val="auto"/>
        <w:outlineLvl w:val="9"/>
        <w:rPr>
          <w:rFonts w:ascii="宋体" w:hAnsi="宋体" w:eastAsia="宋体" w:cs="宋体"/>
          <w:color w:val="434343"/>
          <w:kern w:val="0"/>
          <w:sz w:val="26"/>
          <w:szCs w:val="26"/>
        </w:rPr>
      </w:pPr>
    </w:p>
    <w:p>
      <w:pPr>
        <w:keepNext w:val="0"/>
        <w:keepLines w:val="0"/>
        <w:pageBreakBefore w:val="0"/>
        <w:widowControl/>
        <w:shd w:val="clear" w:color="auto" w:fill="FFFFFF"/>
        <w:kinsoku/>
        <w:wordWrap/>
        <w:overflowPunct/>
        <w:topLinePunct w:val="0"/>
        <w:bidi w:val="0"/>
        <w:spacing w:line="400" w:lineRule="exact"/>
        <w:ind w:left="720" w:right="0" w:rightChars="0" w:firstLine="480"/>
        <w:textAlignment w:val="auto"/>
        <w:outlineLvl w:val="9"/>
        <w:rPr>
          <w:rFonts w:ascii="宋体" w:hAnsi="宋体" w:eastAsia="宋体" w:cs="宋体"/>
          <w:color w:val="434343"/>
          <w:kern w:val="0"/>
          <w:sz w:val="26"/>
          <w:szCs w:val="26"/>
        </w:rPr>
      </w:pPr>
    </w:p>
    <w:p>
      <w:pPr>
        <w:keepNext w:val="0"/>
        <w:keepLines w:val="0"/>
        <w:pageBreakBefore w:val="0"/>
        <w:kinsoku/>
        <w:wordWrap/>
        <w:overflowPunct/>
        <w:topLinePunct w:val="0"/>
        <w:bidi w:val="0"/>
        <w:spacing w:line="400" w:lineRule="exact"/>
        <w:ind w:right="0" w:rightChars="0"/>
        <w:jc w:val="left"/>
        <w:textAlignment w:val="auto"/>
        <w:outlineLvl w:val="9"/>
      </w:pPr>
    </w:p>
    <w:p>
      <w:pPr>
        <w:keepNext w:val="0"/>
        <w:keepLines w:val="0"/>
        <w:pageBreakBefore w:val="0"/>
        <w:kinsoku/>
        <w:wordWrap/>
        <w:overflowPunct/>
        <w:topLinePunct w:val="0"/>
        <w:bidi w:val="0"/>
        <w:spacing w:line="400" w:lineRule="exact"/>
        <w:ind w:right="0" w:rightChars="0"/>
        <w:jc w:val="left"/>
        <w:textAlignment w:val="auto"/>
        <w:outlineLvl w:val="9"/>
      </w:pPr>
    </w:p>
    <w:p>
      <w:pPr>
        <w:keepNext w:val="0"/>
        <w:keepLines w:val="0"/>
        <w:pageBreakBefore w:val="0"/>
        <w:kinsoku/>
        <w:wordWrap/>
        <w:overflowPunct/>
        <w:topLinePunct w:val="0"/>
        <w:bidi w:val="0"/>
        <w:spacing w:line="400" w:lineRule="exact"/>
        <w:ind w:right="0" w:rightChars="0"/>
        <w:jc w:val="left"/>
        <w:textAlignment w:val="auto"/>
        <w:outlineLvl w:val="9"/>
      </w:pPr>
    </w:p>
    <w:p>
      <w:pPr>
        <w:keepNext w:val="0"/>
        <w:keepLines w:val="0"/>
        <w:pageBreakBefore w:val="0"/>
        <w:kinsoku/>
        <w:wordWrap/>
        <w:overflowPunct/>
        <w:topLinePunct w:val="0"/>
        <w:bidi w:val="0"/>
        <w:spacing w:line="400" w:lineRule="exact"/>
        <w:ind w:right="0" w:rightChars="0"/>
        <w:jc w:val="left"/>
        <w:textAlignment w:val="auto"/>
        <w:outlineLvl w:val="9"/>
      </w:pPr>
    </w:p>
    <w:p>
      <w:pPr>
        <w:keepNext w:val="0"/>
        <w:keepLines w:val="0"/>
        <w:pageBreakBefore w:val="0"/>
        <w:kinsoku/>
        <w:wordWrap/>
        <w:overflowPunct/>
        <w:topLinePunct w:val="0"/>
        <w:bidi w:val="0"/>
        <w:spacing w:line="400" w:lineRule="exact"/>
        <w:ind w:right="0" w:rightChars="0"/>
        <w:jc w:val="left"/>
        <w:textAlignment w:val="auto"/>
        <w:outlineLvl w:val="9"/>
      </w:pPr>
    </w:p>
    <w:p>
      <w:pPr>
        <w:keepNext w:val="0"/>
        <w:keepLines w:val="0"/>
        <w:pageBreakBefore w:val="0"/>
        <w:kinsoku/>
        <w:wordWrap/>
        <w:overflowPunct/>
        <w:topLinePunct w:val="0"/>
        <w:bidi w:val="0"/>
        <w:spacing w:line="400" w:lineRule="exact"/>
        <w:ind w:right="0" w:rightChars="0"/>
        <w:jc w:val="left"/>
        <w:textAlignment w:val="auto"/>
        <w:outlineLvl w:val="9"/>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A0204"/>
    <w:charset w:val="00"/>
    <w:family w:val="roman"/>
    <w:pitch w:val="default"/>
    <w:sig w:usb0="A00002EF" w:usb1="4000004B"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仿宋_GB2312">
    <w:altName w:val="仿宋"/>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E31B07"/>
    <w:multiLevelType w:val="multilevel"/>
    <w:tmpl w:val="47E31B0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3027D1"/>
    <w:rsid w:val="003027D1"/>
    <w:rsid w:val="00510874"/>
    <w:rsid w:val="005A2168"/>
    <w:rsid w:val="005B1C3C"/>
    <w:rsid w:val="00633613"/>
    <w:rsid w:val="00695A39"/>
    <w:rsid w:val="007662E6"/>
    <w:rsid w:val="00864461"/>
    <w:rsid w:val="00940C08"/>
    <w:rsid w:val="00D77E07"/>
    <w:rsid w:val="07F03960"/>
    <w:rsid w:val="1A99727D"/>
    <w:rsid w:val="21737F20"/>
    <w:rsid w:val="29E80899"/>
    <w:rsid w:val="42EF2F90"/>
    <w:rsid w:val="587D67AB"/>
    <w:rsid w:val="5D0C13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2"/>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Hyperlink"/>
    <w:basedOn w:val="6"/>
    <w:unhideWhenUsed/>
    <w:qFormat/>
    <w:uiPriority w:val="99"/>
    <w:rPr>
      <w:color w:val="0000FF"/>
      <w:u w:val="single"/>
    </w:rPr>
  </w:style>
  <w:style w:type="character" w:customStyle="1" w:styleId="9">
    <w:name w:val="页眉 Char"/>
    <w:basedOn w:val="6"/>
    <w:link w:val="4"/>
    <w:semiHidden/>
    <w:qFormat/>
    <w:uiPriority w:val="99"/>
    <w:rPr>
      <w:sz w:val="18"/>
      <w:szCs w:val="18"/>
    </w:rPr>
  </w:style>
  <w:style w:type="character" w:customStyle="1" w:styleId="10">
    <w:name w:val="页脚 Char"/>
    <w:basedOn w:val="6"/>
    <w:link w:val="3"/>
    <w:semiHidden/>
    <w:qFormat/>
    <w:uiPriority w:val="99"/>
    <w:rPr>
      <w:sz w:val="18"/>
      <w:szCs w:val="18"/>
    </w:rPr>
  </w:style>
  <w:style w:type="character" w:customStyle="1" w:styleId="11">
    <w:name w:val="apple-converted-space"/>
    <w:basedOn w:val="6"/>
    <w:qFormat/>
    <w:uiPriority w:val="0"/>
  </w:style>
  <w:style w:type="character" w:customStyle="1" w:styleId="12">
    <w:name w:val="批注框文本 Char"/>
    <w:basedOn w:val="6"/>
    <w:link w:val="2"/>
    <w:semiHidden/>
    <w:qFormat/>
    <w:uiPriority w:val="99"/>
    <w:rPr>
      <w:sz w:val="18"/>
      <w:szCs w:val="18"/>
    </w:rPr>
  </w:style>
  <w:style w:type="paragraph" w:customStyle="1" w:styleId="13">
    <w:name w:val="列出段落1"/>
    <w:basedOn w:val="1"/>
    <w:qFormat/>
    <w:uiPriority w:val="34"/>
    <w:pPr>
      <w:widowControl/>
      <w:ind w:firstLine="420" w:firstLineChars="200"/>
      <w:jc w:val="left"/>
    </w:pPr>
    <w:rPr>
      <w:rFonts w:ascii="宋体" w:hAnsi="宋体" w:eastAsia="宋体" w:cs="宋体"/>
      <w:kern w:val="0"/>
      <w:sz w:val="24"/>
      <w:szCs w:val="24"/>
    </w:rPr>
  </w:style>
  <w:style w:type="character" w:customStyle="1" w:styleId="14">
    <w:name w:val="附录一级条标题 Char"/>
    <w:basedOn w:val="15"/>
    <w:link w:val="18"/>
    <w:qFormat/>
    <w:uiPriority w:val="0"/>
  </w:style>
  <w:style w:type="character" w:customStyle="1" w:styleId="15">
    <w:name w:val="附录章标题 Char"/>
    <w:link w:val="16"/>
    <w:qFormat/>
    <w:uiPriority w:val="0"/>
    <w:rPr>
      <w:rFonts w:ascii="黑体" w:eastAsia="黑体"/>
      <w:kern w:val="21"/>
    </w:rPr>
  </w:style>
  <w:style w:type="paragraph" w:customStyle="1" w:styleId="16">
    <w:name w:val="附录章标题"/>
    <w:next w:val="17"/>
    <w:link w:val="15"/>
    <w:qFormat/>
    <w:uiPriority w:val="0"/>
    <w:pPr>
      <w:wordWrap w:val="0"/>
      <w:overflowPunct w:val="0"/>
      <w:autoSpaceDE w:val="0"/>
      <w:spacing w:beforeLines="50" w:afterLines="50"/>
      <w:jc w:val="both"/>
      <w:textAlignment w:val="baseline"/>
      <w:outlineLvl w:val="1"/>
    </w:pPr>
    <w:rPr>
      <w:rFonts w:ascii="黑体" w:eastAsia="黑体" w:hAnsiTheme="minorHAnsi" w:cstheme="minorBidi"/>
      <w:kern w:val="21"/>
      <w:sz w:val="21"/>
      <w:szCs w:val="22"/>
      <w:lang w:val="en-US" w:eastAsia="zh-CN" w:bidi="ar-SA"/>
    </w:rPr>
  </w:style>
  <w:style w:type="paragraph" w:customStyle="1" w:styleId="17">
    <w:name w:val="段"/>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paragraph" w:customStyle="1" w:styleId="18">
    <w:name w:val="附录一级条标题"/>
    <w:basedOn w:val="16"/>
    <w:next w:val="17"/>
    <w:link w:val="14"/>
    <w:qFormat/>
    <w:uiPriority w:val="0"/>
    <w:pPr>
      <w:autoSpaceDN w:val="0"/>
      <w:spacing w:beforeLines="0" w:afterLines="0"/>
      <w:ind w:firstLine="400"/>
      <w:outlineLvl w:val="2"/>
    </w:pPr>
  </w:style>
  <w:style w:type="paragraph" w:customStyle="1" w:styleId="19">
    <w:name w:val="附录二级条标题"/>
    <w:basedOn w:val="18"/>
    <w:next w:val="17"/>
    <w:qFormat/>
    <w:uiPriority w:val="0"/>
    <w:pPr>
      <w:ind w:firstLine="400"/>
      <w:outlineLvl w:val="3"/>
    </w:pPr>
  </w:style>
  <w:style w:type="paragraph" w:customStyle="1" w:styleId="20">
    <w:name w:val="List Paragraph"/>
    <w:basedOn w:val="1"/>
    <w:qFormat/>
    <w:uiPriority w:val="34"/>
    <w:pPr>
      <w:ind w:firstLine="420" w:firstLineChars="200"/>
    </w:pPr>
    <w:rPr>
      <w:rFonts w:ascii="宋体" w:hAnsi="宋体" w:eastAsia="宋体" w:cs="Times New Roman"/>
      <w:sz w:val="24"/>
      <w:szCs w:val="24"/>
    </w:rPr>
  </w:style>
  <w:style w:type="paragraph" w:customStyle="1" w:styleId="21">
    <w:name w:val="列出段落2"/>
    <w:basedOn w:val="1"/>
    <w:qFormat/>
    <w:uiPriority w:val="0"/>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2912</Words>
  <Characters>16602</Characters>
  <Lines>138</Lines>
  <Paragraphs>38</Paragraphs>
  <ScaleCrop>false</ScaleCrop>
  <LinksUpToDate>false</LinksUpToDate>
  <CharactersWithSpaces>19476</CharactersWithSpaces>
  <Application>WPS Office_10.1.0.6489_F1E327BC-269C-435d-A152-05C5408002CA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2017-06-06T07:04:00Z</dcterms:created>
  <dc:creator>张婷</dc:creator>
  <cp:lastModifiedBy>Administrator</cp:lastModifiedBy>
  <cp:lastPrinted>2017-07-04T06:21:48Z</cp:lastPrinted>
  <dcterms:modified xsi:type="dcterms:W3CDTF">2017-07-04T06:23:58Z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2052-10.1.0.6489</vt:lpwstr>
  </property>
</Properties>
</file>