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678AE" w:rsidRDefault="00881C94" w:rsidP="00C30CB2">
      <w:pPr>
        <w:widowControl/>
        <w:spacing w:afterLines="50" w:after="156"/>
        <w:jc w:val="center"/>
        <w:rPr>
          <w:rFonts w:ascii="方正小标宋简体" w:eastAsia="方正小标宋简体"/>
          <w:b/>
          <w:bCs/>
          <w:kern w:val="0"/>
          <w:sz w:val="32"/>
          <w:szCs w:val="32"/>
        </w:rPr>
      </w:pPr>
      <w:r>
        <w:rPr>
          <w:rFonts w:ascii="方正小标宋简体" w:eastAsia="方正小标宋简体" w:hAnsi="方正仿宋简体" w:cs="方正仿宋简体" w:hint="eastAsia"/>
          <w:b/>
          <w:sz w:val="32"/>
          <w:szCs w:val="32"/>
        </w:rPr>
        <w:t>金属材质-接触烘焙食品的生产设备</w:t>
      </w:r>
      <w:r w:rsidR="00ED2B35">
        <w:rPr>
          <w:rFonts w:ascii="方正小标宋简体" w:eastAsia="方正小标宋简体" w:hAnsi="方正仿宋简体" w:cs="方正仿宋简体" w:hint="eastAsia"/>
          <w:b/>
          <w:sz w:val="32"/>
          <w:szCs w:val="32"/>
        </w:rPr>
        <w:t>生产过程风险因子及控制措施表</w:t>
      </w:r>
    </w:p>
    <w:tbl>
      <w:tblPr>
        <w:tblW w:w="14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207"/>
        <w:gridCol w:w="909"/>
        <w:gridCol w:w="912"/>
        <w:gridCol w:w="874"/>
        <w:gridCol w:w="1111"/>
        <w:gridCol w:w="1216"/>
        <w:gridCol w:w="1311"/>
        <w:gridCol w:w="2141"/>
        <w:gridCol w:w="2733"/>
        <w:gridCol w:w="1216"/>
      </w:tblGrid>
      <w:tr w:rsidR="007678AE">
        <w:trPr>
          <w:trHeight w:val="507"/>
          <w:tblHeader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材质类别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基本工艺流程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风险因子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风险因子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种类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风险因子名称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风险因子来源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关键控制点</w:t>
            </w:r>
          </w:p>
          <w:p w:rsidR="007678AE" w:rsidRDefault="00ED2B3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（工序）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关键控制因子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关键限值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（</w:t>
            </w:r>
            <w:proofErr w:type="gramStart"/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含控制</w:t>
            </w:r>
            <w:proofErr w:type="gramEnd"/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要求）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控制措施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br/>
              <w:t>（包含预防措施、监控程序、纠偏行动、验证审核、记录等）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widowControl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参考依据*</w:t>
            </w:r>
          </w:p>
        </w:tc>
      </w:tr>
      <w:tr w:rsidR="007678AE">
        <w:trPr>
          <w:trHeight w:val="2595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1.与食品接触的不锈钢部件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原料验收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原料准备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↓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成型加工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热处理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表面处理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（精加工）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检验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包装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入库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化学性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重金属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铅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铬</w:t>
            </w:r>
            <w:proofErr w:type="gramEnd"/>
          </w:p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镍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镉</w:t>
            </w:r>
            <w:proofErr w:type="gramEnd"/>
          </w:p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砷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劣质原料导致不锈钢部件中铅、铬、镍、镉、砷的迁移量超标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原料验收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1、原材料的种类。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2、原材料中的铅、铬、镍、镉、砷的迁移量。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spacing w:line="240" w:lineRule="atLeas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1、原材料的成分应符合GB/T 3280中相关牌号的要求。</w:t>
            </w:r>
          </w:p>
          <w:p w:rsidR="007678AE" w:rsidRDefault="00ED2B35">
            <w:pPr>
              <w:spacing w:line="240" w:lineRule="atLeas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2、原材料中重金属迁移量的要求符合：</w:t>
            </w:r>
          </w:p>
          <w:p w:rsidR="007678AE" w:rsidRDefault="00ED2B35">
            <w:pPr>
              <w:spacing w:line="240" w:lineRule="atLeas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铅迁移量≤0.01mg/dm</w:t>
            </w:r>
            <w:r>
              <w:rPr>
                <w:rFonts w:ascii="宋体" w:hAnsi="宋体" w:cs="宋体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；</w:t>
            </w:r>
          </w:p>
          <w:p w:rsidR="007678AE" w:rsidRDefault="00ED2B35">
            <w:pPr>
              <w:spacing w:line="240" w:lineRule="atLeast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铬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迁移量≤0.4mg/dm</w:t>
            </w:r>
            <w:r>
              <w:rPr>
                <w:rFonts w:ascii="宋体" w:hAnsi="宋体" w:cs="宋体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；</w:t>
            </w:r>
          </w:p>
          <w:p w:rsidR="007678AE" w:rsidRDefault="00ED2B35">
            <w:pPr>
              <w:spacing w:line="240" w:lineRule="atLeas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镍迁移量≤0.1mg/dm</w:t>
            </w:r>
            <w:r>
              <w:rPr>
                <w:rFonts w:ascii="宋体" w:hAnsi="宋体" w:cs="宋体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；</w:t>
            </w:r>
          </w:p>
          <w:p w:rsidR="007678AE" w:rsidRDefault="00ED2B35">
            <w:pPr>
              <w:spacing w:line="240" w:lineRule="atLeast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镉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迁移量≤0.005mg/dm</w:t>
            </w:r>
            <w:r>
              <w:rPr>
                <w:rFonts w:ascii="宋体" w:hAnsi="宋体" w:cs="宋体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；</w:t>
            </w:r>
          </w:p>
          <w:p w:rsidR="007678AE" w:rsidRDefault="00ED2B35">
            <w:pPr>
              <w:spacing w:line="240" w:lineRule="atLeast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砷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迁移量≤0.008mg/dm</w:t>
            </w:r>
            <w:r>
              <w:rPr>
                <w:rFonts w:ascii="宋体" w:hAnsi="宋体" w:cs="宋体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  <w:p w:rsidR="007678AE" w:rsidRDefault="007678AE">
            <w:pPr>
              <w:spacing w:line="240" w:lineRule="atLeas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（1）制定原辅料采购的管理制度；</w:t>
            </w:r>
          </w:p>
          <w:p w:rsidR="007678AE" w:rsidRDefault="00ED2B3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（2）对原辅料供应商进行选择、管理，包括对原辅料供应商进行资格认定；</w:t>
            </w:r>
          </w:p>
          <w:p w:rsidR="007678AE" w:rsidRDefault="00ED2B3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（3）购入原料时验证供货商检验报告，并确认采购材料符合GB/T 3280中相关牌号的要求（自检或送检）；</w:t>
            </w:r>
          </w:p>
          <w:p w:rsidR="007678AE" w:rsidRDefault="00ED2B3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（4）对原辅料重金属迁移量进行检验和验证（自检或送检），拒收检验不合格的原料，并保留记录；</w:t>
            </w:r>
          </w:p>
          <w:p w:rsidR="007678AE" w:rsidRDefault="00ED2B3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（5）保存原料入库记录，包括原辅料使用台帐，记录材料的名称、规格、数量、生产批号、供货者名称、进出货日期等内容。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铅、铬、镍、镉、砷的迁移量参照GB 9684-2011《食品安全国家标准不锈钢制品》</w:t>
            </w:r>
          </w:p>
        </w:tc>
      </w:tr>
      <w:tr w:rsidR="007678AE">
        <w:trPr>
          <w:trHeight w:val="1701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2.与食品接触的铝及铝合金制品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原料验收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原料准备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↓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成型加工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热处理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表面处理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（精加工）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检验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包装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入库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化学性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重金属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锌</w:t>
            </w:r>
            <w:proofErr w:type="gramEnd"/>
          </w:p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铅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镉</w:t>
            </w:r>
            <w:proofErr w:type="gramEnd"/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砷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widowControl/>
              <w:spacing w:line="240" w:lineRule="atLeas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劣质原料导致锌、铅、镉和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砷的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迁移量超标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原料验收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1、原材料的种类。</w:t>
            </w:r>
          </w:p>
          <w:p w:rsidR="007678AE" w:rsidRDefault="00ED2B35">
            <w:pPr>
              <w:spacing w:line="240" w:lineRule="atLeas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2、原材料中的锌、铅、镉和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砷的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迁移量。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spacing w:line="240" w:lineRule="atLeas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1、原材料应符合GB/T 3190-2008《变形铝及铝合金化学成分》中相关牌号的要求。</w:t>
            </w:r>
          </w:p>
          <w:p w:rsidR="007678AE" w:rsidRDefault="00ED2B35">
            <w:pPr>
              <w:spacing w:line="240" w:lineRule="atLeas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2、原材料中重金属迁移量的要求符合：</w:t>
            </w:r>
          </w:p>
          <w:p w:rsidR="007678AE" w:rsidRDefault="00ED2B35">
            <w:pPr>
              <w:spacing w:line="240" w:lineRule="atLeas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锌（以Zn计，4%乙酸浸泡液中），≤1 mg/L；</w:t>
            </w:r>
          </w:p>
          <w:p w:rsidR="007678AE" w:rsidRDefault="00ED2B35">
            <w:pPr>
              <w:spacing w:line="240" w:lineRule="atLeas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铅（以</w:t>
            </w:r>
            <w:proofErr w:type="spell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Pb</w:t>
            </w:r>
            <w:proofErr w:type="spell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计，4%乙酸浸泡液中），精铝≤0.2 mg/L，回收铝≤5 mg/L；</w:t>
            </w:r>
          </w:p>
          <w:p w:rsidR="007678AE" w:rsidRDefault="00ED2B35">
            <w:pPr>
              <w:spacing w:line="240" w:lineRule="atLeas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镉（以Cd计，4%乙酸浸泡液中），≤0.02 mg/L；</w:t>
            </w:r>
          </w:p>
          <w:p w:rsidR="007678AE" w:rsidRDefault="00ED2B35">
            <w:pPr>
              <w:spacing w:line="240" w:lineRule="atLeas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砷（以As计，4%乙酸浸泡液中），≤0.04 mg/L。（4%乙酸，煮沸30min，再室温放置24h）。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（1）制定原辅料采购的管理制度；</w:t>
            </w:r>
          </w:p>
          <w:p w:rsidR="007678AE" w:rsidRDefault="00ED2B3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（2）对原辅料供应商进行选择、管理，包括对原辅料供应商进行资格认定；</w:t>
            </w:r>
          </w:p>
          <w:p w:rsidR="007678AE" w:rsidRDefault="00ED2B3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（3）购入原辅料时验证供货商检验报告，并确认采购材料符合GB/T 3190中相关牌号的要求（自检或送检）；</w:t>
            </w:r>
          </w:p>
          <w:p w:rsidR="007678AE" w:rsidRDefault="00ED2B3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（4）对原辅料重金属迁移量进行检验和验证（自检或送检），拒收检验不合格的原料，并保留记录；</w:t>
            </w:r>
          </w:p>
          <w:p w:rsidR="007678AE" w:rsidRDefault="00ED2B35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（5）保存原辅料入库记录，包括原辅料使用台帐，记录材料的名称、规格、数量、生产批号、供货者名称、进出货日期等内容。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AE" w:rsidRDefault="00ED2B35"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锌、铅、镉、砷的迁移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量依据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GB11333-1989《铝制食具容器卫生标准》</w:t>
            </w:r>
          </w:p>
        </w:tc>
      </w:tr>
    </w:tbl>
    <w:p w:rsidR="007678AE" w:rsidRDefault="007678AE" w:rsidP="001A38EC">
      <w:pPr>
        <w:rPr>
          <w:rFonts w:ascii="方正仿宋简体" w:eastAsia="方正仿宋简体" w:hAnsi="方正仿宋简体" w:cs="方正仿宋简体"/>
          <w:sz w:val="32"/>
          <w:szCs w:val="32"/>
        </w:rPr>
      </w:pPr>
      <w:bookmarkStart w:id="0" w:name="_GoBack"/>
      <w:bookmarkEnd w:id="0"/>
    </w:p>
    <w:sectPr w:rsidR="007678AE" w:rsidSect="001A38EC">
      <w:footerReference w:type="default" r:id="rId10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579" w:rsidRDefault="00A95579" w:rsidP="007678AE">
      <w:r>
        <w:separator/>
      </w:r>
    </w:p>
  </w:endnote>
  <w:endnote w:type="continuationSeparator" w:id="0">
    <w:p w:rsidR="00A95579" w:rsidRDefault="00A95579" w:rsidP="0076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8AE" w:rsidRDefault="007678AE">
    <w:pPr>
      <w:pStyle w:val="a7"/>
      <w:ind w:right="360"/>
      <w:jc w:val="center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579" w:rsidRDefault="00A95579" w:rsidP="007678AE">
      <w:r>
        <w:separator/>
      </w:r>
    </w:p>
  </w:footnote>
  <w:footnote w:type="continuationSeparator" w:id="0">
    <w:p w:rsidR="00A95579" w:rsidRDefault="00A95579" w:rsidP="00767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43D9D"/>
    <w:multiLevelType w:val="multilevel"/>
    <w:tmpl w:val="21B43D9D"/>
    <w:lvl w:ilvl="0">
      <w:start w:val="1"/>
      <w:numFmt w:val="decimal"/>
      <w:lvlText w:val="%1"/>
      <w:lvlJc w:val="left"/>
      <w:pPr>
        <w:ind w:left="429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28A237"/>
    <w:multiLevelType w:val="multilevel"/>
    <w:tmpl w:val="5728A237"/>
    <w:lvl w:ilvl="0">
      <w:start w:val="1"/>
      <w:numFmt w:val="decimal"/>
      <w:lvlText w:val="%1"/>
      <w:lvlJc w:val="left"/>
      <w:pPr>
        <w:ind w:left="429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777"/>
    <w:rsid w:val="00015424"/>
    <w:rsid w:val="00024B5B"/>
    <w:rsid w:val="00041D59"/>
    <w:rsid w:val="0004394E"/>
    <w:rsid w:val="000734CC"/>
    <w:rsid w:val="000A49B4"/>
    <w:rsid w:val="000B0211"/>
    <w:rsid w:val="000D210C"/>
    <w:rsid w:val="000D2490"/>
    <w:rsid w:val="000D54FB"/>
    <w:rsid w:val="000D6C61"/>
    <w:rsid w:val="000E171D"/>
    <w:rsid w:val="000F18AA"/>
    <w:rsid w:val="001071C5"/>
    <w:rsid w:val="00135250"/>
    <w:rsid w:val="00142892"/>
    <w:rsid w:val="00142BA7"/>
    <w:rsid w:val="0015632E"/>
    <w:rsid w:val="00163399"/>
    <w:rsid w:val="0016346B"/>
    <w:rsid w:val="00173233"/>
    <w:rsid w:val="001823AD"/>
    <w:rsid w:val="001868DA"/>
    <w:rsid w:val="00190B22"/>
    <w:rsid w:val="001A3487"/>
    <w:rsid w:val="001A38EC"/>
    <w:rsid w:val="001A4A0F"/>
    <w:rsid w:val="001C1F34"/>
    <w:rsid w:val="001D56CA"/>
    <w:rsid w:val="001D5ED8"/>
    <w:rsid w:val="001F0F9A"/>
    <w:rsid w:val="001F2FF2"/>
    <w:rsid w:val="001F348D"/>
    <w:rsid w:val="001F5470"/>
    <w:rsid w:val="00200AC6"/>
    <w:rsid w:val="002068A6"/>
    <w:rsid w:val="00244994"/>
    <w:rsid w:val="00246111"/>
    <w:rsid w:val="00251FB3"/>
    <w:rsid w:val="00292034"/>
    <w:rsid w:val="00295253"/>
    <w:rsid w:val="002A35BD"/>
    <w:rsid w:val="002B03A0"/>
    <w:rsid w:val="002B40E3"/>
    <w:rsid w:val="002B6604"/>
    <w:rsid w:val="002D0C10"/>
    <w:rsid w:val="002D36BD"/>
    <w:rsid w:val="002E19EB"/>
    <w:rsid w:val="002E562D"/>
    <w:rsid w:val="00304DA5"/>
    <w:rsid w:val="00322B75"/>
    <w:rsid w:val="00323049"/>
    <w:rsid w:val="0032365D"/>
    <w:rsid w:val="003250AD"/>
    <w:rsid w:val="00337875"/>
    <w:rsid w:val="003379C5"/>
    <w:rsid w:val="003533DF"/>
    <w:rsid w:val="00356B4D"/>
    <w:rsid w:val="003678F6"/>
    <w:rsid w:val="00372611"/>
    <w:rsid w:val="00395544"/>
    <w:rsid w:val="003B7DA9"/>
    <w:rsid w:val="003C0B75"/>
    <w:rsid w:val="003C0F6A"/>
    <w:rsid w:val="003E6C75"/>
    <w:rsid w:val="00412A1C"/>
    <w:rsid w:val="0046369B"/>
    <w:rsid w:val="00477059"/>
    <w:rsid w:val="00490AF9"/>
    <w:rsid w:val="00494FD7"/>
    <w:rsid w:val="004A5132"/>
    <w:rsid w:val="004A71F3"/>
    <w:rsid w:val="004B0EC7"/>
    <w:rsid w:val="004C4A89"/>
    <w:rsid w:val="004E50A0"/>
    <w:rsid w:val="00504470"/>
    <w:rsid w:val="005209AA"/>
    <w:rsid w:val="00570AB7"/>
    <w:rsid w:val="00593C67"/>
    <w:rsid w:val="005A0507"/>
    <w:rsid w:val="005B397C"/>
    <w:rsid w:val="005B4343"/>
    <w:rsid w:val="005B63BB"/>
    <w:rsid w:val="005C4D5B"/>
    <w:rsid w:val="005C528B"/>
    <w:rsid w:val="005D2A5D"/>
    <w:rsid w:val="005D3C75"/>
    <w:rsid w:val="005E75B9"/>
    <w:rsid w:val="005E7A2A"/>
    <w:rsid w:val="005F0A19"/>
    <w:rsid w:val="005F281C"/>
    <w:rsid w:val="00605A27"/>
    <w:rsid w:val="006235B5"/>
    <w:rsid w:val="00631776"/>
    <w:rsid w:val="0063289E"/>
    <w:rsid w:val="00640546"/>
    <w:rsid w:val="0064406F"/>
    <w:rsid w:val="00662D84"/>
    <w:rsid w:val="006645F8"/>
    <w:rsid w:val="006830A0"/>
    <w:rsid w:val="006B75C1"/>
    <w:rsid w:val="006C6F10"/>
    <w:rsid w:val="006D5773"/>
    <w:rsid w:val="006E32A6"/>
    <w:rsid w:val="006E5F1D"/>
    <w:rsid w:val="006F1EFE"/>
    <w:rsid w:val="00701295"/>
    <w:rsid w:val="00703261"/>
    <w:rsid w:val="007065E9"/>
    <w:rsid w:val="00717F03"/>
    <w:rsid w:val="00751E5F"/>
    <w:rsid w:val="007678AE"/>
    <w:rsid w:val="0078329D"/>
    <w:rsid w:val="00791EEC"/>
    <w:rsid w:val="007C7025"/>
    <w:rsid w:val="007D18C4"/>
    <w:rsid w:val="007D3CBC"/>
    <w:rsid w:val="007D6282"/>
    <w:rsid w:val="007E1C97"/>
    <w:rsid w:val="007F3FFF"/>
    <w:rsid w:val="00842F06"/>
    <w:rsid w:val="00845BB3"/>
    <w:rsid w:val="008553AC"/>
    <w:rsid w:val="00867B09"/>
    <w:rsid w:val="0087771C"/>
    <w:rsid w:val="00881C94"/>
    <w:rsid w:val="00885848"/>
    <w:rsid w:val="00886E7F"/>
    <w:rsid w:val="00895777"/>
    <w:rsid w:val="008972F8"/>
    <w:rsid w:val="008B0E87"/>
    <w:rsid w:val="008B2CD6"/>
    <w:rsid w:val="008B59BF"/>
    <w:rsid w:val="008C6CF2"/>
    <w:rsid w:val="008D628F"/>
    <w:rsid w:val="0090185B"/>
    <w:rsid w:val="00907FCA"/>
    <w:rsid w:val="0091383D"/>
    <w:rsid w:val="00913E20"/>
    <w:rsid w:val="00915F6D"/>
    <w:rsid w:val="00921784"/>
    <w:rsid w:val="00926D96"/>
    <w:rsid w:val="00947024"/>
    <w:rsid w:val="0095005E"/>
    <w:rsid w:val="0095654D"/>
    <w:rsid w:val="00984647"/>
    <w:rsid w:val="00997F90"/>
    <w:rsid w:val="009A2A15"/>
    <w:rsid w:val="009A4D66"/>
    <w:rsid w:val="009B352B"/>
    <w:rsid w:val="009D5868"/>
    <w:rsid w:val="009F36FB"/>
    <w:rsid w:val="00A11494"/>
    <w:rsid w:val="00A17F7E"/>
    <w:rsid w:val="00A212AD"/>
    <w:rsid w:val="00A22B23"/>
    <w:rsid w:val="00A22D98"/>
    <w:rsid w:val="00A26A9A"/>
    <w:rsid w:val="00A31305"/>
    <w:rsid w:val="00A42413"/>
    <w:rsid w:val="00A46DC6"/>
    <w:rsid w:val="00A55D9A"/>
    <w:rsid w:val="00A95579"/>
    <w:rsid w:val="00AA2F75"/>
    <w:rsid w:val="00AC2540"/>
    <w:rsid w:val="00AE1D6A"/>
    <w:rsid w:val="00AF082E"/>
    <w:rsid w:val="00AF5F4B"/>
    <w:rsid w:val="00B0081E"/>
    <w:rsid w:val="00B240C4"/>
    <w:rsid w:val="00B4285B"/>
    <w:rsid w:val="00B727B2"/>
    <w:rsid w:val="00B74E45"/>
    <w:rsid w:val="00B91422"/>
    <w:rsid w:val="00BA2A32"/>
    <w:rsid w:val="00BC475F"/>
    <w:rsid w:val="00BC7176"/>
    <w:rsid w:val="00BE3C37"/>
    <w:rsid w:val="00C17F3A"/>
    <w:rsid w:val="00C217FA"/>
    <w:rsid w:val="00C30CB2"/>
    <w:rsid w:val="00C40302"/>
    <w:rsid w:val="00C51512"/>
    <w:rsid w:val="00C948DF"/>
    <w:rsid w:val="00CB0828"/>
    <w:rsid w:val="00CB3CE7"/>
    <w:rsid w:val="00CB5E1D"/>
    <w:rsid w:val="00CB657F"/>
    <w:rsid w:val="00CB6806"/>
    <w:rsid w:val="00CD0283"/>
    <w:rsid w:val="00D13237"/>
    <w:rsid w:val="00D349D3"/>
    <w:rsid w:val="00D426B6"/>
    <w:rsid w:val="00D42A3D"/>
    <w:rsid w:val="00D903CB"/>
    <w:rsid w:val="00DA3C74"/>
    <w:rsid w:val="00DC1FEB"/>
    <w:rsid w:val="00DE0365"/>
    <w:rsid w:val="00DF7E28"/>
    <w:rsid w:val="00E03FEF"/>
    <w:rsid w:val="00E065F3"/>
    <w:rsid w:val="00E06B8F"/>
    <w:rsid w:val="00E06E2A"/>
    <w:rsid w:val="00E131E0"/>
    <w:rsid w:val="00E13466"/>
    <w:rsid w:val="00E33397"/>
    <w:rsid w:val="00E522C1"/>
    <w:rsid w:val="00E55C24"/>
    <w:rsid w:val="00E731FC"/>
    <w:rsid w:val="00EB5139"/>
    <w:rsid w:val="00EC0619"/>
    <w:rsid w:val="00EC7F1D"/>
    <w:rsid w:val="00ED2B35"/>
    <w:rsid w:val="00ED61C9"/>
    <w:rsid w:val="00F255E3"/>
    <w:rsid w:val="00F25703"/>
    <w:rsid w:val="00F424B9"/>
    <w:rsid w:val="00F457B9"/>
    <w:rsid w:val="00F57C9D"/>
    <w:rsid w:val="00F603DF"/>
    <w:rsid w:val="00F64E08"/>
    <w:rsid w:val="00F67792"/>
    <w:rsid w:val="00F7358A"/>
    <w:rsid w:val="00FB6DAF"/>
    <w:rsid w:val="00FC49FF"/>
    <w:rsid w:val="00FD29E4"/>
    <w:rsid w:val="00FF0F88"/>
    <w:rsid w:val="0DA925E1"/>
    <w:rsid w:val="101626F1"/>
    <w:rsid w:val="126846F4"/>
    <w:rsid w:val="15034E08"/>
    <w:rsid w:val="1A214622"/>
    <w:rsid w:val="20E12972"/>
    <w:rsid w:val="2C1C43EC"/>
    <w:rsid w:val="2CB745EA"/>
    <w:rsid w:val="2D042DF0"/>
    <w:rsid w:val="3B195DA9"/>
    <w:rsid w:val="3BC2225D"/>
    <w:rsid w:val="4688284D"/>
    <w:rsid w:val="4D9642D9"/>
    <w:rsid w:val="543D0162"/>
    <w:rsid w:val="55E46FF7"/>
    <w:rsid w:val="57981FAE"/>
    <w:rsid w:val="5AE56332"/>
    <w:rsid w:val="61C21F70"/>
    <w:rsid w:val="75DC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semiHidden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annotation reference" w:semiHidden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8AE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7678AE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7678AE"/>
    <w:pPr>
      <w:jc w:val="left"/>
    </w:pPr>
  </w:style>
  <w:style w:type="paragraph" w:styleId="a5">
    <w:name w:val="Plain Text"/>
    <w:basedOn w:val="a"/>
    <w:link w:val="Char1"/>
    <w:uiPriority w:val="99"/>
    <w:unhideWhenUsed/>
    <w:qFormat/>
    <w:rsid w:val="007678AE"/>
    <w:rPr>
      <w:rFonts w:ascii="宋体" w:hAnsi="Courier New" w:cs="Times New Roman" w:hint="eastAsia"/>
      <w:szCs w:val="20"/>
    </w:rPr>
  </w:style>
  <w:style w:type="paragraph" w:styleId="a6">
    <w:name w:val="Balloon Text"/>
    <w:basedOn w:val="a"/>
    <w:link w:val="Char2"/>
    <w:uiPriority w:val="99"/>
    <w:unhideWhenUsed/>
    <w:qFormat/>
    <w:rsid w:val="007678AE"/>
    <w:rPr>
      <w:sz w:val="18"/>
      <w:szCs w:val="18"/>
    </w:rPr>
  </w:style>
  <w:style w:type="paragraph" w:styleId="a7">
    <w:name w:val="footer"/>
    <w:basedOn w:val="a"/>
    <w:link w:val="Char3"/>
    <w:uiPriority w:val="99"/>
    <w:qFormat/>
    <w:rsid w:val="007678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qFormat/>
    <w:rsid w:val="007678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basedOn w:val="a0"/>
    <w:qFormat/>
    <w:locked/>
    <w:rsid w:val="007678AE"/>
    <w:rPr>
      <w:b/>
    </w:rPr>
  </w:style>
  <w:style w:type="character" w:styleId="aa">
    <w:name w:val="annotation reference"/>
    <w:basedOn w:val="a0"/>
    <w:uiPriority w:val="99"/>
    <w:unhideWhenUsed/>
    <w:qFormat/>
    <w:rsid w:val="007678AE"/>
    <w:rPr>
      <w:sz w:val="21"/>
      <w:szCs w:val="21"/>
    </w:rPr>
  </w:style>
  <w:style w:type="character" w:customStyle="1" w:styleId="Char4">
    <w:name w:val="页眉 Char"/>
    <w:basedOn w:val="a0"/>
    <w:link w:val="a8"/>
    <w:uiPriority w:val="99"/>
    <w:qFormat/>
    <w:locked/>
    <w:rsid w:val="007678AE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locked/>
    <w:rsid w:val="007678AE"/>
    <w:rPr>
      <w:sz w:val="18"/>
      <w:szCs w:val="18"/>
    </w:rPr>
  </w:style>
  <w:style w:type="character" w:customStyle="1" w:styleId="Char1">
    <w:name w:val="纯文本 Char"/>
    <w:basedOn w:val="a0"/>
    <w:link w:val="a5"/>
    <w:qFormat/>
    <w:rsid w:val="007678AE"/>
    <w:rPr>
      <w:rFonts w:ascii="宋体" w:eastAsia="宋体" w:hAnsi="Courier New" w:cs="宋体" w:hint="eastAsia"/>
      <w:kern w:val="2"/>
      <w:sz w:val="21"/>
    </w:rPr>
  </w:style>
  <w:style w:type="paragraph" w:customStyle="1" w:styleId="1">
    <w:name w:val="列出段落1"/>
    <w:basedOn w:val="a"/>
    <w:uiPriority w:val="99"/>
    <w:unhideWhenUsed/>
    <w:qFormat/>
    <w:rsid w:val="007678AE"/>
    <w:pPr>
      <w:ind w:firstLineChars="200" w:firstLine="420"/>
    </w:pPr>
  </w:style>
  <w:style w:type="character" w:customStyle="1" w:styleId="Char2">
    <w:name w:val="批注框文本 Char"/>
    <w:basedOn w:val="a0"/>
    <w:link w:val="a6"/>
    <w:uiPriority w:val="99"/>
    <w:semiHidden/>
    <w:qFormat/>
    <w:rsid w:val="007678AE"/>
    <w:rPr>
      <w:rFonts w:ascii="Calibri" w:hAnsi="Calibri" w:cs="Calibri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7678AE"/>
    <w:rPr>
      <w:rFonts w:ascii="Calibri" w:hAnsi="Calibri" w:cs="Calibri"/>
      <w:kern w:val="2"/>
      <w:sz w:val="21"/>
      <w:szCs w:val="21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7678AE"/>
    <w:rPr>
      <w:rFonts w:ascii="Calibri" w:hAnsi="Calibri" w:cs="Calibri"/>
      <w:b/>
      <w:bCs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semiHidden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annotation reference" w:semiHidden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8AE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7678AE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7678AE"/>
    <w:pPr>
      <w:jc w:val="left"/>
    </w:pPr>
  </w:style>
  <w:style w:type="paragraph" w:styleId="a5">
    <w:name w:val="Plain Text"/>
    <w:basedOn w:val="a"/>
    <w:link w:val="Char1"/>
    <w:uiPriority w:val="99"/>
    <w:unhideWhenUsed/>
    <w:qFormat/>
    <w:rsid w:val="007678AE"/>
    <w:rPr>
      <w:rFonts w:ascii="宋体" w:hAnsi="Courier New" w:cs="Times New Roman" w:hint="eastAsia"/>
      <w:szCs w:val="20"/>
    </w:rPr>
  </w:style>
  <w:style w:type="paragraph" w:styleId="a6">
    <w:name w:val="Balloon Text"/>
    <w:basedOn w:val="a"/>
    <w:link w:val="Char2"/>
    <w:uiPriority w:val="99"/>
    <w:unhideWhenUsed/>
    <w:qFormat/>
    <w:rsid w:val="007678AE"/>
    <w:rPr>
      <w:sz w:val="18"/>
      <w:szCs w:val="18"/>
    </w:rPr>
  </w:style>
  <w:style w:type="paragraph" w:styleId="a7">
    <w:name w:val="footer"/>
    <w:basedOn w:val="a"/>
    <w:link w:val="Char3"/>
    <w:uiPriority w:val="99"/>
    <w:qFormat/>
    <w:rsid w:val="007678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qFormat/>
    <w:rsid w:val="007678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basedOn w:val="a0"/>
    <w:qFormat/>
    <w:locked/>
    <w:rsid w:val="007678AE"/>
    <w:rPr>
      <w:b/>
    </w:rPr>
  </w:style>
  <w:style w:type="character" w:styleId="aa">
    <w:name w:val="annotation reference"/>
    <w:basedOn w:val="a0"/>
    <w:uiPriority w:val="99"/>
    <w:unhideWhenUsed/>
    <w:qFormat/>
    <w:rsid w:val="007678AE"/>
    <w:rPr>
      <w:sz w:val="21"/>
      <w:szCs w:val="21"/>
    </w:rPr>
  </w:style>
  <w:style w:type="character" w:customStyle="1" w:styleId="Char4">
    <w:name w:val="页眉 Char"/>
    <w:basedOn w:val="a0"/>
    <w:link w:val="a8"/>
    <w:uiPriority w:val="99"/>
    <w:qFormat/>
    <w:locked/>
    <w:rsid w:val="007678AE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locked/>
    <w:rsid w:val="007678AE"/>
    <w:rPr>
      <w:sz w:val="18"/>
      <w:szCs w:val="18"/>
    </w:rPr>
  </w:style>
  <w:style w:type="character" w:customStyle="1" w:styleId="Char1">
    <w:name w:val="纯文本 Char"/>
    <w:basedOn w:val="a0"/>
    <w:link w:val="a5"/>
    <w:qFormat/>
    <w:rsid w:val="007678AE"/>
    <w:rPr>
      <w:rFonts w:ascii="宋体" w:eastAsia="宋体" w:hAnsi="Courier New" w:cs="宋体" w:hint="eastAsia"/>
      <w:kern w:val="2"/>
      <w:sz w:val="21"/>
    </w:rPr>
  </w:style>
  <w:style w:type="paragraph" w:customStyle="1" w:styleId="1">
    <w:name w:val="列出段落1"/>
    <w:basedOn w:val="a"/>
    <w:uiPriority w:val="99"/>
    <w:unhideWhenUsed/>
    <w:qFormat/>
    <w:rsid w:val="007678AE"/>
    <w:pPr>
      <w:ind w:firstLineChars="200" w:firstLine="420"/>
    </w:pPr>
  </w:style>
  <w:style w:type="character" w:customStyle="1" w:styleId="Char2">
    <w:name w:val="批注框文本 Char"/>
    <w:basedOn w:val="a0"/>
    <w:link w:val="a6"/>
    <w:uiPriority w:val="99"/>
    <w:semiHidden/>
    <w:qFormat/>
    <w:rsid w:val="007678AE"/>
    <w:rPr>
      <w:rFonts w:ascii="Calibri" w:hAnsi="Calibri" w:cs="Calibri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7678AE"/>
    <w:rPr>
      <w:rFonts w:ascii="Calibri" w:hAnsi="Calibri" w:cs="Calibri"/>
      <w:kern w:val="2"/>
      <w:sz w:val="21"/>
      <w:szCs w:val="21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7678AE"/>
    <w:rPr>
      <w:rFonts w:ascii="Calibri" w:hAnsi="Calibri" w:cs="Calibri"/>
      <w:b/>
      <w:bCs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F42CBE-5C67-4585-8CE5-18099BE9F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1094</Characters>
  <Application>Microsoft Office Word</Application>
  <DocSecurity>0</DocSecurity>
  <Lines>9</Lines>
  <Paragraphs>2</Paragraphs>
  <ScaleCrop>false</ScaleCrop>
  <Company>微软中国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21231</dc:creator>
  <cp:lastModifiedBy>cnis817</cp:lastModifiedBy>
  <cp:revision>3</cp:revision>
  <dcterms:created xsi:type="dcterms:W3CDTF">2016-08-05T02:38:00Z</dcterms:created>
  <dcterms:modified xsi:type="dcterms:W3CDTF">2016-08-05T02:39:00Z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