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CESI黑体-GB2312" w:hAnsi="CESI黑体-GB2312" w:eastAsia="CESI黑体-GB2312" w:cs="CESI黑体-GB2312"/>
          <w:color w:val="auto"/>
          <w:spacing w:val="-8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重大活动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  <w:lang w:eastAsia="zh-CN"/>
        </w:rPr>
        <w:t>供餐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评估</w:t>
      </w: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color w:va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8"/>
          <w:sz w:val="44"/>
          <w:szCs w:val="44"/>
        </w:rPr>
        <w:t>申报表</w:t>
      </w:r>
    </w:p>
    <w:p>
      <w:pPr>
        <w:snapToGrid w:val="0"/>
        <w:spacing w:line="240" w:lineRule="atLeast"/>
        <w:rPr>
          <w:rFonts w:hint="eastAsia"/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729"/>
        <w:gridCol w:w="1924"/>
        <w:gridCol w:w="197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信息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17" w:leftChars="0" w:hanging="1117" w:hangingChars="399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  <w:t>食品安全量化等级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</w:rPr>
              <w:t>联系人</w:t>
            </w: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（固话、手机）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供餐服务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在自有场地提供供餐服务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在活动举办场地提供供餐服务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提供热食类成品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提供冷食类成品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糕点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类成品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现场加工制作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提供食品摆盘服务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提供盒饭配送服务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leftChars="0" w:hanging="1120" w:hangingChars="400"/>
              <w:textAlignment w:val="auto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提交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资料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食品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经营许可证照片作为本表附件，按照“单位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+现场评估命名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.申报单位认为需要报送的材料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hangingChars="15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7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760" w:firstLineChars="17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单位名称（盖章）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20" w:firstLineChars="40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注意事项：1.申报单位须取得餐饮服务食品安全量化等级A级，未达到A级的不予受理；2.拟申报单位盖章确认后，由组织方统一安排现场评估工作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.现场评审时，申请单位请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提前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</w:rPr>
        <w:t>准备本单位食品安全管理档案（参照全市统一标准）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4"/>
          <w:szCs w:val="24"/>
          <w:lang w:eastAsia="zh-CN"/>
        </w:rPr>
        <w:t>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BEC8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panse</cp:lastModifiedBy>
  <dcterms:modified xsi:type="dcterms:W3CDTF">2024-03-01T14:50:57Z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