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adjustRightInd w:val="0"/>
        <w:snapToGrid w:val="0"/>
        <w:spacing w:line="600" w:lineRule="exact"/>
        <w:ind w:firstLine="440" w:firstLineChars="100"/>
        <w:jc w:val="center"/>
        <w:rPr>
          <w:rFonts w:hint="eastAsia"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2024年度农业农村领域部门“双随机、一公开”抽查计划</w:t>
      </w:r>
    </w:p>
    <w:p>
      <w:pPr>
        <w:pStyle w:val="4"/>
        <w:ind w:firstLine="600"/>
        <w:rPr>
          <w:rFonts w:hint="eastAsia"/>
        </w:rPr>
      </w:pPr>
    </w:p>
    <w:tbl>
      <w:tblPr>
        <w:tblStyle w:val="5"/>
        <w:tblW w:w="15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3332"/>
        <w:gridCol w:w="3520"/>
        <w:gridCol w:w="1086"/>
        <w:gridCol w:w="1659"/>
        <w:gridCol w:w="2560"/>
        <w:gridCol w:w="1288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exact"/>
          <w:tblHeader/>
          <w:jc w:val="center"/>
        </w:trPr>
        <w:tc>
          <w:tcPr>
            <w:tcW w:w="567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序号</w:t>
            </w:r>
          </w:p>
        </w:tc>
        <w:tc>
          <w:tcPr>
            <w:tcW w:w="3332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任务名称</w:t>
            </w:r>
          </w:p>
        </w:tc>
        <w:tc>
          <w:tcPr>
            <w:tcW w:w="3520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检查对象</w:t>
            </w:r>
          </w:p>
        </w:tc>
        <w:tc>
          <w:tcPr>
            <w:tcW w:w="1086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实施层级</w:t>
            </w:r>
          </w:p>
        </w:tc>
        <w:tc>
          <w:tcPr>
            <w:tcW w:w="1659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 w:val="24"/>
                <w:lang w:val="en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抽查比例</w:t>
            </w:r>
            <w:r>
              <w:rPr>
                <w:rFonts w:hint="eastAsia" w:ascii="黑体" w:hAnsi="黑体" w:eastAsia="黑体" w:cs="黑体"/>
                <w:bCs/>
                <w:sz w:val="24"/>
                <w:lang w:val="en"/>
              </w:rPr>
              <w:t>/户数</w:t>
            </w:r>
          </w:p>
        </w:tc>
        <w:tc>
          <w:tcPr>
            <w:tcW w:w="2560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 w:val="24"/>
                <w:lang w:val="e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"/>
              </w:rPr>
              <w:t>责任单位</w:t>
            </w:r>
          </w:p>
        </w:tc>
        <w:tc>
          <w:tcPr>
            <w:tcW w:w="1288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起止时间</w:t>
            </w:r>
          </w:p>
        </w:tc>
        <w:tc>
          <w:tcPr>
            <w:tcW w:w="1065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exact"/>
          <w:jc w:val="center"/>
        </w:trPr>
        <w:tc>
          <w:tcPr>
            <w:tcW w:w="567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332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2024年度植物检疫分级分类抽查</w:t>
            </w:r>
          </w:p>
        </w:tc>
        <w:tc>
          <w:tcPr>
            <w:tcW w:w="3520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生产经营运输植物、植物产品的企业、个体工商户、农民专业合作社</w:t>
            </w:r>
          </w:p>
        </w:tc>
        <w:tc>
          <w:tcPr>
            <w:tcW w:w="1086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县级</w:t>
            </w:r>
          </w:p>
        </w:tc>
        <w:tc>
          <w:tcPr>
            <w:tcW w:w="1659" w:type="dxa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10%</w:t>
            </w:r>
          </w:p>
        </w:tc>
        <w:tc>
          <w:tcPr>
            <w:tcW w:w="2560" w:type="dxa"/>
            <w:tcBorders>
              <w:bottom w:val="single" w:color="auto" w:sz="4" w:space="0"/>
            </w:tcBorders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县级农业农村主管部门</w:t>
            </w:r>
          </w:p>
        </w:tc>
        <w:tc>
          <w:tcPr>
            <w:tcW w:w="1288" w:type="dxa"/>
            <w:vMerge w:val="restart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3月至11月</w:t>
            </w:r>
          </w:p>
        </w:tc>
        <w:tc>
          <w:tcPr>
            <w:tcW w:w="1065" w:type="dxa"/>
            <w:vMerge w:val="restart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分级分类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  <w:jc w:val="center"/>
        </w:trPr>
        <w:tc>
          <w:tcPr>
            <w:tcW w:w="567" w:type="dxa"/>
            <w:tcBorders>
              <w:top w:val="single" w:color="auto" w:sz="4" w:space="0"/>
            </w:tcBorders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332" w:type="dxa"/>
            <w:tcBorders>
              <w:top w:val="single" w:color="auto" w:sz="4" w:space="0"/>
            </w:tcBorders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2024年农业机械安全分级分类抽查</w:t>
            </w:r>
          </w:p>
        </w:tc>
        <w:tc>
          <w:tcPr>
            <w:tcW w:w="3520" w:type="dxa"/>
            <w:tcBorders>
              <w:top w:val="single" w:color="auto" w:sz="4" w:space="0"/>
            </w:tcBorders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农机专业合作社</w:t>
            </w:r>
          </w:p>
        </w:tc>
        <w:tc>
          <w:tcPr>
            <w:tcW w:w="1086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县级</w:t>
            </w:r>
          </w:p>
        </w:tc>
        <w:tc>
          <w:tcPr>
            <w:tcW w:w="165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256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县级农业农村主管部门</w:t>
            </w:r>
          </w:p>
        </w:tc>
        <w:tc>
          <w:tcPr>
            <w:tcW w:w="1288" w:type="dxa"/>
            <w:vMerge w:val="continue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65" w:type="dxa"/>
            <w:vMerge w:val="continue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  <w:jc w:val="center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332" w:type="dxa"/>
            <w:vMerge w:val="restart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val="e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年度兽药经营企业分级分类抽查</w:t>
            </w:r>
          </w:p>
        </w:tc>
        <w:tc>
          <w:tcPr>
            <w:tcW w:w="3520" w:type="dxa"/>
            <w:vMerge w:val="restart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兽药经营企业</w:t>
            </w:r>
          </w:p>
        </w:tc>
        <w:tc>
          <w:tcPr>
            <w:tcW w:w="10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16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" w:bidi="ar"/>
              </w:rPr>
              <w:t>５户</w:t>
            </w:r>
          </w:p>
        </w:tc>
        <w:tc>
          <w:tcPr>
            <w:tcW w:w="25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养殖业处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" w:bidi="ar"/>
              </w:rPr>
              <w:t>/执法总队</w:t>
            </w:r>
          </w:p>
        </w:tc>
        <w:tc>
          <w:tcPr>
            <w:tcW w:w="1288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332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20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县级</w:t>
            </w:r>
          </w:p>
        </w:tc>
        <w:tc>
          <w:tcPr>
            <w:tcW w:w="16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val="en" w:bidi="ar"/>
              </w:rPr>
              <w:t>10%</w:t>
            </w:r>
          </w:p>
        </w:tc>
        <w:tc>
          <w:tcPr>
            <w:tcW w:w="25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县级农业农村主管部门</w:t>
            </w:r>
          </w:p>
        </w:tc>
        <w:tc>
          <w:tcPr>
            <w:tcW w:w="1288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332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val="e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年度水产种苗生产经营主体分级分类抽查</w:t>
            </w:r>
          </w:p>
        </w:tc>
        <w:tc>
          <w:tcPr>
            <w:tcW w:w="352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水产苗种生产经营企业、个体工商户、农民专业合作社</w:t>
            </w:r>
          </w:p>
        </w:tc>
        <w:tc>
          <w:tcPr>
            <w:tcW w:w="10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县级</w:t>
            </w:r>
          </w:p>
        </w:tc>
        <w:tc>
          <w:tcPr>
            <w:tcW w:w="16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val="en" w:bidi="ar"/>
              </w:rPr>
              <w:t>20%</w:t>
            </w:r>
          </w:p>
        </w:tc>
        <w:tc>
          <w:tcPr>
            <w:tcW w:w="25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县级农业农村主管部门</w:t>
            </w:r>
          </w:p>
        </w:tc>
        <w:tc>
          <w:tcPr>
            <w:tcW w:w="1288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  <w:jc w:val="center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332" w:type="dxa"/>
            <w:vMerge w:val="restart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val="e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年度动物屠宰加工场所分级分类抽查</w:t>
            </w:r>
          </w:p>
        </w:tc>
        <w:tc>
          <w:tcPr>
            <w:tcW w:w="352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生猪定点屠宰厂（场）的检查</w:t>
            </w:r>
          </w:p>
        </w:tc>
        <w:tc>
          <w:tcPr>
            <w:tcW w:w="10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县级</w:t>
            </w:r>
          </w:p>
        </w:tc>
        <w:tc>
          <w:tcPr>
            <w:tcW w:w="16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val="en" w:bidi="ar"/>
              </w:rPr>
              <w:t>50%</w:t>
            </w:r>
          </w:p>
        </w:tc>
        <w:tc>
          <w:tcPr>
            <w:tcW w:w="25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县级农业农村主管部门</w:t>
            </w:r>
          </w:p>
        </w:tc>
        <w:tc>
          <w:tcPr>
            <w:tcW w:w="1288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332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2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动物屠宰加工场所的检查</w:t>
            </w:r>
          </w:p>
        </w:tc>
        <w:tc>
          <w:tcPr>
            <w:tcW w:w="10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县级</w:t>
            </w:r>
          </w:p>
        </w:tc>
        <w:tc>
          <w:tcPr>
            <w:tcW w:w="16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val="en" w:bidi="ar"/>
              </w:rPr>
              <w:t>50%</w:t>
            </w:r>
          </w:p>
        </w:tc>
        <w:tc>
          <w:tcPr>
            <w:tcW w:w="25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县级农业农村主管部门</w:t>
            </w:r>
          </w:p>
        </w:tc>
        <w:tc>
          <w:tcPr>
            <w:tcW w:w="1288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332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val="e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年度动物诊疗机构分级分类抽查</w:t>
            </w:r>
          </w:p>
        </w:tc>
        <w:tc>
          <w:tcPr>
            <w:tcW w:w="352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动物诊疗活动的检查</w:t>
            </w:r>
          </w:p>
        </w:tc>
        <w:tc>
          <w:tcPr>
            <w:tcW w:w="10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县级</w:t>
            </w:r>
          </w:p>
        </w:tc>
        <w:tc>
          <w:tcPr>
            <w:tcW w:w="16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val="e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" w:bidi="ar"/>
              </w:rPr>
              <w:t>户</w:t>
            </w:r>
          </w:p>
        </w:tc>
        <w:tc>
          <w:tcPr>
            <w:tcW w:w="25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县级农业农村主管部门</w:t>
            </w:r>
          </w:p>
        </w:tc>
        <w:tc>
          <w:tcPr>
            <w:tcW w:w="1288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  <w:jc w:val="center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332" w:type="dxa"/>
            <w:vMerge w:val="restart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val="e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年度动物防疫条件分级分类抽查</w:t>
            </w:r>
          </w:p>
        </w:tc>
        <w:tc>
          <w:tcPr>
            <w:tcW w:w="352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动物和动物产品无害化处理场所的检查</w:t>
            </w:r>
          </w:p>
        </w:tc>
        <w:tc>
          <w:tcPr>
            <w:tcW w:w="10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16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val="en" w:bidi="ar"/>
              </w:rPr>
              <w:t>50%</w:t>
            </w:r>
          </w:p>
        </w:tc>
        <w:tc>
          <w:tcPr>
            <w:tcW w:w="25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养殖业处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" w:bidi="ar"/>
              </w:rPr>
              <w:t>/执法总队</w:t>
            </w:r>
          </w:p>
        </w:tc>
        <w:tc>
          <w:tcPr>
            <w:tcW w:w="1288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332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2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畜禽饲养场的检查</w:t>
            </w:r>
          </w:p>
        </w:tc>
        <w:tc>
          <w:tcPr>
            <w:tcW w:w="10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县级</w:t>
            </w:r>
          </w:p>
        </w:tc>
        <w:tc>
          <w:tcPr>
            <w:tcW w:w="16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val="en" w:bidi="ar"/>
              </w:rPr>
              <w:t>10%</w:t>
            </w:r>
          </w:p>
        </w:tc>
        <w:tc>
          <w:tcPr>
            <w:tcW w:w="25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县级农业农村主管部门</w:t>
            </w:r>
          </w:p>
        </w:tc>
        <w:tc>
          <w:tcPr>
            <w:tcW w:w="1288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332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val="e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年度生鲜乳收购站分级分类抽查</w:t>
            </w:r>
          </w:p>
        </w:tc>
        <w:tc>
          <w:tcPr>
            <w:tcW w:w="352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生鲜乳收购活动的检查</w:t>
            </w:r>
          </w:p>
        </w:tc>
        <w:tc>
          <w:tcPr>
            <w:tcW w:w="10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县级</w:t>
            </w:r>
          </w:p>
        </w:tc>
        <w:tc>
          <w:tcPr>
            <w:tcW w:w="16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val="en" w:bidi="ar"/>
              </w:rPr>
              <w:t>50%</w:t>
            </w:r>
          </w:p>
        </w:tc>
        <w:tc>
          <w:tcPr>
            <w:tcW w:w="25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县级农业农村主管部门</w:t>
            </w:r>
          </w:p>
        </w:tc>
        <w:tc>
          <w:tcPr>
            <w:tcW w:w="1288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5FF7F9-3658-4090-9CE0-696E15EDF46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7CC8FE0-3A7F-4FCA-8AB6-053664A32D4F}"/>
  </w:font>
  <w:font w:name="方正仿宋">
    <w:altName w:val="方正仿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569ED52C-44FC-49E9-A21F-AFFE3C3D27D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B9F6F61-AEC7-44B3-AE86-5F4745115A6D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0119D796-4470-4A66-BEE1-A3891325AD6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ZWFiNzA3OTVlY2NlZjJmNzhmMTkwMjYwMGJjZGMifQ=="/>
  </w:docVars>
  <w:rsids>
    <w:rsidRoot w:val="625B162B"/>
    <w:rsid w:val="56925E96"/>
    <w:rsid w:val="625B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Indent"/>
    <w:basedOn w:val="1"/>
    <w:semiHidden/>
    <w:qFormat/>
    <w:uiPriority w:val="0"/>
    <w:pPr>
      <w:spacing w:line="540" w:lineRule="exact"/>
      <w:ind w:firstLine="592" w:firstLineChars="200"/>
    </w:pPr>
    <w:rPr>
      <w:rFonts w:ascii="方正仿宋" w:hAnsi="宋体" w:cs="Times New Roman"/>
      <w:sz w:val="30"/>
      <w:szCs w:val="24"/>
    </w:rPr>
  </w:style>
  <w:style w:type="paragraph" w:styleId="4">
    <w:name w:val="Body Text First Indent 2"/>
    <w:basedOn w:val="3"/>
    <w:next w:val="1"/>
    <w:unhideWhenUsed/>
    <w:qFormat/>
    <w:uiPriority w:val="99"/>
    <w:pPr>
      <w:ind w:firstLine="64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2024-05-20T05:54:00Z</dcterms:created>
  <dc:creator>既无风雨也无晴</dc:creator>
  <cp:lastModifiedBy>既无风雨也无晴</cp:lastModifiedBy>
  <dcterms:modified xsi:type="dcterms:W3CDTF">2024-05-20T06:00:00Z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13859A7EE31642DDA06A515242E7E0FA_11</vt:lpwstr>
  </property>
</Properties>
</file>