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431" w:type="dxa"/>
        <w:jc w:val="center"/>
        <w:tblLayout w:type="fixed"/>
        <w:tblCellMar>
          <w:top w:w="0" w:type="dxa"/>
          <w:left w:w="108" w:type="dxa"/>
          <w:bottom w:w="0" w:type="dxa"/>
          <w:right w:w="108" w:type="dxa"/>
        </w:tblCellMar>
      </w:tblPr>
      <w:tblGrid>
        <w:gridCol w:w="771"/>
        <w:gridCol w:w="1155"/>
        <w:gridCol w:w="1995"/>
        <w:gridCol w:w="5880"/>
        <w:gridCol w:w="5630"/>
      </w:tblGrid>
      <w:tr>
        <w:tblPrEx>
          <w:tblCellMar>
            <w:top w:w="0" w:type="dxa"/>
            <w:left w:w="108" w:type="dxa"/>
            <w:bottom w:w="0" w:type="dxa"/>
            <w:right w:w="108" w:type="dxa"/>
          </w:tblCellMar>
        </w:tblPrEx>
        <w:trPr>
          <w:trHeight w:val="620" w:hRule="atLeast"/>
          <w:jc w:val="center"/>
        </w:trPr>
        <w:tc>
          <w:tcPr>
            <w:tcW w:w="15431" w:type="dxa"/>
            <w:gridSpan w:val="5"/>
            <w:tcBorders>
              <w:top w:val="nil"/>
              <w:left w:val="nil"/>
              <w:bottom w:val="nil"/>
              <w:right w:val="nil"/>
            </w:tcBorders>
            <w:noWrap w:val="0"/>
            <w:vAlign w:val="center"/>
          </w:tcPr>
          <w:p>
            <w:pPr>
              <w:widowControl/>
              <w:spacing w:line="576" w:lineRule="exact"/>
              <w:rPr>
                <w:rFonts w:hint="eastAsia" w:ascii="黑体" w:hAnsi="Times New Roman" w:eastAsia="黑体" w:cs="Times New Roman"/>
                <w:b/>
                <w:sz w:val="21"/>
                <w:szCs w:val="21"/>
                <w:u w:val="none"/>
              </w:rPr>
            </w:pPr>
            <w:r>
              <w:rPr>
                <w:rFonts w:hint="eastAsia" w:ascii="黑体" w:hAnsi="方正黑体_GBK" w:eastAsia="黑体" w:cs="方正黑体_GBK"/>
                <w:bCs/>
                <w:u w:val="none"/>
              </w:rPr>
              <w:t>附件</w:t>
            </w:r>
          </w:p>
        </w:tc>
      </w:tr>
      <w:tr>
        <w:tblPrEx>
          <w:tblCellMar>
            <w:top w:w="0" w:type="dxa"/>
            <w:left w:w="108" w:type="dxa"/>
            <w:bottom w:w="0" w:type="dxa"/>
            <w:right w:w="108" w:type="dxa"/>
          </w:tblCellMar>
        </w:tblPrEx>
        <w:trPr>
          <w:trHeight w:val="875" w:hRule="atLeast"/>
          <w:jc w:val="center"/>
        </w:trPr>
        <w:tc>
          <w:tcPr>
            <w:tcW w:w="15431" w:type="dxa"/>
            <w:gridSpan w:val="5"/>
            <w:tcBorders>
              <w:top w:val="nil"/>
              <w:left w:val="nil"/>
              <w:bottom w:val="single" w:color="auto" w:sz="4" w:space="0"/>
              <w:right w:val="nil"/>
            </w:tcBorders>
            <w:noWrap w:val="0"/>
            <w:vAlign w:val="center"/>
          </w:tcPr>
          <w:p>
            <w:pPr>
              <w:widowControl/>
              <w:spacing w:line="576" w:lineRule="exact"/>
              <w:jc w:val="center"/>
              <w:rPr>
                <w:rFonts w:hint="eastAsia" w:ascii="方正小标宋简体" w:hAnsi="Times New Roman" w:eastAsia="方正小标宋简体" w:cs="Times New Roman"/>
                <w:b/>
                <w:sz w:val="21"/>
                <w:szCs w:val="21"/>
                <w:u w:val="none"/>
              </w:rPr>
            </w:pPr>
            <w:r>
              <w:rPr>
                <w:rFonts w:hint="eastAsia" w:ascii="方正小标宋简体" w:hAnsi="方正黑体_GBK" w:eastAsia="方正小标宋简体" w:cs="方正黑体_GBK"/>
                <w:bCs/>
                <w:u w:val="none"/>
              </w:rPr>
              <w:t>西藏自治区关于促进新型农牧业经营主体高质量发展若干举措奖补条件及标准</w:t>
            </w:r>
          </w:p>
        </w:tc>
      </w:tr>
      <w:tr>
        <w:tblPrEx>
          <w:tblCellMar>
            <w:top w:w="0" w:type="dxa"/>
            <w:left w:w="108" w:type="dxa"/>
            <w:bottom w:w="0" w:type="dxa"/>
            <w:right w:w="108" w:type="dxa"/>
          </w:tblCellMar>
        </w:tblPrEx>
        <w:trPr>
          <w:trHeight w:val="363"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b/>
                <w:sz w:val="21"/>
                <w:szCs w:val="21"/>
                <w:u w:val="none"/>
              </w:rPr>
            </w:pPr>
            <w:r>
              <w:rPr>
                <w:rFonts w:hint="eastAsia" w:hAnsi="Times New Roman" w:cs="Times New Roman"/>
                <w:b/>
                <w:sz w:val="21"/>
                <w:szCs w:val="21"/>
                <w:u w:val="none"/>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b/>
                <w:sz w:val="21"/>
                <w:szCs w:val="21"/>
                <w:u w:val="none"/>
              </w:rPr>
            </w:pPr>
            <w:r>
              <w:rPr>
                <w:rFonts w:hint="eastAsia" w:hAnsi="Times New Roman" w:cs="Times New Roman"/>
                <w:b/>
                <w:sz w:val="21"/>
                <w:szCs w:val="21"/>
                <w:u w:val="none"/>
              </w:rPr>
              <w:t>支持主体</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b/>
                <w:sz w:val="21"/>
                <w:szCs w:val="21"/>
                <w:u w:val="none"/>
              </w:rPr>
            </w:pPr>
            <w:r>
              <w:rPr>
                <w:rFonts w:hint="eastAsia" w:hAnsi="Times New Roman" w:cs="Times New Roman"/>
                <w:b/>
                <w:sz w:val="21"/>
                <w:szCs w:val="21"/>
                <w:u w:val="none"/>
              </w:rPr>
              <w:t>支持方向</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b/>
                <w:sz w:val="21"/>
                <w:szCs w:val="21"/>
                <w:u w:val="none"/>
              </w:rPr>
            </w:pPr>
            <w:r>
              <w:rPr>
                <w:rFonts w:hint="eastAsia" w:hAnsi="Times New Roman" w:cs="Times New Roman"/>
                <w:b/>
                <w:sz w:val="21"/>
                <w:szCs w:val="21"/>
                <w:u w:val="none"/>
              </w:rPr>
              <w:t>奖补条件</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b/>
                <w:sz w:val="21"/>
                <w:szCs w:val="21"/>
                <w:u w:val="none"/>
              </w:rPr>
            </w:pPr>
            <w:r>
              <w:rPr>
                <w:rFonts w:hint="eastAsia" w:hAnsi="Times New Roman" w:cs="Times New Roman"/>
                <w:b/>
                <w:sz w:val="21"/>
                <w:szCs w:val="21"/>
                <w:u w:val="none"/>
              </w:rPr>
              <w:t>奖补标准</w:t>
            </w:r>
          </w:p>
        </w:tc>
      </w:tr>
      <w:tr>
        <w:tblPrEx>
          <w:tblCellMar>
            <w:top w:w="0" w:type="dxa"/>
            <w:left w:w="108" w:type="dxa"/>
            <w:bottom w:w="0" w:type="dxa"/>
            <w:right w:w="108" w:type="dxa"/>
          </w:tblCellMar>
        </w:tblPrEx>
        <w:trPr>
          <w:trHeight w:val="42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龙头企业</w:t>
            </w: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支持龙头企业创建</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首次成功认定为国家级龙头企业。</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给予一次性奖补资金50万元。</w:t>
            </w:r>
          </w:p>
        </w:tc>
      </w:tr>
      <w:tr>
        <w:tblPrEx>
          <w:tblCellMar>
            <w:top w:w="0" w:type="dxa"/>
            <w:left w:w="108" w:type="dxa"/>
            <w:bottom w:w="0" w:type="dxa"/>
            <w:right w:w="108" w:type="dxa"/>
          </w:tblCellMar>
        </w:tblPrEx>
        <w:trPr>
          <w:trHeight w:val="42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2</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首次成功认定为自治区级龙头企业。</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给予一次性奖补资金20万元。</w:t>
            </w:r>
          </w:p>
        </w:tc>
      </w:tr>
      <w:tr>
        <w:tblPrEx>
          <w:tblCellMar>
            <w:top w:w="0" w:type="dxa"/>
            <w:left w:w="108" w:type="dxa"/>
            <w:bottom w:w="0" w:type="dxa"/>
            <w:right w:w="108" w:type="dxa"/>
          </w:tblCellMar>
        </w:tblPrEx>
        <w:trPr>
          <w:trHeight w:val="84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3</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鼓励龙头企业扩大规模</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自筹资金投资建设农畜产品标准化和规模化原材料生产基地、休闲农业基地等，且单次直接投资金额达到300万元以上。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按照直接投资金额10%的标准，给予一次性奖补，奖补额度最高不超过300万元。</w:t>
            </w:r>
          </w:p>
        </w:tc>
      </w:tr>
      <w:tr>
        <w:tblPrEx>
          <w:tblCellMar>
            <w:top w:w="0" w:type="dxa"/>
            <w:left w:w="108" w:type="dxa"/>
            <w:bottom w:w="0" w:type="dxa"/>
            <w:right w:w="108" w:type="dxa"/>
          </w:tblCellMar>
        </w:tblPrEx>
        <w:trPr>
          <w:trHeight w:val="67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4</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自筹资金投资建设农畜产品加工自动化生产线、智能化分装线</w:t>
            </w:r>
            <w:r>
              <w:rPr>
                <w:rFonts w:hint="eastAsia" w:hAnsi="方正仿宋_GBK" w:cs="方正仿宋_GBK"/>
                <w:spacing w:val="-6"/>
                <w:sz w:val="21"/>
                <w:szCs w:val="21"/>
                <w:u w:val="none"/>
              </w:rPr>
              <w:t>（形成固定资产）等，且单次直接投资金额达到1000万元以上。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按照直接投资金额10%的标准，给予一次性奖补，奖补额度最高不超过1000万元。</w:t>
            </w:r>
          </w:p>
        </w:tc>
      </w:tr>
      <w:tr>
        <w:tblPrEx>
          <w:tblCellMar>
            <w:top w:w="0" w:type="dxa"/>
            <w:left w:w="108" w:type="dxa"/>
            <w:bottom w:w="0" w:type="dxa"/>
            <w:right w:w="108" w:type="dxa"/>
          </w:tblCellMar>
        </w:tblPrEx>
        <w:trPr>
          <w:trHeight w:val="61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5</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支持龙头企业提质增效</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涉农主营业务收入（以注册会计师事务所出具的年度财务报表和报税申报表数据为准）较上一年度增幅超过20%以上、50%以上、100%以上。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分别按照20万元、50万元、100万元的标准，给予奖补。</w:t>
            </w:r>
          </w:p>
        </w:tc>
      </w:tr>
      <w:tr>
        <w:tblPrEx>
          <w:tblCellMar>
            <w:top w:w="0" w:type="dxa"/>
            <w:left w:w="108" w:type="dxa"/>
            <w:bottom w:w="0" w:type="dxa"/>
            <w:right w:w="108" w:type="dxa"/>
          </w:tblCellMar>
        </w:tblPrEx>
        <w:trPr>
          <w:trHeight w:val="77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6</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支持龙头企业开拓市场</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lang w:bidi="ar"/>
              </w:rPr>
              <w:t>年度内，区外原材料、辅料进藏境内运费</w:t>
            </w:r>
            <w:r>
              <w:rPr>
                <w:rFonts w:hint="eastAsia" w:hAnsi="方正仿宋_GBK" w:cs="方正仿宋_GBK"/>
                <w:sz w:val="21"/>
                <w:szCs w:val="21"/>
                <w:u w:val="none"/>
              </w:rPr>
              <w:t>达到300万元以上</w:t>
            </w:r>
            <w:r>
              <w:rPr>
                <w:rFonts w:hint="eastAsia" w:hAnsi="方正仿宋_GBK" w:cs="方正仿宋_GBK"/>
                <w:sz w:val="21"/>
                <w:szCs w:val="21"/>
                <w:u w:val="none"/>
                <w:lang w:bidi="ar"/>
              </w:rPr>
              <w:t>或区内产品出藏境内运费</w:t>
            </w:r>
            <w:r>
              <w:rPr>
                <w:rFonts w:hint="eastAsia" w:hAnsi="方正仿宋_GBK" w:cs="方正仿宋_GBK"/>
                <w:sz w:val="21"/>
                <w:szCs w:val="21"/>
                <w:u w:val="none"/>
              </w:rPr>
              <w:t>达到300万元以上。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分别按照实际产生运费50%的标准，给予奖补，奖补额度最高分别不超过500万元。</w:t>
            </w:r>
          </w:p>
        </w:tc>
      </w:tr>
      <w:tr>
        <w:tblPrEx>
          <w:tblCellMar>
            <w:top w:w="0" w:type="dxa"/>
            <w:left w:w="108" w:type="dxa"/>
            <w:bottom w:w="0" w:type="dxa"/>
            <w:right w:w="108" w:type="dxa"/>
          </w:tblCellMar>
        </w:tblPrEx>
        <w:trPr>
          <w:trHeight w:val="72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7</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支持龙头企业创新发展</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研发经费内部支出占主营业务收入比重达到5%以上。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按年度总研发经费与年度研发经费增量合计数额10%的标准，给予奖补，奖补金额最高不超过500万元。</w:t>
            </w:r>
          </w:p>
        </w:tc>
      </w:tr>
      <w:tr>
        <w:tblPrEx>
          <w:tblCellMar>
            <w:top w:w="0" w:type="dxa"/>
            <w:left w:w="108" w:type="dxa"/>
            <w:bottom w:w="0" w:type="dxa"/>
            <w:right w:w="108" w:type="dxa"/>
          </w:tblCellMar>
        </w:tblPrEx>
        <w:trPr>
          <w:trHeight w:val="47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8</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成功认定为自治区级数字化转型、两化融合贯标龙头企业。</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给予一次性奖补资金20万元。</w:t>
            </w:r>
          </w:p>
        </w:tc>
      </w:tr>
      <w:tr>
        <w:tblPrEx>
          <w:tblCellMar>
            <w:top w:w="0" w:type="dxa"/>
            <w:left w:w="108" w:type="dxa"/>
            <w:bottom w:w="0" w:type="dxa"/>
            <w:right w:w="108" w:type="dxa"/>
          </w:tblCellMar>
        </w:tblPrEx>
        <w:trPr>
          <w:trHeight w:val="60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9</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推广绿色有机发展</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成功通过CAQS-GAP认证、建立质量安全生产自检站（实验室）。</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给予一次性奖补资金20万元。</w:t>
            </w:r>
          </w:p>
        </w:tc>
      </w:tr>
      <w:tr>
        <w:tblPrEx>
          <w:tblCellMar>
            <w:top w:w="0" w:type="dxa"/>
            <w:left w:w="108" w:type="dxa"/>
            <w:bottom w:w="0" w:type="dxa"/>
            <w:right w:w="108" w:type="dxa"/>
          </w:tblCellMar>
        </w:tblPrEx>
        <w:trPr>
          <w:trHeight w:val="76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10</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农畜产品获得国家有机认证，并取得证书。</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按照每个认证产品2万元的标准，给予奖补，单个主体年累计奖补金额最高不超过50万元。</w:t>
            </w:r>
          </w:p>
        </w:tc>
      </w:tr>
      <w:tr>
        <w:tblPrEx>
          <w:tblCellMar>
            <w:top w:w="0" w:type="dxa"/>
            <w:left w:w="108" w:type="dxa"/>
            <w:bottom w:w="0" w:type="dxa"/>
            <w:right w:w="108" w:type="dxa"/>
          </w:tblCellMar>
        </w:tblPrEx>
        <w:trPr>
          <w:trHeight w:val="46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11</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引导龙头企业联农带农</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成功认定为自治区级农牧业产业化联合体。</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给予一次性奖补资金50万元。</w:t>
            </w:r>
          </w:p>
        </w:tc>
      </w:tr>
      <w:tr>
        <w:tblPrEx>
          <w:tblCellMar>
            <w:top w:w="0" w:type="dxa"/>
            <w:left w:w="108" w:type="dxa"/>
            <w:bottom w:w="0" w:type="dxa"/>
            <w:right w:w="108" w:type="dxa"/>
          </w:tblCellMar>
        </w:tblPrEx>
        <w:trPr>
          <w:trHeight w:val="75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12</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年度带动农牧户数量超过认定标准20%以上、50%以上、100%以上。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分别按照20万元、50万元、100万元的标准，给予奖补。</w:t>
            </w:r>
          </w:p>
        </w:tc>
      </w:tr>
      <w:tr>
        <w:tblPrEx>
          <w:tblCellMar>
            <w:top w:w="0" w:type="dxa"/>
            <w:left w:w="108" w:type="dxa"/>
            <w:bottom w:w="0" w:type="dxa"/>
            <w:right w:w="108" w:type="dxa"/>
          </w:tblCellMar>
        </w:tblPrEx>
        <w:trPr>
          <w:trHeight w:val="46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13</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专合社（联合社）</w:t>
            </w: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支持专合社（联合社）创建</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首次成功认定为国家级专合社（联合社）。</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给予一次性奖补资金30万元。</w:t>
            </w:r>
          </w:p>
        </w:tc>
      </w:tr>
      <w:tr>
        <w:tblPrEx>
          <w:tblCellMar>
            <w:top w:w="0" w:type="dxa"/>
            <w:left w:w="108" w:type="dxa"/>
            <w:bottom w:w="0" w:type="dxa"/>
            <w:right w:w="108" w:type="dxa"/>
          </w:tblCellMar>
        </w:tblPrEx>
        <w:trPr>
          <w:trHeight w:val="44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14</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首次成功认定为自治区级专合社（联合社）。</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给予一次性奖补资金10万元。</w:t>
            </w:r>
          </w:p>
        </w:tc>
      </w:tr>
      <w:tr>
        <w:tblPrEx>
          <w:tblCellMar>
            <w:top w:w="0" w:type="dxa"/>
            <w:left w:w="108" w:type="dxa"/>
            <w:bottom w:w="0" w:type="dxa"/>
            <w:right w:w="108" w:type="dxa"/>
          </w:tblCellMar>
        </w:tblPrEx>
        <w:trPr>
          <w:trHeight w:val="79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15</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支持专合社（联合社）提升效益</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年度经营规模超过认定标准20%以上、50%以上、100%以上。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分别按照5万元、15万元、35万元的标准，给予奖补。</w:t>
            </w:r>
          </w:p>
        </w:tc>
      </w:tr>
      <w:tr>
        <w:tblPrEx>
          <w:tblCellMar>
            <w:top w:w="0" w:type="dxa"/>
            <w:left w:w="108" w:type="dxa"/>
            <w:bottom w:w="0" w:type="dxa"/>
            <w:right w:w="108" w:type="dxa"/>
          </w:tblCellMar>
        </w:tblPrEx>
        <w:trPr>
          <w:trHeight w:val="67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16</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种植业，年度内“耕种防收”四个生产环节托管服务面积均达到2500亩以上、5000亩以上、1万亩以上。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分别按照5万元、10万元、20万元的标准，给予奖补。</w:t>
            </w:r>
          </w:p>
        </w:tc>
      </w:tr>
      <w:tr>
        <w:tblPrEx>
          <w:tblCellMar>
            <w:top w:w="0" w:type="dxa"/>
            <w:left w:w="108" w:type="dxa"/>
            <w:bottom w:w="0" w:type="dxa"/>
            <w:right w:w="108" w:type="dxa"/>
          </w:tblCellMar>
        </w:tblPrEx>
        <w:trPr>
          <w:trHeight w:val="82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17</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养殖业，成功遴选成为牲畜养殖托管服务试点。</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按照养殖主体在牲畜育肥期饲草料实际投入的15%的标准，给予奖补，奖补金额最高不超过20万元。</w:t>
            </w:r>
          </w:p>
        </w:tc>
      </w:tr>
      <w:tr>
        <w:tblPrEx>
          <w:tblCellMar>
            <w:top w:w="0" w:type="dxa"/>
            <w:left w:w="108" w:type="dxa"/>
            <w:bottom w:w="0" w:type="dxa"/>
            <w:right w:w="108" w:type="dxa"/>
          </w:tblCellMar>
        </w:tblPrEx>
        <w:trPr>
          <w:trHeight w:val="429"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18</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支持专合社（联合社）转型升级发展</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农畜产品获得国家有机认证，并取得证书。</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按照每个认证产品2万元的标准，给予奖补，单个主体年累计奖补金额最高不超过20万元。</w:t>
            </w:r>
          </w:p>
        </w:tc>
      </w:tr>
      <w:tr>
        <w:tblPrEx>
          <w:tblCellMar>
            <w:top w:w="0" w:type="dxa"/>
            <w:left w:w="108" w:type="dxa"/>
            <w:bottom w:w="0" w:type="dxa"/>
            <w:right w:w="108" w:type="dxa"/>
          </w:tblCellMar>
        </w:tblPrEx>
        <w:trPr>
          <w:trHeight w:val="72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19</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成功开办公司，且营收较原专合社（联合社）上年度营收增加20%以上、50%以上、100%以上。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分别按照5万元、10万元、20万元的标准，给予奖补。</w:t>
            </w:r>
          </w:p>
        </w:tc>
      </w:tr>
      <w:tr>
        <w:tblPrEx>
          <w:tblCellMar>
            <w:top w:w="0" w:type="dxa"/>
            <w:left w:w="108" w:type="dxa"/>
            <w:bottom w:w="0" w:type="dxa"/>
            <w:right w:w="108" w:type="dxa"/>
          </w:tblCellMar>
        </w:tblPrEx>
        <w:trPr>
          <w:trHeight w:val="54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20</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家庭农场</w:t>
            </w: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支持家庭农场创建</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首次成功认定为自治区级家庭农场。</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给予一次性奖补资金10万元。</w:t>
            </w:r>
          </w:p>
        </w:tc>
      </w:tr>
      <w:tr>
        <w:tblPrEx>
          <w:tblCellMar>
            <w:top w:w="0" w:type="dxa"/>
            <w:left w:w="108" w:type="dxa"/>
            <w:bottom w:w="0" w:type="dxa"/>
            <w:right w:w="108" w:type="dxa"/>
          </w:tblCellMar>
        </w:tblPrEx>
        <w:trPr>
          <w:trHeight w:val="82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21</w:t>
            </w: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p>
        </w:tc>
        <w:tc>
          <w:tcPr>
            <w:tcW w:w="1995"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Times New Roman" w:cs="Times New Roman"/>
                <w:sz w:val="21"/>
                <w:szCs w:val="21"/>
                <w:u w:val="none"/>
              </w:rPr>
            </w:pPr>
            <w:r>
              <w:rPr>
                <w:rFonts w:hint="eastAsia" w:hAnsi="Times New Roman" w:cs="Times New Roman"/>
                <w:sz w:val="21"/>
                <w:szCs w:val="21"/>
                <w:u w:val="none"/>
              </w:rPr>
              <w:t>支持家庭农场专业化发展</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年销售收入达到100万元以上。</w:t>
            </w:r>
          </w:p>
        </w:tc>
        <w:tc>
          <w:tcPr>
            <w:tcW w:w="563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hAnsi="方正仿宋_GBK" w:cs="方正仿宋_GBK"/>
                <w:sz w:val="21"/>
                <w:szCs w:val="21"/>
                <w:u w:val="none"/>
              </w:rPr>
            </w:pPr>
            <w:r>
              <w:rPr>
                <w:rFonts w:hint="eastAsia" w:hAnsi="方正仿宋_GBK" w:cs="方正仿宋_GBK"/>
                <w:sz w:val="21"/>
                <w:szCs w:val="21"/>
                <w:u w:val="none"/>
              </w:rPr>
              <w:t>按实际销售收入5%的标准，给予奖补，年度最高奖补金额不超过10万元。</w:t>
            </w:r>
          </w:p>
        </w:tc>
      </w:tr>
      <w:tr>
        <w:tblPrEx>
          <w:tblCellMar>
            <w:top w:w="0" w:type="dxa"/>
            <w:left w:w="108" w:type="dxa"/>
            <w:bottom w:w="0" w:type="dxa"/>
            <w:right w:w="108" w:type="dxa"/>
          </w:tblCellMar>
        </w:tblPrEx>
        <w:trPr>
          <w:trHeight w:val="426" w:hRule="atLeast"/>
          <w:jc w:val="center"/>
        </w:trPr>
        <w:tc>
          <w:tcPr>
            <w:tcW w:w="15431" w:type="dxa"/>
            <w:gridSpan w:val="5"/>
            <w:tcBorders>
              <w:top w:val="single" w:color="auto" w:sz="4" w:space="0"/>
            </w:tcBorders>
            <w:noWrap/>
            <w:vAlign w:val="center"/>
          </w:tcPr>
          <w:p>
            <w:pPr>
              <w:widowControl/>
              <w:spacing w:line="300" w:lineRule="exact"/>
              <w:rPr>
                <w:rFonts w:hint="eastAsia" w:hAnsi="Times New Roman" w:cs="Times New Roman"/>
                <w:b/>
                <w:bCs/>
                <w:sz w:val="21"/>
                <w:szCs w:val="21"/>
                <w:u w:val="none"/>
              </w:rPr>
            </w:pPr>
            <w:r>
              <w:rPr>
                <w:rFonts w:hint="eastAsia" w:hAnsi="方正仿宋_GBK" w:cs="方正仿宋_GBK"/>
                <w:b/>
                <w:bCs/>
                <w:sz w:val="21"/>
                <w:szCs w:val="21"/>
                <w:u w:val="none"/>
              </w:rPr>
              <w:t>注：本若干举措奖补条件均以2024年为起始时间。</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70CDA"/>
    <w:rsid w:val="79C70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Calibri" w:eastAsia="仿宋_GB2312" w:cs="宋体"/>
      <w:sz w:val="32"/>
      <w:szCs w:val="32"/>
      <w:u w:val="single"/>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4"/>
    <w:qFormat/>
    <w:uiPriority w:val="0"/>
    <w:pPr>
      <w:widowControl/>
      <w:spacing w:line="560" w:lineRule="exact"/>
      <w:ind w:firstLine="200" w:firstLineChars="200"/>
    </w:pPr>
    <w:rPr>
      <w:rFonts w:eastAsia="仿宋_GB2312"/>
      <w:sz w:val="28"/>
      <w:szCs w:val="28"/>
    </w:rPr>
  </w:style>
  <w:style w:type="paragraph" w:customStyle="1" w:styleId="3">
    <w:name w:val="Body Text Indent1"/>
    <w:basedOn w:val="1"/>
    <w:qFormat/>
    <w:uiPriority w:val="0"/>
    <w:pPr>
      <w:spacing w:after="120" w:afterLines="0"/>
      <w:ind w:left="420" w:leftChars="200"/>
    </w:pPr>
  </w:style>
  <w:style w:type="paragraph" w:styleId="4">
    <w:name w:val="toc 3"/>
    <w:basedOn w:val="1"/>
    <w:next w:val="1"/>
    <w:qFormat/>
    <w:uiPriority w:val="0"/>
    <w:pPr>
      <w:ind w:left="840" w:leftChars="400"/>
    </w:pPr>
  </w:style>
  <w:style w:type="paragraph" w:styleId="5">
    <w:name w:val="footer"/>
    <w:basedOn w:val="1"/>
    <w:next w:val="1"/>
    <w:qFormat/>
    <w:uiPriority w:val="0"/>
    <w:pPr>
      <w:tabs>
        <w:tab w:val="center" w:pos="4153"/>
        <w:tab w:val="right" w:pos="8306"/>
      </w:tabs>
      <w:suppressAutoHyphens/>
      <w:snapToGrid w:val="0"/>
      <w:jc w:val="left"/>
    </w:pPr>
    <w:rPr>
      <w:rFonts w:ascii="Calibri" w:eastAsia="宋体" w:cs="Times New Roman"/>
      <w:kern w:val="2"/>
      <w:sz w:val="18"/>
      <w:szCs w:val="24"/>
      <w:u w:val="none"/>
    </w:rPr>
  </w:style>
  <w:style w:type="character" w:styleId="8">
    <w:name w:val="page number"/>
    <w:basedOn w:val="7"/>
    <w:qFormat/>
    <w:uiPriority w:val="0"/>
  </w:style>
  <w:style w:type="paragraph" w:customStyle="1" w:styleId="9">
    <w:name w:val="Char Char Char Char Char Char Char Char Char"/>
    <w:basedOn w:val="1"/>
    <w:qFormat/>
    <w:uiPriority w:val="0"/>
    <w:pPr>
      <w:widowControl/>
      <w:spacing w:after="160" w:line="240" w:lineRule="exact"/>
      <w:jc w:val="left"/>
    </w:pPr>
    <w:rPr>
      <w:rFonts w:ascii="Times New Roman" w:hAnsi="Times New Roman" w:eastAsia="宋体" w:cs="Times New Roman"/>
      <w:kern w:val="2"/>
      <w:sz w:val="21"/>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2024-09-27T03:07:00Z</dcterms:created>
  <dc:creator>Administrator</dc:creator>
  <cp:lastModifiedBy>Administrator</cp:lastModifiedBy>
  <dcterms:modified xsi:type="dcterms:W3CDTF">2024-09-27T03:08:24Z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3544BAEAC07B4C6DAC909BBEB4480508</vt:lpwstr>
  </property>
</Properties>
</file>