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附件8</w:t>
      </w:r>
    </w:p>
    <w:p>
      <w:pPr>
        <w:spacing w:line="440" w:lineRule="exact"/>
        <w:jc w:val="center"/>
        <w:rPr>
          <w:rFonts w:ascii="Times New Roman" w:hAnsi="Times New Roman" w:eastAsia="方正小标宋简体"/>
          <w:color w:val="000000"/>
          <w:sz w:val="32"/>
          <w:szCs w:val="32"/>
        </w:rPr>
      </w:pPr>
      <w:r>
        <w:rPr>
          <w:rFonts w:hint="eastAsia" w:ascii="Times New Roman" w:hAnsi="Times New Roman" w:eastAsia="方正小标宋简体"/>
          <w:color w:val="000000"/>
          <w:sz w:val="32"/>
          <w:szCs w:val="32"/>
          <w:lang w:val="en-US" w:eastAsia="zh-CN"/>
        </w:rPr>
        <w:t>陕西省</w:t>
      </w:r>
      <w:r>
        <w:rPr>
          <w:rFonts w:ascii="Times New Roman" w:hAnsi="Times New Roman" w:eastAsia="方正小标宋简体"/>
          <w:color w:val="000000"/>
          <w:sz w:val="32"/>
          <w:szCs w:val="32"/>
        </w:rPr>
        <w:t>嵌入式灯具产品质量监督抽查实施细则</w:t>
      </w:r>
    </w:p>
    <w:p>
      <w:pPr>
        <w:snapToGrid w:val="0"/>
        <w:spacing w:line="440" w:lineRule="exact"/>
        <w:ind w:firstLine="359" w:firstLineChars="171"/>
        <w:rPr>
          <w:rFonts w:ascii="Times New Roman" w:hAnsi="Times New Roman"/>
          <w:color w:val="000000"/>
          <w:szCs w:val="21"/>
        </w:rPr>
      </w:pPr>
    </w:p>
    <w:p>
      <w:pPr>
        <w:snapToGrid w:val="0"/>
        <w:spacing w:line="440" w:lineRule="exact"/>
        <w:rPr>
          <w:rFonts w:hint="eastAsia" w:ascii="国标黑体" w:hAnsi="国标黑体" w:eastAsia="国标黑体" w:cs="国标黑体"/>
          <w:color w:val="000000"/>
          <w:szCs w:val="21"/>
        </w:rPr>
      </w:pPr>
      <w:r>
        <w:rPr>
          <w:rFonts w:hint="eastAsia" w:ascii="国标黑体" w:hAnsi="国标黑体" w:eastAsia="国标黑体" w:cs="国标黑体"/>
          <w:color w:val="000000"/>
          <w:szCs w:val="21"/>
        </w:rPr>
        <w:t>1 抽样方法</w:t>
      </w:r>
    </w:p>
    <w:p>
      <w:pPr>
        <w:snapToGrid w:val="0"/>
        <w:spacing w:line="440" w:lineRule="exact"/>
        <w:ind w:firstLine="420" w:firstLineChars="200"/>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以随机抽样的方式在被抽样销售者的待销产品中抽取。</w:t>
      </w:r>
    </w:p>
    <w:p>
      <w:pPr>
        <w:snapToGrid w:val="0"/>
        <w:spacing w:line="440" w:lineRule="exact"/>
        <w:ind w:firstLine="420" w:firstLineChars="200"/>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随机数使用随机数表方法产生。</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rPr>
        <w:t>每批次产品抽取样品</w:t>
      </w:r>
      <w:r>
        <w:rPr>
          <w:rFonts w:hint="eastAsia" w:asciiTheme="minorEastAsia" w:hAnsiTheme="minorEastAsia" w:eastAsiaTheme="minorEastAsia" w:cstheme="minorEastAsia"/>
          <w:color w:val="000000"/>
          <w:lang w:val="en-US" w:eastAsia="zh-CN"/>
        </w:rPr>
        <w:t>2</w:t>
      </w:r>
      <w:r>
        <w:rPr>
          <w:rFonts w:hint="eastAsia" w:asciiTheme="minorEastAsia" w:hAnsiTheme="minorEastAsia" w:eastAsiaTheme="minorEastAsia" w:cstheme="minorEastAsia"/>
          <w:color w:val="000000"/>
        </w:rPr>
        <w:t>台，其中</w:t>
      </w:r>
      <w:r>
        <w:rPr>
          <w:rFonts w:hint="eastAsia" w:asciiTheme="minorEastAsia" w:hAnsiTheme="minorEastAsia" w:eastAsiaTheme="minorEastAsia" w:cstheme="minorEastAsia"/>
          <w:color w:val="000000"/>
          <w:lang w:val="en-US" w:eastAsia="zh-CN"/>
        </w:rPr>
        <w:t>1</w:t>
      </w:r>
      <w:r>
        <w:rPr>
          <w:rFonts w:hint="eastAsia" w:asciiTheme="minorEastAsia" w:hAnsiTheme="minorEastAsia" w:eastAsiaTheme="minorEastAsia" w:cstheme="minorEastAsia"/>
          <w:color w:val="000000"/>
        </w:rPr>
        <w:t>台作为检验样品，1台作为备用样品</w:t>
      </w:r>
      <w:r>
        <w:rPr>
          <w:rFonts w:hint="eastAsia" w:asciiTheme="minorEastAsia" w:hAnsiTheme="minorEastAsia" w:eastAsiaTheme="minorEastAsia" w:cstheme="minorEastAsia"/>
        </w:rPr>
        <w:t>。</w:t>
      </w:r>
    </w:p>
    <w:p>
      <w:pPr>
        <w:snapToGrid w:val="0"/>
        <w:spacing w:line="440" w:lineRule="exact"/>
        <w:rPr>
          <w:rFonts w:hint="eastAsia" w:ascii="国标黑体" w:hAnsi="国标黑体" w:eastAsia="国标黑体" w:cs="国标黑体"/>
          <w:color w:val="000000"/>
          <w:szCs w:val="21"/>
        </w:rPr>
      </w:pPr>
      <w:r>
        <w:rPr>
          <w:rFonts w:hint="eastAsia" w:ascii="国标黑体" w:hAnsi="国标黑体" w:eastAsia="国标黑体" w:cs="国标黑体"/>
          <w:color w:val="000000"/>
          <w:szCs w:val="21"/>
        </w:rPr>
        <w:t>2 检验依据</w:t>
      </w:r>
    </w:p>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表1嵌入式灯具产品检验项目</w:t>
      </w:r>
    </w:p>
    <w:tbl>
      <w:tblPr>
        <w:tblStyle w:val="5"/>
        <w:tblW w:w="106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1871"/>
        <w:gridCol w:w="2960"/>
        <w:gridCol w:w="2580"/>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960" w:type="dxa"/>
            <w:noWrap w:val="0"/>
            <w:vAlign w:val="center"/>
          </w:tcPr>
          <w:p>
            <w:pPr>
              <w:snapToGrid w:val="0"/>
              <w:jc w:val="center"/>
              <w:rPr>
                <w:rFonts w:ascii="Times New Roman" w:hAnsi="Times New Roman"/>
                <w:color w:val="000000"/>
                <w:szCs w:val="21"/>
              </w:rPr>
            </w:pPr>
            <w:r>
              <w:rPr>
                <w:rFonts w:ascii="Times New Roman" w:hAnsi="Times New Roman"/>
                <w:color w:val="000000"/>
                <w:szCs w:val="21"/>
              </w:rPr>
              <w:t>序号</w:t>
            </w:r>
          </w:p>
        </w:tc>
        <w:tc>
          <w:tcPr>
            <w:tcW w:w="4831" w:type="dxa"/>
            <w:gridSpan w:val="2"/>
            <w:noWrap w:val="0"/>
            <w:vAlign w:val="center"/>
          </w:tcPr>
          <w:p>
            <w:pPr>
              <w:snapToGrid w:val="0"/>
              <w:jc w:val="center"/>
              <w:rPr>
                <w:rFonts w:ascii="Times New Roman" w:hAnsi="Times New Roman"/>
                <w:color w:val="000000"/>
                <w:szCs w:val="21"/>
              </w:rPr>
            </w:pPr>
            <w:r>
              <w:rPr>
                <w:rFonts w:ascii="Times New Roman" w:hAnsi="Times New Roman"/>
                <w:color w:val="000000"/>
                <w:szCs w:val="21"/>
              </w:rPr>
              <w:t>检验项目</w:t>
            </w:r>
          </w:p>
        </w:tc>
        <w:tc>
          <w:tcPr>
            <w:tcW w:w="2580" w:type="dxa"/>
            <w:noWrap w:val="0"/>
            <w:vAlign w:val="center"/>
          </w:tcPr>
          <w:p>
            <w:pPr>
              <w:snapToGrid w:val="0"/>
              <w:jc w:val="center"/>
              <w:rPr>
                <w:rFonts w:hint="eastAsia" w:ascii="Times New Roman" w:hAnsi="Times New Roman" w:eastAsia="宋体"/>
                <w:color w:val="000000"/>
                <w:szCs w:val="21"/>
                <w:lang w:eastAsia="zh-CN"/>
              </w:rPr>
            </w:pPr>
            <w:r>
              <w:rPr>
                <w:rFonts w:ascii="Times New Roman" w:hAnsi="Times New Roman"/>
                <w:color w:val="000000"/>
                <w:szCs w:val="21"/>
              </w:rPr>
              <w:t>检验</w:t>
            </w:r>
            <w:r>
              <w:rPr>
                <w:rFonts w:hint="eastAsia" w:ascii="Times New Roman" w:hAnsi="Times New Roman"/>
                <w:color w:val="000000"/>
                <w:szCs w:val="21"/>
                <w:lang w:val="en-US" w:eastAsia="zh-CN"/>
              </w:rPr>
              <w:t>依据</w:t>
            </w:r>
          </w:p>
        </w:tc>
        <w:tc>
          <w:tcPr>
            <w:tcW w:w="2270" w:type="dxa"/>
            <w:shd w:val="clear" w:color="auto" w:fill="auto"/>
            <w:noWrap w:val="0"/>
            <w:vAlign w:val="center"/>
          </w:tcPr>
          <w:p>
            <w:pPr>
              <w:snapToGrid w:val="0"/>
              <w:jc w:val="center"/>
              <w:rPr>
                <w:rFonts w:ascii="Times New Roman" w:hAnsi="Times New Roman" w:eastAsia="宋体" w:cs="Times New Roman"/>
                <w:color w:val="000000"/>
                <w:kern w:val="2"/>
                <w:sz w:val="21"/>
                <w:szCs w:val="21"/>
                <w:lang w:val="en-US" w:eastAsia="zh-CN" w:bidi="ar-SA"/>
              </w:rPr>
            </w:pPr>
            <w:r>
              <w:rPr>
                <w:rFonts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restar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871" w:type="dxa"/>
            <w:vMerge w:val="restar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结构</w:t>
            </w:r>
          </w:p>
        </w:tc>
        <w:tc>
          <w:tcPr>
            <w:tcW w:w="2960" w:type="dxa"/>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走线槽</w:t>
            </w:r>
          </w:p>
        </w:tc>
        <w:tc>
          <w:tcPr>
            <w:tcW w:w="2580" w:type="dxa"/>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color w:val="000000"/>
                <w:szCs w:val="21"/>
              </w:rPr>
            </w:pPr>
            <w:r>
              <w:rPr>
                <w:rFonts w:ascii="Times New Roman" w:hAnsi="Times New Roman"/>
                <w:szCs w:val="21"/>
              </w:rPr>
              <w:t>GB 7000.202—2008</w:t>
            </w:r>
          </w:p>
        </w:tc>
        <w:tc>
          <w:tcPr>
            <w:tcW w:w="2270" w:type="dxa"/>
            <w:shd w:val="clear" w:color="auto" w:fill="auto"/>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eastAsia="宋体" w:cs="Times New Roman"/>
                <w:color w:val="000000"/>
                <w:kern w:val="2"/>
                <w:sz w:val="21"/>
                <w:szCs w:val="21"/>
                <w:lang w:val="en-US" w:eastAsia="zh-CN" w:bidi="ar-SA"/>
              </w:rPr>
            </w:pPr>
            <w:r>
              <w:rPr>
                <w:rFonts w:ascii="Times New Roman" w:hAnsi="Times New Roman"/>
                <w:szCs w:val="21"/>
              </w:rPr>
              <w:t>GB 7000.202—2008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noWrap w:val="0"/>
            <w:vAlign w:val="center"/>
          </w:tcPr>
          <w:p>
            <w:pPr>
              <w:snapToGrid w:val="0"/>
              <w:jc w:val="center"/>
              <w:rPr>
                <w:rFonts w:hint="eastAsia" w:asciiTheme="minorEastAsia" w:hAnsiTheme="minorEastAsia" w:eastAsiaTheme="minorEastAsia" w:cstheme="minorEastAsia"/>
                <w:color w:val="000000"/>
                <w:szCs w:val="21"/>
              </w:rPr>
            </w:pPr>
          </w:p>
        </w:tc>
        <w:tc>
          <w:tcPr>
            <w:tcW w:w="1871" w:type="dxa"/>
            <w:vMerge w:val="continue"/>
            <w:noWrap w:val="0"/>
            <w:vAlign w:val="center"/>
          </w:tcPr>
          <w:p>
            <w:pPr>
              <w:snapToGrid w:val="0"/>
              <w:jc w:val="center"/>
              <w:rPr>
                <w:rFonts w:hint="eastAsia" w:asciiTheme="minorEastAsia" w:hAnsiTheme="minorEastAsia" w:eastAsiaTheme="minorEastAsia" w:cstheme="minorEastAsia"/>
                <w:color w:val="000000"/>
                <w:szCs w:val="21"/>
              </w:rPr>
            </w:pPr>
          </w:p>
        </w:tc>
        <w:tc>
          <w:tcPr>
            <w:tcW w:w="2960" w:type="dxa"/>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带有不可替换光源的灯具</w:t>
            </w:r>
          </w:p>
        </w:tc>
        <w:tc>
          <w:tcPr>
            <w:tcW w:w="2580" w:type="dxa"/>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color w:val="000000"/>
                <w:szCs w:val="21"/>
              </w:rPr>
            </w:pPr>
            <w:r>
              <w:rPr>
                <w:rFonts w:ascii="Times New Roman" w:hAnsi="Times New Roman"/>
                <w:szCs w:val="21"/>
              </w:rPr>
              <w:t>GB 7000.202—2008</w:t>
            </w:r>
          </w:p>
        </w:tc>
        <w:tc>
          <w:tcPr>
            <w:tcW w:w="2270" w:type="dxa"/>
            <w:shd w:val="clear" w:color="auto" w:fill="auto"/>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eastAsia="宋体" w:cs="Times New Roman"/>
                <w:color w:val="000000"/>
                <w:kern w:val="2"/>
                <w:sz w:val="21"/>
                <w:szCs w:val="21"/>
                <w:lang w:val="en-US" w:eastAsia="zh-CN" w:bidi="ar-SA"/>
              </w:rPr>
            </w:pPr>
            <w:r>
              <w:rPr>
                <w:rFonts w:ascii="Times New Roman" w:hAnsi="Times New Roman"/>
                <w:szCs w:val="21"/>
              </w:rPr>
              <w:t>GB 7000.202—2008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noWrap w:val="0"/>
            <w:vAlign w:val="center"/>
          </w:tcPr>
          <w:p>
            <w:pPr>
              <w:snapToGrid w:val="0"/>
              <w:jc w:val="center"/>
              <w:rPr>
                <w:rFonts w:hint="eastAsia" w:asciiTheme="minorEastAsia" w:hAnsiTheme="minorEastAsia" w:eastAsiaTheme="minorEastAsia" w:cstheme="minorEastAsia"/>
                <w:color w:val="000000"/>
                <w:szCs w:val="21"/>
              </w:rPr>
            </w:pPr>
          </w:p>
        </w:tc>
        <w:tc>
          <w:tcPr>
            <w:tcW w:w="1871" w:type="dxa"/>
            <w:vMerge w:val="continue"/>
            <w:noWrap w:val="0"/>
            <w:vAlign w:val="center"/>
          </w:tcPr>
          <w:p>
            <w:pPr>
              <w:snapToGrid w:val="0"/>
              <w:jc w:val="center"/>
              <w:rPr>
                <w:rFonts w:hint="eastAsia" w:asciiTheme="minorEastAsia" w:hAnsiTheme="minorEastAsia" w:eastAsiaTheme="minorEastAsia" w:cstheme="minorEastAsia"/>
                <w:color w:val="000000"/>
                <w:szCs w:val="21"/>
              </w:rPr>
            </w:pPr>
          </w:p>
        </w:tc>
        <w:tc>
          <w:tcPr>
            <w:tcW w:w="2960" w:type="dxa"/>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带有非用户替换光源的灯具</w:t>
            </w:r>
          </w:p>
        </w:tc>
        <w:tc>
          <w:tcPr>
            <w:tcW w:w="2580" w:type="dxa"/>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color w:val="000000"/>
                <w:szCs w:val="21"/>
              </w:rPr>
            </w:pPr>
            <w:r>
              <w:rPr>
                <w:rFonts w:ascii="Times New Roman" w:hAnsi="Times New Roman"/>
                <w:szCs w:val="21"/>
              </w:rPr>
              <w:t>GB 7000.202—2008</w:t>
            </w:r>
          </w:p>
        </w:tc>
        <w:tc>
          <w:tcPr>
            <w:tcW w:w="2270" w:type="dxa"/>
            <w:shd w:val="clear" w:color="auto" w:fill="auto"/>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eastAsia="宋体" w:cs="Times New Roman"/>
                <w:color w:val="000000"/>
                <w:kern w:val="2"/>
                <w:sz w:val="21"/>
                <w:szCs w:val="21"/>
                <w:lang w:val="en-US" w:eastAsia="zh-CN" w:bidi="ar-SA"/>
              </w:rPr>
            </w:pPr>
            <w:r>
              <w:rPr>
                <w:rFonts w:ascii="Times New Roman" w:hAnsi="Times New Roman"/>
                <w:szCs w:val="21"/>
              </w:rPr>
              <w:t>GB 7000.202—2008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restar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1871" w:type="dxa"/>
            <w:vMerge w:val="restar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外部接线和内部接线</w:t>
            </w:r>
          </w:p>
        </w:tc>
        <w:tc>
          <w:tcPr>
            <w:tcW w:w="2960" w:type="dxa"/>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电源连接方法</w:t>
            </w:r>
          </w:p>
        </w:tc>
        <w:tc>
          <w:tcPr>
            <w:tcW w:w="2580" w:type="dxa"/>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color w:val="000000"/>
                <w:szCs w:val="21"/>
              </w:rPr>
            </w:pPr>
            <w:r>
              <w:rPr>
                <w:rFonts w:ascii="Times New Roman" w:hAnsi="Times New Roman"/>
                <w:szCs w:val="21"/>
              </w:rPr>
              <w:t>GB 7000.202—2008</w:t>
            </w:r>
          </w:p>
        </w:tc>
        <w:tc>
          <w:tcPr>
            <w:tcW w:w="2270" w:type="dxa"/>
            <w:shd w:val="clear" w:color="auto" w:fill="auto"/>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eastAsia="宋体" w:cs="Times New Roman"/>
                <w:color w:val="000000"/>
                <w:kern w:val="2"/>
                <w:sz w:val="21"/>
                <w:szCs w:val="21"/>
                <w:lang w:val="en-US" w:eastAsia="zh-CN" w:bidi="ar-SA"/>
              </w:rPr>
            </w:pPr>
            <w:r>
              <w:rPr>
                <w:rFonts w:ascii="Times New Roman" w:hAnsi="Times New Roman"/>
                <w:szCs w:val="21"/>
              </w:rPr>
              <w:t>GB 7000.202—2008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noWrap w:val="0"/>
            <w:vAlign w:val="center"/>
          </w:tcPr>
          <w:p>
            <w:pPr>
              <w:snapToGrid w:val="0"/>
              <w:jc w:val="center"/>
              <w:rPr>
                <w:rFonts w:hint="eastAsia" w:asciiTheme="minorEastAsia" w:hAnsiTheme="minorEastAsia" w:eastAsiaTheme="minorEastAsia" w:cstheme="minorEastAsia"/>
                <w:color w:val="000000"/>
                <w:szCs w:val="21"/>
              </w:rPr>
            </w:pPr>
          </w:p>
        </w:tc>
        <w:tc>
          <w:tcPr>
            <w:tcW w:w="1871" w:type="dxa"/>
            <w:vMerge w:val="continue"/>
            <w:noWrap w:val="0"/>
            <w:vAlign w:val="center"/>
          </w:tcPr>
          <w:p>
            <w:pPr>
              <w:snapToGrid w:val="0"/>
              <w:jc w:val="center"/>
              <w:rPr>
                <w:rFonts w:hint="eastAsia" w:asciiTheme="minorEastAsia" w:hAnsiTheme="minorEastAsia" w:eastAsiaTheme="minorEastAsia" w:cstheme="minorEastAsia"/>
                <w:color w:val="000000"/>
                <w:szCs w:val="21"/>
              </w:rPr>
            </w:pPr>
          </w:p>
        </w:tc>
        <w:tc>
          <w:tcPr>
            <w:tcW w:w="2960" w:type="dxa"/>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外部接线截面积</w:t>
            </w:r>
          </w:p>
        </w:tc>
        <w:tc>
          <w:tcPr>
            <w:tcW w:w="2580" w:type="dxa"/>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color w:val="000000"/>
                <w:szCs w:val="21"/>
              </w:rPr>
            </w:pPr>
            <w:r>
              <w:rPr>
                <w:rFonts w:ascii="Times New Roman" w:hAnsi="Times New Roman"/>
                <w:szCs w:val="21"/>
              </w:rPr>
              <w:t>GB 7000.202—2008</w:t>
            </w:r>
          </w:p>
        </w:tc>
        <w:tc>
          <w:tcPr>
            <w:tcW w:w="2270" w:type="dxa"/>
            <w:shd w:val="clear" w:color="auto" w:fill="auto"/>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eastAsia="宋体" w:cs="Times New Roman"/>
                <w:color w:val="000000"/>
                <w:kern w:val="2"/>
                <w:sz w:val="21"/>
                <w:szCs w:val="21"/>
                <w:lang w:val="en-US" w:eastAsia="zh-CN" w:bidi="ar-SA"/>
              </w:rPr>
            </w:pPr>
            <w:r>
              <w:rPr>
                <w:rFonts w:ascii="Times New Roman" w:hAnsi="Times New Roman"/>
                <w:szCs w:val="21"/>
              </w:rPr>
              <w:t>GB 7000.202—2008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4831" w:type="dxa"/>
            <w:gridSpan w:val="2"/>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防触电保护</w:t>
            </w:r>
          </w:p>
        </w:tc>
        <w:tc>
          <w:tcPr>
            <w:tcW w:w="2580" w:type="dxa"/>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color w:val="000000"/>
                <w:szCs w:val="21"/>
              </w:rPr>
            </w:pPr>
            <w:r>
              <w:rPr>
                <w:rFonts w:ascii="Times New Roman" w:hAnsi="Times New Roman"/>
                <w:szCs w:val="21"/>
              </w:rPr>
              <w:t>GB 7000.202—2008</w:t>
            </w:r>
          </w:p>
        </w:tc>
        <w:tc>
          <w:tcPr>
            <w:tcW w:w="2270" w:type="dxa"/>
            <w:shd w:val="clear" w:color="auto" w:fill="auto"/>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eastAsia="宋体" w:cs="Times New Roman"/>
                <w:color w:val="000000"/>
                <w:kern w:val="2"/>
                <w:sz w:val="21"/>
                <w:szCs w:val="21"/>
                <w:lang w:val="en-US" w:eastAsia="zh-CN" w:bidi="ar-SA"/>
              </w:rPr>
            </w:pPr>
            <w:r>
              <w:rPr>
                <w:rFonts w:ascii="Times New Roman" w:hAnsi="Times New Roman"/>
                <w:szCs w:val="21"/>
              </w:rPr>
              <w:t>GB 7000.202—2008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60" w:type="dxa"/>
            <w:vMerge w:val="restart"/>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4</w:t>
            </w:r>
          </w:p>
        </w:tc>
        <w:tc>
          <w:tcPr>
            <w:tcW w:w="1871" w:type="dxa"/>
            <w:vMerge w:val="restart"/>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耐热、耐火和耐起痕</w:t>
            </w:r>
          </w:p>
        </w:tc>
        <w:tc>
          <w:tcPr>
            <w:tcW w:w="2960" w:type="dxa"/>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耐热</w:t>
            </w:r>
          </w:p>
        </w:tc>
        <w:tc>
          <w:tcPr>
            <w:tcW w:w="2580" w:type="dxa"/>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color w:val="000000"/>
                <w:szCs w:val="21"/>
              </w:rPr>
            </w:pPr>
            <w:r>
              <w:rPr>
                <w:rFonts w:ascii="Times New Roman" w:hAnsi="Times New Roman"/>
                <w:szCs w:val="21"/>
              </w:rPr>
              <w:t>GB 7000.202—2008</w:t>
            </w:r>
          </w:p>
        </w:tc>
        <w:tc>
          <w:tcPr>
            <w:tcW w:w="2270" w:type="dxa"/>
            <w:shd w:val="clear" w:color="auto" w:fill="auto"/>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eastAsia="宋体" w:cs="Times New Roman"/>
                <w:color w:val="000000"/>
                <w:kern w:val="2"/>
                <w:sz w:val="21"/>
                <w:szCs w:val="21"/>
                <w:lang w:val="en-US" w:eastAsia="zh-CN" w:bidi="ar-SA"/>
              </w:rPr>
            </w:pPr>
            <w:r>
              <w:rPr>
                <w:rFonts w:ascii="Times New Roman" w:hAnsi="Times New Roman"/>
                <w:szCs w:val="21"/>
              </w:rPr>
              <w:t>GB 7000.202—2008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60" w:type="dxa"/>
            <w:vMerge w:val="continue"/>
            <w:noWrap w:val="0"/>
            <w:vAlign w:val="center"/>
          </w:tcPr>
          <w:p>
            <w:pPr>
              <w:snapToGrid w:val="0"/>
              <w:jc w:val="center"/>
              <w:rPr>
                <w:rFonts w:hint="eastAsia" w:asciiTheme="minorEastAsia" w:hAnsiTheme="minorEastAsia" w:eastAsiaTheme="minorEastAsia" w:cstheme="minorEastAsia"/>
                <w:color w:val="000000"/>
                <w:szCs w:val="21"/>
              </w:rPr>
            </w:pPr>
          </w:p>
        </w:tc>
        <w:tc>
          <w:tcPr>
            <w:tcW w:w="1871" w:type="dxa"/>
            <w:vMerge w:val="continue"/>
            <w:noWrap w:val="0"/>
            <w:vAlign w:val="center"/>
          </w:tcPr>
          <w:p>
            <w:pPr>
              <w:snapToGrid w:val="0"/>
              <w:jc w:val="center"/>
              <w:rPr>
                <w:rFonts w:hint="eastAsia" w:asciiTheme="minorEastAsia" w:hAnsiTheme="minorEastAsia" w:eastAsiaTheme="minorEastAsia" w:cstheme="minorEastAsia"/>
                <w:color w:val="000000"/>
                <w:szCs w:val="21"/>
              </w:rPr>
            </w:pPr>
          </w:p>
        </w:tc>
        <w:tc>
          <w:tcPr>
            <w:tcW w:w="2960" w:type="dxa"/>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耐燃烧和防引燃</w:t>
            </w:r>
          </w:p>
        </w:tc>
        <w:tc>
          <w:tcPr>
            <w:tcW w:w="2580" w:type="dxa"/>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color w:val="000000"/>
                <w:szCs w:val="21"/>
              </w:rPr>
            </w:pPr>
            <w:r>
              <w:rPr>
                <w:rFonts w:ascii="Times New Roman" w:hAnsi="Times New Roman"/>
                <w:szCs w:val="21"/>
              </w:rPr>
              <w:t>GB 7000.202—2008</w:t>
            </w:r>
          </w:p>
        </w:tc>
        <w:tc>
          <w:tcPr>
            <w:tcW w:w="2270" w:type="dxa"/>
            <w:shd w:val="clear" w:color="auto" w:fill="auto"/>
            <w:noWrap w:val="0"/>
            <w:vAlign w:val="center"/>
          </w:tcPr>
          <w:p>
            <w:pPr>
              <w:snapToGrid w:val="0"/>
              <w:jc w:val="both"/>
              <w:rPr>
                <w:rFonts w:ascii="Times New Roman" w:hAnsi="Times New Roman"/>
                <w:szCs w:val="21"/>
              </w:rPr>
            </w:pPr>
            <w:r>
              <w:rPr>
                <w:rFonts w:ascii="Times New Roman" w:hAnsi="Times New Roman"/>
                <w:szCs w:val="21"/>
              </w:rPr>
              <w:t>GB 7000.1—2015</w:t>
            </w:r>
          </w:p>
          <w:p>
            <w:pPr>
              <w:snapToGrid w:val="0"/>
              <w:jc w:val="both"/>
              <w:rPr>
                <w:rFonts w:ascii="Times New Roman" w:hAnsi="Times New Roman" w:eastAsia="宋体" w:cs="Times New Roman"/>
                <w:color w:val="000000"/>
                <w:kern w:val="2"/>
                <w:sz w:val="21"/>
                <w:szCs w:val="21"/>
                <w:lang w:val="en-US" w:eastAsia="zh-CN" w:bidi="ar-SA"/>
              </w:rPr>
            </w:pPr>
            <w:r>
              <w:rPr>
                <w:rFonts w:ascii="Times New Roman" w:hAnsi="Times New Roman"/>
                <w:szCs w:val="21"/>
              </w:rPr>
              <w:t>GB 7000.202—2008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960"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5</w:t>
            </w:r>
          </w:p>
        </w:tc>
        <w:tc>
          <w:tcPr>
            <w:tcW w:w="4831" w:type="dxa"/>
            <w:gridSpan w:val="2"/>
            <w:noWrap w:val="0"/>
            <w:vAlign w:val="center"/>
          </w:tcPr>
          <w:p>
            <w:pPr>
              <w:snapToGrid w:val="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谐波电流限值</w:t>
            </w:r>
          </w:p>
        </w:tc>
        <w:tc>
          <w:tcPr>
            <w:tcW w:w="2580" w:type="dxa"/>
            <w:noWrap w:val="0"/>
            <w:vAlign w:val="center"/>
          </w:tcPr>
          <w:p>
            <w:pPr>
              <w:snapToGrid w:val="0"/>
              <w:jc w:val="both"/>
              <w:rPr>
                <w:rFonts w:ascii="Times New Roman" w:hAnsi="Times New Roman"/>
                <w:szCs w:val="21"/>
              </w:rPr>
            </w:pPr>
            <w:r>
              <w:rPr>
                <w:rFonts w:ascii="Times New Roman" w:hAnsi="Times New Roman"/>
                <w:szCs w:val="21"/>
              </w:rPr>
              <w:t>GB 17625.1—2022</w:t>
            </w:r>
          </w:p>
        </w:tc>
        <w:tc>
          <w:tcPr>
            <w:tcW w:w="2270" w:type="dxa"/>
            <w:shd w:val="clear" w:color="auto" w:fill="auto"/>
            <w:noWrap w:val="0"/>
            <w:vAlign w:val="center"/>
          </w:tcPr>
          <w:p>
            <w:pPr>
              <w:snapToGrid w:val="0"/>
              <w:jc w:val="both"/>
              <w:rPr>
                <w:rFonts w:ascii="Times New Roman" w:hAnsi="Times New Roman" w:eastAsia="宋体" w:cs="Times New Roman"/>
                <w:kern w:val="2"/>
                <w:sz w:val="21"/>
                <w:szCs w:val="21"/>
                <w:lang w:val="en-US" w:eastAsia="zh-CN" w:bidi="ar-SA"/>
              </w:rPr>
            </w:pPr>
            <w:r>
              <w:rPr>
                <w:rFonts w:ascii="Times New Roman" w:hAnsi="Times New Roman"/>
                <w:szCs w:val="21"/>
              </w:rPr>
              <w:t>GB 17625.1—2022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0"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6</w:t>
            </w:r>
          </w:p>
        </w:tc>
        <w:tc>
          <w:tcPr>
            <w:tcW w:w="4831" w:type="dxa"/>
            <w:gridSpan w:val="2"/>
            <w:noWrap w:val="0"/>
            <w:vAlign w:val="center"/>
          </w:tcPr>
          <w:p>
            <w:pPr>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能效等级（光效）、能效限定值（光效）</w:t>
            </w:r>
          </w:p>
        </w:tc>
        <w:tc>
          <w:tcPr>
            <w:tcW w:w="2580" w:type="dxa"/>
            <w:noWrap w:val="0"/>
            <w:vAlign w:val="center"/>
          </w:tcPr>
          <w:p>
            <w:pPr>
              <w:snapToGrid w:val="0"/>
              <w:jc w:val="both"/>
              <w:rPr>
                <w:rFonts w:ascii="Times New Roman" w:hAnsi="Times New Roman"/>
                <w:color w:val="000000"/>
                <w:szCs w:val="21"/>
              </w:rPr>
            </w:pPr>
            <w:r>
              <w:rPr>
                <w:rFonts w:ascii="Times New Roman" w:hAnsi="Times New Roman"/>
                <w:color w:val="000000"/>
                <w:szCs w:val="21"/>
              </w:rPr>
              <w:t>GB 30255—2019</w:t>
            </w:r>
          </w:p>
          <w:p>
            <w:pPr>
              <w:snapToGrid w:val="0"/>
              <w:jc w:val="both"/>
              <w:rPr>
                <w:rFonts w:ascii="Times New Roman" w:hAnsi="Times New Roman"/>
                <w:color w:val="000000"/>
                <w:szCs w:val="21"/>
              </w:rPr>
            </w:pPr>
            <w:r>
              <w:rPr>
                <w:rFonts w:ascii="Times New Roman" w:hAnsi="Times New Roman"/>
                <w:color w:val="000000"/>
                <w:szCs w:val="21"/>
              </w:rPr>
              <w:t>GB 38450—2019</w:t>
            </w:r>
          </w:p>
          <w:p>
            <w:pPr>
              <w:snapToGrid w:val="0"/>
              <w:jc w:val="both"/>
              <w:rPr>
                <w:rFonts w:ascii="Times New Roman" w:hAnsi="Times New Roman"/>
                <w:szCs w:val="21"/>
              </w:rPr>
            </w:pPr>
            <w:r>
              <w:rPr>
                <w:rFonts w:ascii="Times New Roman" w:hAnsi="Times New Roman"/>
                <w:szCs w:val="21"/>
              </w:rPr>
              <w:t>GB/T 31897.201—2016</w:t>
            </w:r>
          </w:p>
        </w:tc>
        <w:tc>
          <w:tcPr>
            <w:tcW w:w="2270" w:type="dxa"/>
            <w:shd w:val="clear" w:color="auto" w:fill="auto"/>
            <w:noWrap w:val="0"/>
            <w:vAlign w:val="center"/>
          </w:tcPr>
          <w:p>
            <w:pPr>
              <w:snapToGrid w:val="0"/>
              <w:jc w:val="both"/>
              <w:rPr>
                <w:rFonts w:ascii="Times New Roman" w:hAnsi="Times New Roman"/>
                <w:color w:val="000000"/>
                <w:szCs w:val="21"/>
              </w:rPr>
            </w:pPr>
            <w:r>
              <w:rPr>
                <w:rFonts w:ascii="Times New Roman" w:hAnsi="Times New Roman"/>
                <w:color w:val="000000"/>
                <w:szCs w:val="21"/>
              </w:rPr>
              <w:t>GB 30255—2019</w:t>
            </w:r>
          </w:p>
          <w:p>
            <w:pPr>
              <w:snapToGrid w:val="0"/>
              <w:jc w:val="both"/>
              <w:rPr>
                <w:rFonts w:ascii="Times New Roman" w:hAnsi="Times New Roman"/>
                <w:szCs w:val="21"/>
              </w:rPr>
            </w:pPr>
            <w:r>
              <w:rPr>
                <w:rFonts w:ascii="Times New Roman" w:hAnsi="Times New Roman"/>
                <w:szCs w:val="21"/>
              </w:rPr>
              <w:t>GB/T 29293—2012</w:t>
            </w:r>
          </w:p>
          <w:p>
            <w:pPr>
              <w:snapToGrid w:val="0"/>
              <w:jc w:val="both"/>
              <w:rPr>
                <w:rFonts w:ascii="Times New Roman" w:hAnsi="Times New Roman"/>
                <w:color w:val="000000"/>
                <w:szCs w:val="21"/>
              </w:rPr>
            </w:pPr>
            <w:r>
              <w:rPr>
                <w:rFonts w:ascii="Times New Roman" w:hAnsi="Times New Roman"/>
                <w:color w:val="000000"/>
                <w:szCs w:val="21"/>
              </w:rPr>
              <w:t>GB 38450—2019</w:t>
            </w:r>
          </w:p>
          <w:p>
            <w:pPr>
              <w:snapToGrid w:val="0"/>
              <w:jc w:val="both"/>
              <w:rPr>
                <w:rFonts w:ascii="Times New Roman" w:hAnsi="Times New Roman" w:eastAsia="宋体" w:cs="Times New Roman"/>
                <w:kern w:val="2"/>
                <w:sz w:val="21"/>
                <w:szCs w:val="21"/>
                <w:lang w:val="en-US" w:eastAsia="zh-CN" w:bidi="ar-SA"/>
              </w:rPr>
            </w:pPr>
            <w:r>
              <w:rPr>
                <w:rFonts w:ascii="Times New Roman" w:hAnsi="Times New Roman"/>
                <w:szCs w:val="21"/>
              </w:rPr>
              <w:t>GB/T 31897.201—2016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60" w:type="dxa"/>
            <w:noWrap w:val="0"/>
            <w:vAlign w:val="center"/>
          </w:tcPr>
          <w:p>
            <w:pPr>
              <w:snapToGrid w:val="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7</w:t>
            </w:r>
          </w:p>
        </w:tc>
        <w:tc>
          <w:tcPr>
            <w:tcW w:w="4831" w:type="dxa"/>
            <w:gridSpan w:val="2"/>
            <w:noWrap w:val="0"/>
            <w:vAlign w:val="center"/>
          </w:tcPr>
          <w:p>
            <w:pPr>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显色指数</w:t>
            </w:r>
          </w:p>
        </w:tc>
        <w:tc>
          <w:tcPr>
            <w:tcW w:w="2580" w:type="dxa"/>
            <w:noWrap w:val="0"/>
            <w:vAlign w:val="center"/>
          </w:tcPr>
          <w:p>
            <w:pPr>
              <w:snapToGrid w:val="0"/>
              <w:jc w:val="both"/>
              <w:rPr>
                <w:rFonts w:ascii="Times New Roman" w:hAnsi="Times New Roman"/>
                <w:color w:val="000000"/>
                <w:szCs w:val="21"/>
              </w:rPr>
            </w:pPr>
            <w:r>
              <w:rPr>
                <w:rFonts w:ascii="Times New Roman" w:hAnsi="Times New Roman"/>
                <w:color w:val="000000"/>
                <w:szCs w:val="21"/>
              </w:rPr>
              <w:t>GB 30255—2019</w:t>
            </w:r>
          </w:p>
          <w:p>
            <w:pPr>
              <w:snapToGrid w:val="0"/>
              <w:jc w:val="both"/>
              <w:rPr>
                <w:rFonts w:ascii="Times New Roman" w:hAnsi="Times New Roman"/>
                <w:color w:val="000000"/>
                <w:szCs w:val="21"/>
              </w:rPr>
            </w:pPr>
            <w:r>
              <w:rPr>
                <w:rFonts w:ascii="Times New Roman" w:hAnsi="Times New Roman"/>
                <w:color w:val="000000"/>
                <w:szCs w:val="21"/>
              </w:rPr>
              <w:t>GB 38450—2019</w:t>
            </w:r>
          </w:p>
          <w:p>
            <w:pPr>
              <w:snapToGrid w:val="0"/>
              <w:jc w:val="both"/>
              <w:rPr>
                <w:rFonts w:ascii="Times New Roman" w:hAnsi="Times New Roman"/>
                <w:szCs w:val="21"/>
              </w:rPr>
            </w:pPr>
            <w:r>
              <w:rPr>
                <w:rFonts w:ascii="Times New Roman" w:hAnsi="Times New Roman"/>
                <w:szCs w:val="21"/>
              </w:rPr>
              <w:t>GB/T 31897.201—2016</w:t>
            </w:r>
          </w:p>
        </w:tc>
        <w:tc>
          <w:tcPr>
            <w:tcW w:w="2270" w:type="dxa"/>
            <w:shd w:val="clear" w:color="auto" w:fill="auto"/>
            <w:noWrap w:val="0"/>
            <w:vAlign w:val="center"/>
          </w:tcPr>
          <w:p>
            <w:pPr>
              <w:snapToGrid w:val="0"/>
              <w:jc w:val="both"/>
              <w:rPr>
                <w:rFonts w:ascii="Times New Roman" w:hAnsi="Times New Roman"/>
                <w:color w:val="000000"/>
                <w:szCs w:val="21"/>
              </w:rPr>
            </w:pPr>
            <w:r>
              <w:rPr>
                <w:rFonts w:ascii="Times New Roman" w:hAnsi="Times New Roman"/>
                <w:color w:val="000000"/>
                <w:szCs w:val="21"/>
              </w:rPr>
              <w:t>GB 30255—2019</w:t>
            </w:r>
          </w:p>
          <w:p>
            <w:pPr>
              <w:snapToGrid w:val="0"/>
              <w:jc w:val="both"/>
              <w:rPr>
                <w:rFonts w:ascii="Times New Roman" w:hAnsi="Times New Roman"/>
                <w:szCs w:val="21"/>
              </w:rPr>
            </w:pPr>
            <w:r>
              <w:rPr>
                <w:rFonts w:ascii="Times New Roman" w:hAnsi="Times New Roman"/>
                <w:szCs w:val="21"/>
              </w:rPr>
              <w:t>GB/T 29293—2012</w:t>
            </w:r>
          </w:p>
          <w:p>
            <w:pPr>
              <w:snapToGrid w:val="0"/>
              <w:jc w:val="both"/>
              <w:rPr>
                <w:rFonts w:ascii="Times New Roman" w:hAnsi="Times New Roman"/>
                <w:color w:val="000000"/>
                <w:szCs w:val="21"/>
              </w:rPr>
            </w:pPr>
            <w:r>
              <w:rPr>
                <w:rFonts w:ascii="Times New Roman" w:hAnsi="Times New Roman"/>
                <w:color w:val="000000"/>
                <w:szCs w:val="21"/>
              </w:rPr>
              <w:t>GB 38450—2019</w:t>
            </w:r>
          </w:p>
          <w:p>
            <w:pPr>
              <w:snapToGrid w:val="0"/>
              <w:jc w:val="both"/>
              <w:rPr>
                <w:rFonts w:ascii="Times New Roman" w:hAnsi="Times New Roman" w:eastAsia="宋体" w:cs="Times New Roman"/>
                <w:kern w:val="2"/>
                <w:sz w:val="21"/>
                <w:szCs w:val="21"/>
                <w:lang w:val="en-US" w:eastAsia="zh-CN" w:bidi="ar-SA"/>
              </w:rPr>
            </w:pPr>
            <w:r>
              <w:rPr>
                <w:rFonts w:ascii="Times New Roman" w:hAnsi="Times New Roman"/>
                <w:szCs w:val="21"/>
              </w:rPr>
              <w:t>GB/T 31897.201—2016</w:t>
            </w:r>
          </w:p>
        </w:tc>
      </w:tr>
    </w:tbl>
    <w:p>
      <w:pPr>
        <w:snapToGrid w:val="0"/>
        <w:spacing w:line="440" w:lineRule="exact"/>
        <w:ind w:firstLine="420" w:firstLineChars="200"/>
        <w:rPr>
          <w:rFonts w:ascii="Times New Roman" w:hAnsi="Times New Roman"/>
          <w:color w:val="000000"/>
          <w:szCs w:val="21"/>
        </w:rPr>
      </w:pPr>
      <w:r>
        <w:rPr>
          <w:rFonts w:ascii="Times New Roman" w:hAnsi="Times New Roman"/>
          <w:color w:val="000000"/>
        </w:rPr>
        <w:t>执行企业标准、团体标准、地方标准的产品，检验项目参照上述内容执行。</w:t>
      </w:r>
    </w:p>
    <w:p>
      <w:pPr>
        <w:spacing w:line="440" w:lineRule="exact"/>
        <w:rPr>
          <w:rFonts w:hint="eastAsia" w:ascii="国标黑体" w:hAnsi="国标黑体" w:eastAsia="国标黑体" w:cs="国标黑体"/>
          <w:color w:val="000000"/>
          <w:szCs w:val="21"/>
        </w:rPr>
      </w:pPr>
      <w:r>
        <w:rPr>
          <w:rFonts w:hint="eastAsia" w:ascii="国标黑体" w:hAnsi="国标黑体" w:eastAsia="国标黑体" w:cs="国标黑体"/>
          <w:color w:val="000000"/>
          <w:szCs w:val="21"/>
        </w:rPr>
        <w:t>3 判定规则</w:t>
      </w:r>
    </w:p>
    <w:p>
      <w:pPr>
        <w:snapToGrid w:val="0"/>
        <w:spacing w:line="44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3.1依据标准</w:t>
      </w:r>
    </w:p>
    <w:p>
      <w:pPr>
        <w:spacing w:line="440" w:lineRule="exact"/>
        <w:ind w:firstLine="420" w:firstLineChars="200"/>
        <w:rPr>
          <w:rFonts w:hint="eastAsia" w:asciiTheme="minorEastAsia" w:hAnsiTheme="minorEastAsia" w:eastAsiaTheme="minorEastAsia" w:cstheme="minorEastAsia"/>
          <w:color w:val="000000"/>
          <w:szCs w:val="21"/>
        </w:rPr>
      </w:pPr>
      <w:r>
        <w:rPr>
          <w:rFonts w:ascii="Times New Roman" w:hAnsi="Times New Roman"/>
          <w:color w:val="000000"/>
          <w:szCs w:val="21"/>
        </w:rPr>
        <w:t>GB 7000.1</w:t>
      </w:r>
      <w:r>
        <w:rPr>
          <w:rFonts w:ascii="Times New Roman" w:hAnsi="Times New Roman"/>
          <w:szCs w:val="21"/>
        </w:rPr>
        <w:t>—</w:t>
      </w:r>
      <w:r>
        <w:rPr>
          <w:rFonts w:ascii="Times New Roman" w:hAnsi="Times New Roman"/>
          <w:color w:val="000000"/>
          <w:szCs w:val="21"/>
        </w:rPr>
        <w:t xml:space="preserve">2015 </w:t>
      </w:r>
      <w:r>
        <w:rPr>
          <w:rFonts w:hint="eastAsia" w:asciiTheme="minorEastAsia" w:hAnsiTheme="minorEastAsia" w:eastAsiaTheme="minorEastAsia" w:cstheme="minorEastAsia"/>
          <w:color w:val="000000"/>
          <w:szCs w:val="21"/>
        </w:rPr>
        <w:t>灯具  第1部分：一般要求与试验</w:t>
      </w:r>
    </w:p>
    <w:p>
      <w:pPr>
        <w:spacing w:line="440" w:lineRule="exact"/>
        <w:ind w:firstLine="420" w:firstLineChars="200"/>
        <w:rPr>
          <w:rFonts w:ascii="Times New Roman" w:hAnsi="Times New Roman"/>
          <w:color w:val="000000"/>
          <w:szCs w:val="21"/>
        </w:rPr>
      </w:pPr>
      <w:r>
        <w:rPr>
          <w:rFonts w:ascii="Times New Roman" w:hAnsi="Times New Roman"/>
          <w:color w:val="000000"/>
          <w:szCs w:val="21"/>
        </w:rPr>
        <w:t>GB 7000.202</w:t>
      </w:r>
      <w:r>
        <w:rPr>
          <w:rFonts w:ascii="Times New Roman" w:hAnsi="Times New Roman"/>
          <w:szCs w:val="21"/>
        </w:rPr>
        <w:t>—</w:t>
      </w:r>
      <w:r>
        <w:rPr>
          <w:rFonts w:ascii="Times New Roman" w:hAnsi="Times New Roman"/>
          <w:color w:val="000000"/>
          <w:szCs w:val="21"/>
        </w:rPr>
        <w:t xml:space="preserve">2008 </w:t>
      </w:r>
      <w:r>
        <w:rPr>
          <w:rFonts w:hint="eastAsia" w:asciiTheme="minorEastAsia" w:hAnsiTheme="minorEastAsia" w:eastAsiaTheme="minorEastAsia" w:cstheme="minorEastAsia"/>
          <w:color w:val="000000"/>
          <w:szCs w:val="21"/>
        </w:rPr>
        <w:t>灯具  第2-2部分：特殊要求 嵌入式灯具</w:t>
      </w:r>
    </w:p>
    <w:p>
      <w:pPr>
        <w:spacing w:line="440" w:lineRule="exact"/>
        <w:ind w:firstLine="420" w:firstLineChars="200"/>
        <w:rPr>
          <w:rFonts w:hint="eastAsia" w:asciiTheme="minorEastAsia" w:hAnsiTheme="minorEastAsia" w:eastAsiaTheme="minorEastAsia" w:cstheme="minorEastAsia"/>
          <w:color w:val="000000"/>
          <w:szCs w:val="21"/>
        </w:rPr>
      </w:pPr>
      <w:r>
        <w:rPr>
          <w:rFonts w:ascii="Times New Roman" w:hAnsi="Times New Roman"/>
          <w:color w:val="000000"/>
          <w:szCs w:val="21"/>
        </w:rPr>
        <w:t xml:space="preserve">GB 17625.1—2022 </w:t>
      </w:r>
      <w:r>
        <w:rPr>
          <w:rFonts w:hint="eastAsia" w:asciiTheme="minorEastAsia" w:hAnsiTheme="minorEastAsia" w:eastAsiaTheme="minorEastAsia" w:cstheme="minorEastAsia"/>
          <w:color w:val="000000"/>
          <w:szCs w:val="21"/>
        </w:rPr>
        <w:t>电磁兼容  限值  第1部分：谐波电流发射限值（设备每相输入电流</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16A）</w:t>
      </w:r>
    </w:p>
    <w:p>
      <w:pPr>
        <w:spacing w:line="440" w:lineRule="exact"/>
        <w:ind w:firstLine="420" w:firstLineChars="200"/>
        <w:rPr>
          <w:rFonts w:hint="eastAsia" w:asciiTheme="minorEastAsia" w:hAnsiTheme="minorEastAsia" w:eastAsiaTheme="minorEastAsia" w:cstheme="minorEastAsia"/>
          <w:color w:val="000000"/>
          <w:szCs w:val="21"/>
        </w:rPr>
      </w:pPr>
      <w:r>
        <w:rPr>
          <w:rFonts w:ascii="Times New Roman" w:hAnsi="Times New Roman"/>
          <w:color w:val="000000"/>
          <w:szCs w:val="21"/>
        </w:rPr>
        <w:t xml:space="preserve">GB 30255—2019 </w:t>
      </w:r>
      <w:r>
        <w:rPr>
          <w:rFonts w:hint="eastAsia" w:asciiTheme="minorEastAsia" w:hAnsiTheme="minorEastAsia" w:eastAsiaTheme="minorEastAsia" w:cstheme="minorEastAsia"/>
          <w:color w:val="000000"/>
          <w:szCs w:val="21"/>
        </w:rPr>
        <w:t>室内照明用LED产品能效限定值及能效等级</w:t>
      </w:r>
    </w:p>
    <w:p>
      <w:pPr>
        <w:spacing w:line="440" w:lineRule="exact"/>
        <w:ind w:firstLine="420" w:firstLineChars="200"/>
        <w:rPr>
          <w:rFonts w:hint="eastAsia" w:asciiTheme="minorEastAsia" w:hAnsiTheme="minorEastAsia" w:eastAsiaTheme="minorEastAsia" w:cstheme="minorEastAsia"/>
          <w:szCs w:val="21"/>
        </w:rPr>
      </w:pPr>
      <w:r>
        <w:rPr>
          <w:rFonts w:ascii="Times New Roman" w:hAnsi="Times New Roman"/>
          <w:szCs w:val="21"/>
        </w:rPr>
        <w:t xml:space="preserve">GB 38450—2019 </w:t>
      </w:r>
      <w:r>
        <w:rPr>
          <w:rFonts w:hint="eastAsia" w:asciiTheme="minorEastAsia" w:hAnsiTheme="minorEastAsia" w:eastAsiaTheme="minorEastAsia" w:cstheme="minorEastAsia"/>
          <w:szCs w:val="21"/>
        </w:rPr>
        <w:t>普通照明用LED平板灯能效限定值及能效等级</w:t>
      </w:r>
    </w:p>
    <w:p>
      <w:pPr>
        <w:spacing w:line="440" w:lineRule="exact"/>
        <w:ind w:firstLine="420" w:firstLineChars="200"/>
        <w:rPr>
          <w:rFonts w:hint="eastAsia" w:asciiTheme="minorEastAsia" w:hAnsiTheme="minorEastAsia" w:eastAsiaTheme="minorEastAsia" w:cstheme="minorEastAsia"/>
          <w:color w:val="000000"/>
          <w:szCs w:val="21"/>
        </w:rPr>
      </w:pPr>
      <w:r>
        <w:rPr>
          <w:rFonts w:ascii="Times New Roman" w:hAnsi="Times New Roman"/>
          <w:color w:val="000000"/>
          <w:szCs w:val="21"/>
        </w:rPr>
        <w:t>GB/T 2929</w:t>
      </w:r>
      <w:r>
        <w:rPr>
          <w:rFonts w:ascii="Times New Roman" w:hAnsi="Times New Roman"/>
          <w:color w:val="000000"/>
          <w:szCs w:val="21"/>
          <w:highlight w:val="none"/>
        </w:rPr>
        <w:t xml:space="preserve">3—2012 </w:t>
      </w:r>
      <w:r>
        <w:rPr>
          <w:rFonts w:hint="eastAsia" w:ascii="Times New Roman" w:hAnsi="Times New Roman"/>
          <w:color w:val="000000"/>
          <w:szCs w:val="21"/>
          <w:highlight w:val="none"/>
          <w:lang w:val="en-US" w:eastAsia="zh-CN"/>
        </w:rPr>
        <w:t xml:space="preserve"> </w:t>
      </w:r>
      <w:r>
        <w:rPr>
          <w:rFonts w:hint="eastAsia" w:asciiTheme="minorEastAsia" w:hAnsiTheme="minorEastAsia" w:eastAsiaTheme="minorEastAsia" w:cstheme="minorEastAsia"/>
          <w:color w:val="000000"/>
          <w:szCs w:val="21"/>
          <w:highlight w:val="none"/>
        </w:rPr>
        <w:t>LED筒灯</w:t>
      </w:r>
      <w:r>
        <w:rPr>
          <w:rFonts w:hint="eastAsia" w:asciiTheme="minorEastAsia" w:hAnsiTheme="minorEastAsia" w:eastAsiaTheme="minorEastAsia" w:cstheme="minorEastAsia"/>
          <w:color w:val="000000"/>
          <w:szCs w:val="21"/>
        </w:rPr>
        <w:t>性能测量方法</w:t>
      </w:r>
    </w:p>
    <w:p>
      <w:pPr>
        <w:spacing w:line="440" w:lineRule="exact"/>
        <w:ind w:firstLine="420" w:firstLineChars="200"/>
        <w:rPr>
          <w:rFonts w:hint="eastAsia" w:asciiTheme="minorEastAsia" w:hAnsiTheme="minorEastAsia" w:eastAsiaTheme="minorEastAsia" w:cstheme="minorEastAsia"/>
          <w:szCs w:val="21"/>
        </w:rPr>
      </w:pPr>
      <w:r>
        <w:rPr>
          <w:rFonts w:ascii="Times New Roman" w:hAnsi="Times New Roman"/>
          <w:szCs w:val="21"/>
        </w:rPr>
        <w:t xml:space="preserve">GB/T 31897.201—2016 </w:t>
      </w:r>
      <w:r>
        <w:rPr>
          <w:rFonts w:hint="eastAsia" w:asciiTheme="minorEastAsia" w:hAnsiTheme="minorEastAsia" w:eastAsiaTheme="minorEastAsia" w:cstheme="minorEastAsia"/>
          <w:szCs w:val="21"/>
        </w:rPr>
        <w:t>灯具性能  第2-1部分：LED灯具特殊要求</w:t>
      </w:r>
    </w:p>
    <w:p>
      <w:pPr>
        <w:spacing w:line="440" w:lineRule="exact"/>
        <w:ind w:firstLine="420" w:firstLineChars="200"/>
        <w:rPr>
          <w:rFonts w:hint="eastAsia" w:ascii="Times New Roman" w:hAnsi="Times New Roman" w:eastAsia="宋体"/>
          <w:color w:val="000000"/>
          <w:szCs w:val="21"/>
          <w:lang w:eastAsia="zh-CN"/>
        </w:rPr>
      </w:pPr>
      <w:r>
        <w:rPr>
          <w:rFonts w:ascii="Times New Roman" w:hAnsi="Times New Roman"/>
          <w:color w:val="000000"/>
          <w:szCs w:val="21"/>
        </w:rPr>
        <w:t>现行有效的企业标准、团体标准、地方标准及产品明示质量要求</w:t>
      </w:r>
      <w:r>
        <w:rPr>
          <w:rFonts w:hint="eastAsia" w:ascii="Times New Roman" w:hAnsi="Times New Roman"/>
          <w:color w:val="000000"/>
          <w:szCs w:val="21"/>
          <w:lang w:eastAsia="zh-CN"/>
        </w:rPr>
        <w:t>。</w:t>
      </w:r>
    </w:p>
    <w:p>
      <w:pPr>
        <w:snapToGrid w:val="0"/>
        <w:spacing w:line="440" w:lineRule="exact"/>
        <w:rPr>
          <w:rFonts w:ascii="Times New Roman" w:hAnsi="Times New Roman"/>
          <w:color w:val="000000"/>
          <w:szCs w:val="21"/>
        </w:rPr>
      </w:pPr>
      <w:r>
        <w:rPr>
          <w:rFonts w:hint="eastAsia" w:asciiTheme="minorEastAsia" w:hAnsiTheme="minorEastAsia" w:eastAsiaTheme="minorEastAsia" w:cstheme="minorEastAsia"/>
          <w:color w:val="000000"/>
          <w:szCs w:val="21"/>
        </w:rPr>
        <w:t>3.2判定原则</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pPr>
        <w:snapToGrid w:val="0"/>
        <w:spacing w:line="440" w:lineRule="exact"/>
        <w:ind w:firstLine="420" w:firstLineChars="200"/>
        <w:rPr>
          <w:rFonts w:ascii="Times New Roman" w:hAnsi="Times New Roman"/>
          <w:color w:val="000000"/>
          <w:szCs w:val="21"/>
        </w:rPr>
      </w:pPr>
    </w:p>
    <w:p>
      <w:bookmarkStart w:id="0" w:name="_GoBack"/>
      <w:bookmarkEnd w:id="0"/>
    </w:p>
    <w:sectPr>
      <w:headerReference r:id="rId3" w:type="default"/>
      <w:footerReference r:id="rId4" w:type="default"/>
      <w:footerReference r:id="rId5" w:type="even"/>
      <w:pgSz w:w="11906" w:h="16838"/>
      <w:pgMar w:top="1361" w:right="1361" w:bottom="1361"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国标黑体">
    <w:panose1 w:val="02000500000000000000"/>
    <w:charset w:val="86"/>
    <w:family w:val="auto"/>
    <w:pitch w:val="default"/>
    <w:sig w:usb0="00000001" w:usb1="08000000" w:usb2="00000000" w:usb3="00000000" w:csb0="00040000" w:csb1="00000000"/>
  </w:font>
  <w:font w:name="国标仿宋">
    <w:panose1 w:val="02000500000000000000"/>
    <w:charset w:val="86"/>
    <w:family w:val="auto"/>
    <w:pitch w:val="default"/>
    <w:sig w:usb0="A00002BF" w:usb1="38C77CFA" w:usb2="00000016" w:usb3="00000000" w:csb0="00060007"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24AD0"/>
    <w:rsid w:val="07902CAB"/>
    <w:rsid w:val="09F20899"/>
    <w:rsid w:val="16881F81"/>
    <w:rsid w:val="1CB17D58"/>
    <w:rsid w:val="28675880"/>
    <w:rsid w:val="3D2C3B49"/>
    <w:rsid w:val="3FD52976"/>
    <w:rsid w:val="55F42201"/>
    <w:rsid w:val="60625971"/>
    <w:rsid w:val="67330AEE"/>
    <w:rsid w:val="78D3623D"/>
    <w:rsid w:val="F5D3A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843</Words>
  <Characters>1521</Characters>
  <Lines>0</Lines>
  <Paragraphs>0</Paragraphs>
  <TotalTime>3</TotalTime>
  <ScaleCrop>false</ScaleCrop>
  <LinksUpToDate>false</LinksUpToDate>
  <CharactersWithSpaces>1598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2025-02-13T15:54:00Z</dcterms:created>
  <dc:creator>Lenovo</dc:creator>
  <cp:lastModifiedBy>guest</cp:lastModifiedBy>
  <dcterms:modified xsi:type="dcterms:W3CDTF">2025-03-07T09:44:03Z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KSOTemplateDocerSaveRecord">
    <vt:lpwstr>eyJoZGlkIjoiOGU4MTU3MDhiOTZjNzJiYjM4NzAzYzRkYWFiMzFhZDgiLCJ1c2VySWQiOiI1NTk1NjczNjUifQ==</vt:lpwstr>
  </property>
  <property fmtid="{D5CDD505-2E9C-101B-9397-08002B2CF9AE}" pid="4" name="ICV">
    <vt:lpwstr>464DCE86445D437AB8BC97207A9AEBC1_12</vt:lpwstr>
  </property>
</Properties>
</file>