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hint="default" w:ascii="黑体" w:hAnsi="黑体" w:eastAsia="黑体" w:cs="宋体"/>
          <w:color w:val="000000"/>
          <w:sz w:val="32"/>
          <w:szCs w:val="32"/>
          <w:lang w:val="en-US" w:eastAsia="zh-CN"/>
        </w:rPr>
      </w:pPr>
      <w:r>
        <w:rPr>
          <w:rFonts w:hint="eastAsia" w:ascii="黑体" w:hAnsi="黑体" w:eastAsia="黑体" w:cs="宋体"/>
          <w:color w:val="000000"/>
          <w:sz w:val="32"/>
          <w:szCs w:val="32"/>
        </w:rPr>
        <w:t>附件</w:t>
      </w:r>
      <w:r>
        <w:rPr>
          <w:rFonts w:hint="eastAsia" w:ascii="黑体" w:hAnsi="黑体" w:eastAsia="黑体" w:cs="宋体"/>
          <w:color w:val="000000"/>
          <w:sz w:val="32"/>
          <w:szCs w:val="32"/>
          <w:lang w:val="en-US" w:eastAsia="zh-CN"/>
        </w:rPr>
        <w:t>14</w:t>
      </w:r>
    </w:p>
    <w:p>
      <w:pPr>
        <w:snapToGrid w:val="0"/>
        <w:spacing w:line="360" w:lineRule="auto"/>
        <w:jc w:val="center"/>
        <w:rPr>
          <w:rFonts w:hint="eastAsia" w:ascii="宋体" w:hAnsi="宋体" w:cs="宋体"/>
          <w:b/>
          <w:bCs/>
          <w:color w:val="000000"/>
          <w:sz w:val="32"/>
          <w:szCs w:val="32"/>
        </w:rPr>
      </w:pPr>
      <w:r>
        <w:rPr>
          <w:rFonts w:hint="eastAsia" w:ascii="宋体" w:hAnsi="宋体" w:cs="宋体"/>
          <w:b/>
          <w:bCs/>
          <w:color w:val="000000"/>
          <w:sz w:val="32"/>
          <w:szCs w:val="32"/>
        </w:rPr>
        <w:t>陕西省聚乙烯（PE）管材产品质量监督抽查实施细则</w:t>
      </w:r>
    </w:p>
    <w:p>
      <w:pPr>
        <w:adjustRightInd w:val="0"/>
        <w:spacing w:line="360" w:lineRule="auto"/>
        <w:rPr>
          <w:rFonts w:hint="eastAsia" w:ascii="国标黑体" w:hAnsi="国标黑体" w:eastAsia="国标黑体" w:cs="国标黑体"/>
          <w:bCs/>
          <w:szCs w:val="21"/>
        </w:rPr>
      </w:pPr>
      <w:r>
        <w:rPr>
          <w:rFonts w:hint="eastAsia" w:ascii="国标黑体" w:hAnsi="国标黑体" w:eastAsia="国标黑体" w:cs="国标黑体"/>
          <w:bCs/>
          <w:szCs w:val="21"/>
        </w:rPr>
        <w:t>1 抽样方法</w:t>
      </w:r>
    </w:p>
    <w:p>
      <w:pPr>
        <w:spacing w:line="360" w:lineRule="auto"/>
        <w:ind w:firstLine="420" w:firstLineChars="200"/>
        <w:rPr>
          <w:rFonts w:hint="eastAsia" w:ascii="宋体" w:hAnsi="宋体" w:cs="宋体"/>
          <w:szCs w:val="21"/>
        </w:rPr>
      </w:pPr>
      <w:r>
        <w:rPr>
          <w:rFonts w:hint="eastAsia" w:ascii="宋体" w:hAnsi="宋体" w:cs="宋体"/>
          <w:szCs w:val="21"/>
        </w:rPr>
        <w:t>以随机抽样的方式在被抽样生产者、销售者的待销产品中抽取。</w:t>
      </w:r>
    </w:p>
    <w:p>
      <w:pPr>
        <w:spacing w:line="360" w:lineRule="auto"/>
        <w:ind w:firstLine="420" w:firstLineChars="200"/>
        <w:rPr>
          <w:rFonts w:hint="eastAsia" w:ascii="宋体" w:hAnsi="宋体" w:cs="宋体"/>
          <w:szCs w:val="21"/>
        </w:rPr>
      </w:pPr>
      <w:r>
        <w:rPr>
          <w:rFonts w:hint="eastAsia" w:ascii="宋体" w:hAnsi="宋体" w:cs="宋体"/>
          <w:szCs w:val="21"/>
        </w:rPr>
        <w:t>随机数一般可使用随机数表等方法产生。</w:t>
      </w:r>
    </w:p>
    <w:p>
      <w:pPr>
        <w:spacing w:line="360" w:lineRule="auto"/>
        <w:ind w:firstLine="420" w:firstLineChars="200"/>
        <w:rPr>
          <w:rFonts w:hint="eastAsia" w:ascii="宋体" w:hAnsi="宋体" w:cs="宋体"/>
          <w:szCs w:val="21"/>
        </w:rPr>
      </w:pPr>
      <w:r>
        <w:rPr>
          <w:rFonts w:hint="eastAsia" w:ascii="宋体" w:hAnsi="宋体" w:cs="宋体"/>
          <w:szCs w:val="21"/>
        </w:rPr>
        <w:t>直管（单根原始长度≥5米）：对于非饮用水管材，抽样数量为6根，每根截取5段，每段1米，其中3段作为检验样品，2段作为备用样品；对于饮用水管材，抽样数量为7根，每根截取5段，每段1米，其中3段作为检验样品，2段作为备用样品。</w:t>
      </w:r>
    </w:p>
    <w:p>
      <w:pPr>
        <w:spacing w:line="360" w:lineRule="auto"/>
        <w:ind w:firstLine="420" w:firstLineChars="200"/>
        <w:rPr>
          <w:rFonts w:hint="eastAsia" w:ascii="宋体" w:hAnsi="宋体" w:cs="宋体"/>
          <w:szCs w:val="21"/>
        </w:rPr>
      </w:pPr>
      <w:r>
        <w:rPr>
          <w:rFonts w:hint="eastAsia" w:ascii="宋体" w:hAnsi="宋体" w:cs="宋体"/>
          <w:szCs w:val="21"/>
        </w:rPr>
        <w:t>直管（单根原始长度＜5米）：对于非饮用水管材，抽样数量为9根，每根截取4段，每段1米，其中2段作为检验样品，2段作为备用样品；对于饮用水管材，抽样数量为11根，每根截取4段，每段1米，其中2段作为检验样品，2段作为备用样品。</w:t>
      </w:r>
    </w:p>
    <w:p>
      <w:pPr>
        <w:spacing w:line="360" w:lineRule="auto"/>
        <w:ind w:firstLine="420" w:firstLineChars="200"/>
        <w:rPr>
          <w:rFonts w:hint="eastAsia" w:ascii="宋体" w:hAnsi="宋体" w:cs="宋体"/>
          <w:szCs w:val="21"/>
        </w:rPr>
      </w:pPr>
      <w:r>
        <w:rPr>
          <w:rFonts w:hint="eastAsia" w:ascii="宋体" w:hAnsi="宋体" w:cs="宋体"/>
          <w:szCs w:val="21"/>
        </w:rPr>
        <w:t>盘管：对于非饮用水管材，抽样数量为5盘，每盘截取6段，每段1米，其中4段作为检验样品，2段作为备用样品；对于饮用水管材，抽样数量为5盘，每盘截取7段，每段1米，其中4段作为检验样品，3段作为备用样品。</w:t>
      </w:r>
    </w:p>
    <w:p>
      <w:pPr>
        <w:adjustRightInd w:val="0"/>
        <w:spacing w:line="360" w:lineRule="auto"/>
        <w:rPr>
          <w:rFonts w:hint="eastAsia" w:ascii="国标黑体" w:hAnsi="国标黑体" w:eastAsia="国标黑体" w:cs="国标黑体"/>
          <w:bCs/>
          <w:szCs w:val="21"/>
        </w:rPr>
      </w:pPr>
      <w:r>
        <w:rPr>
          <w:rFonts w:hint="eastAsia" w:ascii="国标黑体" w:hAnsi="国标黑体" w:eastAsia="国标黑体" w:cs="国标黑体"/>
          <w:bCs/>
          <w:szCs w:val="21"/>
        </w:rPr>
        <w:t>2 检验依据</w:t>
      </w:r>
    </w:p>
    <w:p>
      <w:pPr>
        <w:adjustRightInd w:val="0"/>
        <w:spacing w:line="360" w:lineRule="auto"/>
        <w:jc w:val="center"/>
        <w:rPr>
          <w:rFonts w:hint="eastAsia" w:ascii="宋体" w:hAnsi="宋体" w:cs="宋体"/>
          <w:bCs/>
          <w:szCs w:val="21"/>
        </w:rPr>
      </w:pPr>
      <w:r>
        <w:rPr>
          <w:rFonts w:hint="eastAsia" w:ascii="宋体" w:hAnsi="宋体"/>
          <w:color w:val="000000"/>
          <w:szCs w:val="21"/>
        </w:rPr>
        <w:t>表1检验项目</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080"/>
        <w:gridCol w:w="130"/>
        <w:gridCol w:w="1854"/>
        <w:gridCol w:w="2464"/>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Pr>
          <w:p>
            <w:pPr>
              <w:snapToGrid w:val="0"/>
              <w:spacing w:line="44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序号</w:t>
            </w:r>
          </w:p>
        </w:tc>
        <w:tc>
          <w:tcPr>
            <w:tcW w:w="3064" w:type="dxa"/>
            <w:gridSpan w:val="3"/>
          </w:tcPr>
          <w:p>
            <w:pPr>
              <w:snapToGrid w:val="0"/>
              <w:spacing w:line="44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检验项目</w:t>
            </w:r>
          </w:p>
        </w:tc>
        <w:tc>
          <w:tcPr>
            <w:tcW w:w="2464" w:type="dxa"/>
          </w:tcPr>
          <w:p>
            <w:pPr>
              <w:snapToGrid w:val="0"/>
              <w:spacing w:line="440" w:lineRule="exact"/>
              <w:jc w:val="center"/>
              <w:rPr>
                <w:rFonts w:hint="eastAsia" w:ascii="宋体" w:hAnsi="宋体"/>
                <w:color w:val="000000"/>
                <w:szCs w:val="21"/>
              </w:rPr>
            </w:pPr>
            <w:r>
              <w:rPr>
                <w:rFonts w:hint="eastAsia" w:ascii="宋体" w:hAnsi="宋体"/>
                <w:color w:val="000000"/>
                <w:szCs w:val="21"/>
              </w:rPr>
              <w:t>检验依据</w:t>
            </w:r>
          </w:p>
        </w:tc>
        <w:tc>
          <w:tcPr>
            <w:tcW w:w="2828" w:type="dxa"/>
          </w:tcPr>
          <w:p>
            <w:pPr>
              <w:snapToGrid w:val="0"/>
              <w:spacing w:line="440" w:lineRule="exact"/>
              <w:jc w:val="center"/>
              <w:rPr>
                <w:rFonts w:hint="eastAsia"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817" w:type="dxa"/>
            <w:vMerge w:val="restart"/>
            <w:vAlign w:val="center"/>
          </w:tcPr>
          <w:p>
            <w:pPr>
              <w:snapToGrid w:val="0"/>
              <w:spacing w:line="44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1210" w:type="dxa"/>
            <w:gridSpan w:val="2"/>
            <w:vMerge w:val="restart"/>
            <w:shd w:val="clear" w:color="auto" w:fill="auto"/>
            <w:vAlign w:val="center"/>
          </w:tcPr>
          <w:p>
            <w:pPr>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几何尺寸</w:t>
            </w:r>
          </w:p>
        </w:tc>
        <w:tc>
          <w:tcPr>
            <w:tcW w:w="1854" w:type="dxa"/>
            <w:shd w:val="clear" w:color="auto" w:fill="auto"/>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平均外径</w:t>
            </w:r>
          </w:p>
        </w:tc>
        <w:tc>
          <w:tcPr>
            <w:tcW w:w="2464" w:type="dxa"/>
            <w:vMerge w:val="restart"/>
            <w:vAlign w:val="center"/>
          </w:tcPr>
          <w:p>
            <w:pPr>
              <w:spacing w:line="300" w:lineRule="exact"/>
              <w:jc w:val="center"/>
              <w:rPr>
                <w:rFonts w:hint="eastAsia" w:eastAsia="宋体"/>
                <w:szCs w:val="21"/>
              </w:rPr>
            </w:pPr>
            <w:r>
              <w:rPr>
                <w:rFonts w:eastAsia="宋体"/>
                <w:szCs w:val="21"/>
              </w:rPr>
              <w:t>GB/T 13663.2—201</w:t>
            </w:r>
            <w:r>
              <w:rPr>
                <w:rFonts w:hint="eastAsia" w:eastAsia="宋体"/>
                <w:szCs w:val="21"/>
              </w:rPr>
              <w:t>8</w:t>
            </w:r>
          </w:p>
        </w:tc>
        <w:tc>
          <w:tcPr>
            <w:tcW w:w="2828" w:type="dxa"/>
            <w:vMerge w:val="restart"/>
            <w:vAlign w:val="center"/>
          </w:tcPr>
          <w:p>
            <w:pPr>
              <w:spacing w:line="300" w:lineRule="exact"/>
              <w:jc w:val="center"/>
              <w:rPr>
                <w:rFonts w:hint="eastAsia" w:eastAsia="宋体"/>
                <w:szCs w:val="21"/>
              </w:rPr>
            </w:pPr>
            <w:r>
              <w:rPr>
                <w:rFonts w:eastAsia="宋体"/>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17" w:type="dxa"/>
            <w:vMerge w:val="continue"/>
            <w:vAlign w:val="center"/>
          </w:tcPr>
          <w:p>
            <w:pPr>
              <w:snapToGrid w:val="0"/>
              <w:spacing w:line="440" w:lineRule="exact"/>
              <w:jc w:val="center"/>
              <w:rPr>
                <w:rFonts w:hint="eastAsia" w:asciiTheme="minorEastAsia" w:hAnsiTheme="minorEastAsia" w:eastAsiaTheme="minorEastAsia" w:cstheme="minorEastAsia"/>
                <w:color w:val="000000"/>
                <w:szCs w:val="21"/>
              </w:rPr>
            </w:pPr>
          </w:p>
        </w:tc>
        <w:tc>
          <w:tcPr>
            <w:tcW w:w="1210" w:type="dxa"/>
            <w:gridSpan w:val="2"/>
            <w:vMerge w:val="continue"/>
            <w:vAlign w:val="center"/>
          </w:tcPr>
          <w:p>
            <w:pPr>
              <w:snapToGrid w:val="0"/>
              <w:spacing w:line="440" w:lineRule="exact"/>
              <w:jc w:val="center"/>
              <w:rPr>
                <w:rFonts w:hint="eastAsia" w:asciiTheme="minorEastAsia" w:hAnsiTheme="minorEastAsia" w:eastAsiaTheme="minorEastAsia" w:cstheme="minorEastAsia"/>
                <w:color w:val="000000"/>
                <w:szCs w:val="21"/>
              </w:rPr>
            </w:pPr>
          </w:p>
        </w:tc>
        <w:tc>
          <w:tcPr>
            <w:tcW w:w="1854" w:type="dxa"/>
            <w:shd w:val="clear" w:color="auto" w:fill="auto"/>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壁厚公差</w:t>
            </w:r>
          </w:p>
        </w:tc>
        <w:tc>
          <w:tcPr>
            <w:tcW w:w="2464" w:type="dxa"/>
            <w:vMerge w:val="continue"/>
            <w:vAlign w:val="center"/>
          </w:tcPr>
          <w:p>
            <w:pPr>
              <w:spacing w:line="300" w:lineRule="exact"/>
              <w:jc w:val="center"/>
              <w:rPr>
                <w:rFonts w:hint="eastAsia" w:eastAsia="宋体"/>
                <w:szCs w:val="21"/>
              </w:rPr>
            </w:pPr>
          </w:p>
        </w:tc>
        <w:tc>
          <w:tcPr>
            <w:tcW w:w="2828" w:type="dxa"/>
            <w:vMerge w:val="continue"/>
            <w:vAlign w:val="center"/>
          </w:tcPr>
          <w:p>
            <w:pPr>
              <w:spacing w:line="300" w:lineRule="exact"/>
              <w:jc w:val="center"/>
              <w:rPr>
                <w:rFonts w:hint="eastAsia"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3064" w:type="dxa"/>
            <w:gridSpan w:val="3"/>
            <w:shd w:val="clear" w:color="auto" w:fill="auto"/>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静液压强度  </w:t>
            </w:r>
          </w:p>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（20℃，100h） </w:t>
            </w:r>
          </w:p>
        </w:tc>
        <w:tc>
          <w:tcPr>
            <w:tcW w:w="2464" w:type="dxa"/>
            <w:vAlign w:val="center"/>
          </w:tcPr>
          <w:p>
            <w:pPr>
              <w:spacing w:line="300" w:lineRule="exact"/>
              <w:jc w:val="center"/>
              <w:rPr>
                <w:rFonts w:hint="eastAsia" w:eastAsia="宋体"/>
                <w:szCs w:val="21"/>
              </w:rPr>
            </w:pPr>
            <w:r>
              <w:rPr>
                <w:rFonts w:eastAsia="宋体"/>
                <w:szCs w:val="21"/>
              </w:rPr>
              <w:t>GB/T 13663.2—2018</w:t>
            </w:r>
          </w:p>
        </w:tc>
        <w:tc>
          <w:tcPr>
            <w:tcW w:w="2828" w:type="dxa"/>
            <w:vAlign w:val="center"/>
          </w:tcPr>
          <w:p>
            <w:pPr>
              <w:spacing w:line="300" w:lineRule="exact"/>
              <w:jc w:val="center"/>
              <w:rPr>
                <w:rFonts w:hint="eastAsia" w:eastAsia="宋体"/>
                <w:szCs w:val="21"/>
              </w:rPr>
            </w:pPr>
            <w:r>
              <w:rPr>
                <w:rFonts w:eastAsia="宋体"/>
                <w:szCs w:val="21"/>
              </w:rPr>
              <w:t>GB/T 6111—2003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p>
        </w:tc>
        <w:tc>
          <w:tcPr>
            <w:tcW w:w="3064" w:type="dxa"/>
            <w:gridSpan w:val="3"/>
            <w:shd w:val="clear" w:color="auto" w:fill="auto"/>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断裂伸长率</w:t>
            </w:r>
          </w:p>
        </w:tc>
        <w:tc>
          <w:tcPr>
            <w:tcW w:w="2464" w:type="dxa"/>
            <w:vAlign w:val="center"/>
          </w:tcPr>
          <w:p>
            <w:pPr>
              <w:spacing w:line="300" w:lineRule="exact"/>
              <w:jc w:val="center"/>
              <w:rPr>
                <w:rFonts w:hint="eastAsia" w:eastAsia="宋体"/>
                <w:szCs w:val="21"/>
              </w:rPr>
            </w:pPr>
            <w:r>
              <w:rPr>
                <w:rFonts w:eastAsia="宋体"/>
                <w:szCs w:val="21"/>
              </w:rPr>
              <w:t>GB/T 13663.2—2018</w:t>
            </w:r>
          </w:p>
        </w:tc>
        <w:tc>
          <w:tcPr>
            <w:tcW w:w="2828" w:type="dxa"/>
            <w:vAlign w:val="center"/>
          </w:tcPr>
          <w:p>
            <w:pPr>
              <w:spacing w:line="300" w:lineRule="exact"/>
              <w:jc w:val="center"/>
              <w:rPr>
                <w:rFonts w:hint="eastAsia" w:eastAsia="宋体"/>
                <w:szCs w:val="21"/>
              </w:rPr>
            </w:pPr>
            <w:r>
              <w:rPr>
                <w:rFonts w:eastAsia="宋体"/>
                <w:szCs w:val="21"/>
              </w:rPr>
              <w:t>GB/T 8804.3—2003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w:t>
            </w:r>
          </w:p>
        </w:tc>
        <w:tc>
          <w:tcPr>
            <w:tcW w:w="3064" w:type="dxa"/>
            <w:gridSpan w:val="3"/>
            <w:shd w:val="clear" w:color="auto" w:fill="auto"/>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纵向回缩率</w:t>
            </w:r>
          </w:p>
        </w:tc>
        <w:tc>
          <w:tcPr>
            <w:tcW w:w="2464" w:type="dxa"/>
            <w:vAlign w:val="center"/>
          </w:tcPr>
          <w:p>
            <w:pPr>
              <w:spacing w:line="300" w:lineRule="exact"/>
              <w:jc w:val="center"/>
              <w:rPr>
                <w:rFonts w:hint="eastAsia" w:eastAsia="宋体"/>
                <w:szCs w:val="21"/>
              </w:rPr>
            </w:pPr>
            <w:r>
              <w:rPr>
                <w:rFonts w:eastAsia="宋体"/>
                <w:szCs w:val="21"/>
              </w:rPr>
              <w:t>GB/T 13663.2—2018</w:t>
            </w:r>
          </w:p>
        </w:tc>
        <w:tc>
          <w:tcPr>
            <w:tcW w:w="2828" w:type="dxa"/>
            <w:vAlign w:val="center"/>
          </w:tcPr>
          <w:p>
            <w:pPr>
              <w:spacing w:line="300" w:lineRule="exact"/>
              <w:jc w:val="center"/>
              <w:rPr>
                <w:rFonts w:hint="eastAsia" w:eastAsia="宋体"/>
                <w:szCs w:val="21"/>
              </w:rPr>
            </w:pPr>
            <w:r>
              <w:rPr>
                <w:rFonts w:eastAsia="宋体"/>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5</w:t>
            </w:r>
          </w:p>
        </w:tc>
        <w:tc>
          <w:tcPr>
            <w:tcW w:w="3064" w:type="dxa"/>
            <w:gridSpan w:val="3"/>
            <w:shd w:val="clear" w:color="auto" w:fill="auto"/>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氧化诱导时间</w:t>
            </w:r>
          </w:p>
        </w:tc>
        <w:tc>
          <w:tcPr>
            <w:tcW w:w="2464" w:type="dxa"/>
            <w:vAlign w:val="center"/>
          </w:tcPr>
          <w:p>
            <w:pPr>
              <w:spacing w:line="300" w:lineRule="exact"/>
              <w:jc w:val="center"/>
              <w:rPr>
                <w:rFonts w:hint="eastAsia" w:eastAsia="宋体"/>
                <w:szCs w:val="21"/>
              </w:rPr>
            </w:pPr>
            <w:r>
              <w:rPr>
                <w:rFonts w:eastAsia="宋体"/>
                <w:szCs w:val="21"/>
              </w:rPr>
              <w:t>GB/T 13663.2—2018</w:t>
            </w:r>
          </w:p>
        </w:tc>
        <w:tc>
          <w:tcPr>
            <w:tcW w:w="2828" w:type="dxa"/>
            <w:vAlign w:val="center"/>
          </w:tcPr>
          <w:p>
            <w:pPr>
              <w:spacing w:line="300" w:lineRule="exact"/>
              <w:jc w:val="center"/>
              <w:rPr>
                <w:rFonts w:hint="eastAsia" w:eastAsia="宋体"/>
                <w:szCs w:val="21"/>
              </w:rPr>
            </w:pPr>
            <w:r>
              <w:rPr>
                <w:rFonts w:eastAsia="宋体"/>
                <w:szCs w:val="21"/>
              </w:rPr>
              <w:t>GB/T 19466.6—2009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napToGrid w:val="0"/>
              <w:spacing w:line="44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6</w:t>
            </w:r>
          </w:p>
        </w:tc>
        <w:tc>
          <w:tcPr>
            <w:tcW w:w="3064" w:type="dxa"/>
            <w:gridSpan w:val="3"/>
            <w:shd w:val="clear" w:color="auto" w:fill="auto"/>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灰分</w:t>
            </w:r>
          </w:p>
        </w:tc>
        <w:tc>
          <w:tcPr>
            <w:tcW w:w="2464" w:type="dxa"/>
            <w:vAlign w:val="center"/>
          </w:tcPr>
          <w:p>
            <w:pPr>
              <w:spacing w:line="300" w:lineRule="exact"/>
              <w:jc w:val="center"/>
              <w:rPr>
                <w:rFonts w:hint="eastAsia" w:eastAsia="宋体"/>
                <w:szCs w:val="21"/>
              </w:rPr>
            </w:pPr>
            <w:r>
              <w:rPr>
                <w:rFonts w:eastAsia="宋体"/>
                <w:szCs w:val="21"/>
              </w:rPr>
              <w:t>GB/T 13663.2—2018</w:t>
            </w:r>
          </w:p>
        </w:tc>
        <w:tc>
          <w:tcPr>
            <w:tcW w:w="2828" w:type="dxa"/>
            <w:vAlign w:val="center"/>
          </w:tcPr>
          <w:p>
            <w:pPr>
              <w:spacing w:line="300" w:lineRule="exact"/>
              <w:jc w:val="center"/>
              <w:rPr>
                <w:rFonts w:hint="eastAsia" w:eastAsia="宋体"/>
                <w:szCs w:val="21"/>
              </w:rPr>
            </w:pPr>
            <w:r>
              <w:rPr>
                <w:rFonts w:eastAsia="宋体"/>
                <w:szCs w:val="21"/>
              </w:rPr>
              <w:t>GB/T 9345.1—2008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817" w:type="dxa"/>
            <w:vMerge w:val="restart"/>
            <w:vAlign w:val="center"/>
          </w:tcPr>
          <w:p>
            <w:pPr>
              <w:snapToGrid w:val="0"/>
              <w:spacing w:line="44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7</w:t>
            </w:r>
          </w:p>
        </w:tc>
        <w:tc>
          <w:tcPr>
            <w:tcW w:w="1080" w:type="dxa"/>
            <w:vMerge w:val="restart"/>
            <w:shd w:val="clear" w:color="auto" w:fill="auto"/>
            <w:vAlign w:val="center"/>
          </w:tcPr>
          <w:p>
            <w:pPr>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卫生要求</w:t>
            </w:r>
          </w:p>
        </w:tc>
        <w:tc>
          <w:tcPr>
            <w:tcW w:w="1984" w:type="dxa"/>
            <w:gridSpan w:val="2"/>
            <w:shd w:val="clear" w:color="auto" w:fill="auto"/>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铅</w:t>
            </w:r>
          </w:p>
        </w:tc>
        <w:tc>
          <w:tcPr>
            <w:tcW w:w="2464" w:type="dxa"/>
            <w:vMerge w:val="restart"/>
            <w:vAlign w:val="center"/>
          </w:tcPr>
          <w:p>
            <w:pPr>
              <w:spacing w:line="300" w:lineRule="exact"/>
              <w:jc w:val="center"/>
              <w:rPr>
                <w:rFonts w:hint="eastAsia" w:eastAsia="宋体"/>
                <w:szCs w:val="21"/>
              </w:rPr>
            </w:pPr>
            <w:r>
              <w:rPr>
                <w:rFonts w:eastAsia="宋体"/>
                <w:szCs w:val="21"/>
              </w:rPr>
              <w:t>GB/T 13663.2—2018</w:t>
            </w:r>
          </w:p>
        </w:tc>
        <w:tc>
          <w:tcPr>
            <w:tcW w:w="2828" w:type="dxa"/>
            <w:vMerge w:val="restart"/>
            <w:vAlign w:val="center"/>
          </w:tcPr>
          <w:p>
            <w:pPr>
              <w:spacing w:line="300" w:lineRule="exact"/>
              <w:jc w:val="center"/>
              <w:rPr>
                <w:rFonts w:hint="eastAsia" w:eastAsia="宋体"/>
                <w:szCs w:val="21"/>
              </w:rPr>
            </w:pPr>
            <w:r>
              <w:rPr>
                <w:rFonts w:eastAsia="宋体"/>
                <w:szCs w:val="21"/>
              </w:rPr>
              <w:t>GB/T 17219—1998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817" w:type="dxa"/>
            <w:vMerge w:val="continue"/>
          </w:tcPr>
          <w:p>
            <w:pPr>
              <w:snapToGrid w:val="0"/>
              <w:spacing w:line="440" w:lineRule="exact"/>
              <w:jc w:val="center"/>
              <w:rPr>
                <w:rFonts w:hint="eastAsia" w:asciiTheme="minorEastAsia" w:hAnsiTheme="minorEastAsia" w:eastAsiaTheme="minorEastAsia" w:cstheme="minorEastAsia"/>
                <w:color w:val="000000"/>
                <w:szCs w:val="21"/>
              </w:rPr>
            </w:pPr>
          </w:p>
        </w:tc>
        <w:tc>
          <w:tcPr>
            <w:tcW w:w="1080" w:type="dxa"/>
            <w:vMerge w:val="continue"/>
            <w:vAlign w:val="center"/>
          </w:tcPr>
          <w:p>
            <w:pPr>
              <w:snapToGrid w:val="0"/>
              <w:spacing w:line="440" w:lineRule="exact"/>
              <w:jc w:val="center"/>
              <w:rPr>
                <w:rFonts w:hint="eastAsia" w:asciiTheme="minorEastAsia" w:hAnsiTheme="minorEastAsia" w:eastAsiaTheme="minorEastAsia" w:cstheme="minorEastAsia"/>
                <w:color w:val="000000"/>
                <w:szCs w:val="21"/>
              </w:rPr>
            </w:pPr>
          </w:p>
        </w:tc>
        <w:tc>
          <w:tcPr>
            <w:tcW w:w="1984" w:type="dxa"/>
            <w:gridSpan w:val="2"/>
            <w:shd w:val="clear" w:color="auto" w:fill="auto"/>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镉</w:t>
            </w:r>
          </w:p>
        </w:tc>
        <w:tc>
          <w:tcPr>
            <w:tcW w:w="2464" w:type="dxa"/>
            <w:vMerge w:val="continue"/>
          </w:tcPr>
          <w:p>
            <w:pPr>
              <w:snapToGrid w:val="0"/>
              <w:spacing w:line="440" w:lineRule="exact"/>
              <w:jc w:val="center"/>
              <w:rPr>
                <w:rFonts w:hint="eastAsia" w:ascii="宋体" w:hAnsi="宋体"/>
                <w:color w:val="000000"/>
                <w:szCs w:val="21"/>
              </w:rPr>
            </w:pPr>
          </w:p>
        </w:tc>
        <w:tc>
          <w:tcPr>
            <w:tcW w:w="2828" w:type="dxa"/>
            <w:vMerge w:val="continue"/>
          </w:tcPr>
          <w:p>
            <w:pPr>
              <w:snapToGrid w:val="0"/>
              <w:spacing w:line="440" w:lineRule="exact"/>
              <w:jc w:val="center"/>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817" w:type="dxa"/>
            <w:vMerge w:val="continue"/>
          </w:tcPr>
          <w:p>
            <w:pPr>
              <w:snapToGrid w:val="0"/>
              <w:spacing w:line="440" w:lineRule="exact"/>
              <w:jc w:val="center"/>
              <w:rPr>
                <w:rFonts w:hint="eastAsia" w:asciiTheme="minorEastAsia" w:hAnsiTheme="minorEastAsia" w:eastAsiaTheme="minorEastAsia" w:cstheme="minorEastAsia"/>
                <w:color w:val="000000"/>
                <w:szCs w:val="21"/>
              </w:rPr>
            </w:pPr>
          </w:p>
        </w:tc>
        <w:tc>
          <w:tcPr>
            <w:tcW w:w="1080" w:type="dxa"/>
            <w:vMerge w:val="continue"/>
            <w:vAlign w:val="center"/>
          </w:tcPr>
          <w:p>
            <w:pPr>
              <w:snapToGrid w:val="0"/>
              <w:spacing w:line="440" w:lineRule="exact"/>
              <w:jc w:val="center"/>
              <w:rPr>
                <w:rFonts w:hint="eastAsia" w:asciiTheme="minorEastAsia" w:hAnsiTheme="minorEastAsia" w:eastAsiaTheme="minorEastAsia" w:cstheme="minorEastAsia"/>
                <w:color w:val="000000"/>
                <w:szCs w:val="21"/>
              </w:rPr>
            </w:pPr>
          </w:p>
        </w:tc>
        <w:tc>
          <w:tcPr>
            <w:tcW w:w="1984" w:type="dxa"/>
            <w:gridSpan w:val="2"/>
            <w:shd w:val="clear" w:color="auto" w:fill="auto"/>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高锰酸钾消耗量</w:t>
            </w:r>
          </w:p>
        </w:tc>
        <w:tc>
          <w:tcPr>
            <w:tcW w:w="2464" w:type="dxa"/>
            <w:vMerge w:val="continue"/>
          </w:tcPr>
          <w:p>
            <w:pPr>
              <w:snapToGrid w:val="0"/>
              <w:spacing w:line="440" w:lineRule="exact"/>
              <w:jc w:val="center"/>
              <w:rPr>
                <w:rFonts w:hint="eastAsia" w:ascii="宋体" w:hAnsi="宋体"/>
                <w:color w:val="000000"/>
                <w:szCs w:val="21"/>
              </w:rPr>
            </w:pPr>
          </w:p>
        </w:tc>
        <w:tc>
          <w:tcPr>
            <w:tcW w:w="2828" w:type="dxa"/>
            <w:vMerge w:val="continue"/>
          </w:tcPr>
          <w:p>
            <w:pPr>
              <w:snapToGrid w:val="0"/>
              <w:spacing w:line="440" w:lineRule="exact"/>
              <w:jc w:val="center"/>
              <w:rPr>
                <w:rFonts w:hint="eastAsia" w:ascii="宋体" w:hAnsi="宋体"/>
                <w:color w:val="000000"/>
                <w:szCs w:val="21"/>
              </w:rPr>
            </w:pPr>
          </w:p>
        </w:tc>
      </w:tr>
    </w:tbl>
    <w:p>
      <w:pPr>
        <w:adjustRightInd w:val="0"/>
        <w:spacing w:line="360" w:lineRule="auto"/>
        <w:rPr>
          <w:rFonts w:eastAsia="黑体"/>
          <w:szCs w:val="21"/>
        </w:rPr>
      </w:pPr>
    </w:p>
    <w:p>
      <w:pPr>
        <w:spacing w:line="360" w:lineRule="auto"/>
        <w:ind w:firstLine="420" w:firstLineChars="200"/>
        <w:rPr>
          <w:rFonts w:hint="eastAsia" w:ascii="宋体" w:hAnsi="宋体" w:cs="宋体"/>
          <w:szCs w:val="21"/>
        </w:rPr>
      </w:pPr>
      <w:bookmarkStart w:id="0" w:name="_Hlk40347690"/>
      <w:r>
        <w:rPr>
          <w:rFonts w:hint="eastAsia" w:ascii="宋体" w:hAnsi="宋体" w:cs="宋体"/>
          <w:szCs w:val="21"/>
        </w:rPr>
        <w:t>执行企业标准、团体标准、地方标准的产品，检验项目参照上述内容执行。</w:t>
      </w:r>
    </w:p>
    <w:bookmarkEnd w:id="0"/>
    <w:p>
      <w:pPr>
        <w:adjustRightInd w:val="0"/>
        <w:spacing w:line="360" w:lineRule="auto"/>
        <w:rPr>
          <w:rFonts w:hint="eastAsia" w:ascii="国标黑体" w:hAnsi="国标黑体" w:eastAsia="国标黑体" w:cs="国标黑体"/>
          <w:bCs/>
          <w:szCs w:val="21"/>
        </w:rPr>
      </w:pPr>
      <w:r>
        <w:rPr>
          <w:rFonts w:hint="eastAsia" w:ascii="国标黑体" w:hAnsi="国标黑体" w:eastAsia="国标黑体" w:cs="国标黑体"/>
          <w:bCs/>
          <w:szCs w:val="21"/>
        </w:rPr>
        <w:t>3 判定规则</w:t>
      </w:r>
    </w:p>
    <w:p>
      <w:pPr>
        <w:spacing w:line="360" w:lineRule="auto"/>
        <w:ind w:firstLine="420" w:firstLineChars="200"/>
        <w:rPr>
          <w:rFonts w:hint="eastAsia" w:ascii="宋体" w:hAnsi="宋体" w:cs="宋体"/>
          <w:szCs w:val="21"/>
        </w:rPr>
      </w:pPr>
      <w:r>
        <w:rPr>
          <w:rFonts w:hint="eastAsia" w:ascii="宋体" w:hAnsi="宋体" w:cs="宋体"/>
          <w:szCs w:val="21"/>
        </w:rPr>
        <w:t>3.1依据标准</w:t>
      </w:r>
    </w:p>
    <w:p>
      <w:pPr>
        <w:spacing w:line="360" w:lineRule="auto"/>
        <w:ind w:firstLine="420" w:firstLineChars="200"/>
        <w:rPr>
          <w:rFonts w:hint="eastAsia" w:ascii="宋体" w:hAnsi="宋体" w:cs="宋体"/>
          <w:szCs w:val="21"/>
        </w:rPr>
      </w:pPr>
      <w:r>
        <w:rPr>
          <w:rFonts w:hint="eastAsia" w:ascii="宋体" w:hAnsi="宋体" w:cs="宋体"/>
          <w:szCs w:val="21"/>
        </w:rPr>
        <w:t>GB/T 13663.2—2018 给水用聚乙烯（PE）管道系统第2部分：管材</w:t>
      </w:r>
    </w:p>
    <w:p>
      <w:pPr>
        <w:spacing w:line="360" w:lineRule="auto"/>
        <w:ind w:firstLine="420" w:firstLineChars="200"/>
        <w:rPr>
          <w:rFonts w:hint="eastAsia" w:ascii="宋体" w:hAnsi="宋体" w:cs="宋体"/>
          <w:szCs w:val="21"/>
        </w:rPr>
      </w:pPr>
      <w:r>
        <w:rPr>
          <w:rFonts w:hint="eastAsia" w:ascii="宋体" w:hAnsi="宋体" w:cs="宋体"/>
          <w:szCs w:val="21"/>
        </w:rPr>
        <w:t>现行有效的企业标准、团体标准、地方标准及产品明示质量要求。</w:t>
      </w:r>
    </w:p>
    <w:p>
      <w:pPr>
        <w:spacing w:line="360" w:lineRule="auto"/>
        <w:ind w:firstLine="420" w:firstLineChars="200"/>
        <w:rPr>
          <w:rFonts w:hint="eastAsia" w:ascii="宋体" w:hAnsi="宋体" w:cs="宋体"/>
          <w:szCs w:val="21"/>
        </w:rPr>
      </w:pPr>
      <w:r>
        <w:rPr>
          <w:rFonts w:hint="eastAsia" w:ascii="宋体" w:hAnsi="宋体" w:cs="宋体"/>
          <w:szCs w:val="21"/>
        </w:rPr>
        <w:t>3.2判定原则</w:t>
      </w:r>
    </w:p>
    <w:p>
      <w:pPr>
        <w:spacing w:line="360" w:lineRule="auto"/>
        <w:ind w:firstLine="420" w:firstLineChars="200"/>
        <w:rPr>
          <w:rFonts w:hint="eastAsia" w:ascii="宋体" w:hAnsi="宋体" w:cs="宋体"/>
          <w:szCs w:val="21"/>
        </w:rPr>
      </w:pPr>
      <w:r>
        <w:rPr>
          <w:rFonts w:hint="eastAsia" w:ascii="宋体" w:hAnsi="宋体" w:cs="宋体"/>
          <w:szCs w:val="21"/>
        </w:rPr>
        <w:t>经检验，检验项目全部合格，判定为被抽查产品所检项目未发现不合格；检验项目中任一项或一项以上不合格，判定为被抽查产品不合格。</w:t>
      </w:r>
    </w:p>
    <w:p>
      <w:pPr>
        <w:spacing w:line="360" w:lineRule="auto"/>
        <w:ind w:firstLine="420" w:firstLineChars="200"/>
        <w:rPr>
          <w:rFonts w:hint="eastAsia" w:ascii="宋体" w:hAnsi="宋体" w:cs="宋体"/>
          <w:szCs w:val="21"/>
        </w:rPr>
      </w:pPr>
      <w:r>
        <w:rPr>
          <w:rFonts w:hint="eastAsia" w:ascii="宋体" w:hAnsi="宋体" w:cs="宋体"/>
          <w:szCs w:val="21"/>
        </w:rPr>
        <w:t>若被检产品明示的质量要求高于本细则中检验项目依据的标准要求时，应按被检产品明示的质量要求判定。</w:t>
      </w:r>
    </w:p>
    <w:p>
      <w:pPr>
        <w:spacing w:line="360" w:lineRule="auto"/>
        <w:ind w:firstLine="420" w:firstLineChars="200"/>
        <w:rPr>
          <w:rFonts w:hint="eastAsia" w:ascii="宋体" w:hAnsi="宋体" w:cs="宋体"/>
          <w:szCs w:val="21"/>
        </w:rPr>
      </w:pPr>
      <w:r>
        <w:rPr>
          <w:rFonts w:hint="eastAsia" w:ascii="宋体" w:hAnsi="宋体" w:cs="宋体"/>
          <w:szCs w:val="21"/>
        </w:rPr>
        <w:t>若被检产品明示的质量要求低于本细则中检验项目依据的强制性标准要求时，应按照强制性标准要求判定。</w:t>
      </w:r>
    </w:p>
    <w:p>
      <w:pPr>
        <w:spacing w:line="360" w:lineRule="auto"/>
        <w:ind w:firstLine="420" w:firstLineChars="200"/>
        <w:rPr>
          <w:rFonts w:hint="eastAsia" w:ascii="宋体" w:hAnsi="宋体" w:cs="宋体"/>
          <w:szCs w:val="21"/>
        </w:rPr>
      </w:pPr>
      <w:r>
        <w:rPr>
          <w:rFonts w:hint="eastAsia" w:ascii="宋体" w:hAnsi="宋体" w:cs="宋体"/>
          <w:szCs w:val="21"/>
        </w:rPr>
        <w:t>若被检产品明示的质量要求低于或包含本细则中检验项目依据的推荐性标准要求时，应以被检产品明示的质量要求判定。</w:t>
      </w:r>
    </w:p>
    <w:p>
      <w:pPr>
        <w:spacing w:line="360" w:lineRule="auto"/>
        <w:ind w:firstLine="420" w:firstLineChars="200"/>
        <w:rPr>
          <w:rFonts w:hint="eastAsia" w:ascii="宋体" w:hAnsi="宋体" w:cs="宋体"/>
          <w:szCs w:val="21"/>
        </w:rPr>
      </w:pPr>
      <w:r>
        <w:rPr>
          <w:rFonts w:hint="eastAsia" w:ascii="宋体" w:hAnsi="宋体" w:cs="宋体"/>
          <w:szCs w:val="21"/>
        </w:rPr>
        <w:t>若被检产品明示的质量要求缺少本细则中检验项目依据的强制性标准要求时，应按照强制性标准要求判定。</w:t>
      </w:r>
    </w:p>
    <w:p>
      <w:pPr>
        <w:spacing w:line="360" w:lineRule="auto"/>
        <w:ind w:firstLine="420" w:firstLineChars="200"/>
        <w:rPr>
          <w:rFonts w:hint="eastAsia" w:ascii="宋体" w:hAnsi="宋体" w:cs="宋体"/>
          <w:szCs w:val="21"/>
        </w:rPr>
      </w:pPr>
      <w:r>
        <w:rPr>
          <w:rFonts w:hint="eastAsia" w:ascii="宋体" w:hAnsi="宋体" w:cs="宋体"/>
          <w:szCs w:val="21"/>
        </w:rPr>
        <w:t>若被检产品明示的质量要求缺少本细则中检验项目依据的推荐性标准要求时，该项目不参与判定，但应在检验报告备注中进行说明。</w:t>
      </w:r>
    </w:p>
    <w:p/>
    <w:sectPr>
      <w:headerReference r:id="rId4" w:type="first"/>
      <w:footerReference r:id="rId7" w:type="first"/>
      <w:headerReference r:id="rId3" w:type="default"/>
      <w:footerReference r:id="rId5" w:type="default"/>
      <w:footerReference r:id="rId6" w:type="even"/>
      <w:pgSz w:w="11906" w:h="16838"/>
      <w:pgMar w:top="1985" w:right="1474" w:bottom="1644" w:left="147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mbols2">
    <w:panose1 w:val="020B0502040504020204"/>
    <w:charset w:val="00"/>
    <w:family w:val="auto"/>
    <w:pitch w:val="default"/>
    <w:sig w:usb0="80000003" w:usb1="0200E3E4" w:usb2="00040020" w:usb3="0580A048" w:csb0="00000001" w:csb1="00000000"/>
  </w:font>
  <w:font w:name="国标黑体">
    <w:panose1 w:val="020005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eastAsia"/>
        <w:sz w:val="21"/>
        <w:szCs w:val="21"/>
      </w:rPr>
    </w:pPr>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866485920"/>
                            <w:docPartObj>
                              <w:docPartGallery w:val="autotext"/>
                            </w:docPartObj>
                          </w:sdtPr>
                          <w:sdtEndPr>
                            <w:rPr>
                              <w:sz w:val="21"/>
                              <w:szCs w:val="21"/>
                            </w:rPr>
                          </w:sdtEndPr>
                          <w:sdtContent>
                            <w:p>
                              <w:pPr>
                                <w:pStyle w:val="2"/>
                                <w:jc w:val="right"/>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rPr>
                              <w:sz w:val="21"/>
                              <w:szCs w:val="21"/>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sdt>
                    <w:sdtPr>
                      <w:id w:val="866485920"/>
                      <w:docPartObj>
                        <w:docPartGallery w:val="autotext"/>
                      </w:docPartObj>
                    </w:sdtPr>
                    <w:sdtEndPr>
                      <w:rPr>
                        <w:sz w:val="21"/>
                        <w:szCs w:val="21"/>
                      </w:rPr>
                    </w:sdtEndPr>
                    <w:sdtContent>
                      <w:p>
                        <w:pPr>
                          <w:pStyle w:val="2"/>
                          <w:jc w:val="right"/>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rPr>
                        <w:sz w:val="21"/>
                        <w:szCs w:val="21"/>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rPr>
                              <w:sz w:val="21"/>
                              <w:szCs w:val="21"/>
                            </w:rPr>
                            <w:id w:val="-929659513"/>
                            <w:docPartObj>
                              <w:docPartGallery w:val="autotext"/>
                            </w:docPartObj>
                          </w:sdtPr>
                          <w:sdtEndPr>
                            <w:rPr>
                              <w:sz w:val="21"/>
                              <w:szCs w:val="21"/>
                            </w:rPr>
                          </w:sdtEndPr>
                          <w:sdtContent>
                            <w:p>
                              <w:pPr>
                                <w:pStyle w:val="2"/>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rPr>
                              <w:sz w:val="21"/>
                              <w:szCs w:val="21"/>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BYAAABkcnMvUEsBAhQAFAAA&#10;AAgAh07iQLNJWO7QAAAABQEAAA8AAAAAAAAAAQAgAAAAOAAAAGRycy9kb3ducmV2LnhtbFBLAQIU&#10;ABQAAAAIAIdO4kAfuQZdyQIAAOwFAAAOAAAAAAAAAAEAIAAAADUBAABkcnMvZTJvRG9jLnhtbFBL&#10;BQYAAAAABgAGAFkBAABwBgAAAAA=&#10;">
              <v:fill on="f" focussize="0,0"/>
              <v:stroke on="f" weight="0.5pt"/>
              <v:imagedata o:title=""/>
              <o:lock v:ext="edit" aspectratio="f"/>
              <v:textbox inset="0mm,0mm,0mm,0mm" style="mso-fit-shape-to-text:t;">
                <w:txbxContent>
                  <w:sdt>
                    <w:sdtPr>
                      <w:rPr>
                        <w:sz w:val="21"/>
                        <w:szCs w:val="21"/>
                      </w:rPr>
                      <w:id w:val="-929659513"/>
                      <w:docPartObj>
                        <w:docPartGallery w:val="autotext"/>
                      </w:docPartObj>
                    </w:sdtPr>
                    <w:sdtEndPr>
                      <w:rPr>
                        <w:sz w:val="21"/>
                        <w:szCs w:val="21"/>
                      </w:rPr>
                    </w:sdtEndPr>
                    <w:sdtContent>
                      <w:p>
                        <w:pPr>
                          <w:pStyle w:val="2"/>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rPr>
                        <w:sz w:val="21"/>
                        <w:szCs w:val="21"/>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FFE"/>
    <w:rsid w:val="000638E4"/>
    <w:rsid w:val="00093C68"/>
    <w:rsid w:val="001D6D1E"/>
    <w:rsid w:val="00593309"/>
    <w:rsid w:val="007F676B"/>
    <w:rsid w:val="00B732B9"/>
    <w:rsid w:val="00F43FB1"/>
    <w:rsid w:val="00F92FFE"/>
    <w:rsid w:val="00FD3001"/>
    <w:rsid w:val="08103ADB"/>
    <w:rsid w:val="10BE4469"/>
    <w:rsid w:val="15A666B3"/>
    <w:rsid w:val="1AAE212B"/>
    <w:rsid w:val="24134613"/>
    <w:rsid w:val="2B3D7A4A"/>
    <w:rsid w:val="477774F2"/>
    <w:rsid w:val="62307DAD"/>
    <w:rsid w:val="655B4A59"/>
    <w:rsid w:val="774A3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next w:val="1"/>
    <w:link w:val="7"/>
    <w:qFormat/>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99"/>
    <w:rPr>
      <w:rFonts w:cs="Times New Roman"/>
    </w:rPr>
  </w:style>
  <w:style w:type="character" w:customStyle="1" w:styleId="7">
    <w:name w:val="页脚 字符"/>
    <w:basedOn w:val="5"/>
    <w:link w:val="2"/>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185</Words>
  <Characters>1055</Characters>
  <Lines>8</Lines>
  <Paragraphs>2</Paragraphs>
  <TotalTime>1</TotalTime>
  <ScaleCrop>false</ScaleCrop>
  <LinksUpToDate>false</LinksUpToDate>
  <CharactersWithSpaces>1238</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2025-03-04T09:26:00Z</dcterms:created>
  <dc:creator>Admin</dc:creator>
  <cp:lastModifiedBy>guest</cp:lastModifiedBy>
  <cp:lastPrinted>2025-02-26T09:39:00Z</cp:lastPrinted>
  <dcterms:modified xsi:type="dcterms:W3CDTF">2025-03-07T10:10:26Z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KSOTemplateDocerSaveRecord">
    <vt:lpwstr>eyJoZGlkIjoiZDk1OTVmMDVlYTQyMmE3ZTk2ZWExZDIxZDI0OTkzMTQiLCJ1c2VySWQiOiIzNDgwNTU0ODIifQ==</vt:lpwstr>
  </property>
  <property fmtid="{D5CDD505-2E9C-101B-9397-08002B2CF9AE}" pid="4" name="ICV">
    <vt:lpwstr>7A9ADC6729FA45E0A17DA56B470EBAB5_12</vt:lpwstr>
  </property>
</Properties>
</file>