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附件6</w:t>
      </w:r>
    </w:p>
    <w:p>
      <w:pPr>
        <w:adjustRightInd w:val="0"/>
        <w:snapToGrid w:val="0"/>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陕西省</w:t>
      </w:r>
      <w:r>
        <w:rPr>
          <w:rFonts w:eastAsia="方正小标宋简体"/>
          <w:color w:val="000000"/>
          <w:sz w:val="32"/>
          <w:szCs w:val="32"/>
        </w:rPr>
        <w:t>加湿器产品质量监督抽查实施细则</w:t>
      </w:r>
    </w:p>
    <w:p>
      <w:pPr>
        <w:adjustRightInd w:val="0"/>
        <w:snapToGrid w:val="0"/>
        <w:spacing w:line="440" w:lineRule="exact"/>
        <w:jc w:val="center"/>
        <w:rPr>
          <w:rFonts w:eastAsia="方正小标宋简体"/>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以随机抽样的方式在被抽样销售者的待销产品中抽取。</w:t>
      </w:r>
    </w:p>
    <w:p>
      <w:pPr>
        <w:snapToGrid w:val="0"/>
        <w:spacing w:line="440" w:lineRule="exact"/>
        <w:ind w:firstLine="420" w:firstLineChars="200"/>
        <w:rPr>
          <w:color w:val="000000"/>
          <w:szCs w:val="21"/>
        </w:rPr>
      </w:pPr>
      <w:r>
        <w:rPr>
          <w:color w:val="000000"/>
          <w:szCs w:val="21"/>
        </w:rPr>
        <w:t>随机数使用随机数表方法产生。</w:t>
      </w:r>
    </w:p>
    <w:p>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val="en-US" w:eastAsia="zh-CN"/>
        </w:rPr>
        <w:t>2</w:t>
      </w:r>
      <w:r>
        <w:rPr>
          <w:color w:val="000000"/>
          <w:szCs w:val="21"/>
        </w:rPr>
        <w:t>台，其中</w:t>
      </w:r>
      <w:r>
        <w:rPr>
          <w:rFonts w:hint="eastAsia"/>
          <w:color w:val="000000"/>
          <w:szCs w:val="21"/>
          <w:lang w:val="en-US" w:eastAsia="zh-CN"/>
        </w:rPr>
        <w:t>1</w:t>
      </w:r>
      <w:r>
        <w:rPr>
          <w:color w:val="000000"/>
          <w:szCs w:val="21"/>
        </w:rPr>
        <w:t>台作为检验样品，1台作为备用样品。</w:t>
      </w: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表1 加湿器产品检验项目</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0"/>
        <w:gridCol w:w="3376"/>
        <w:gridCol w:w="2563"/>
        <w:gridCol w:w="2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75" w:type="pct"/>
            <w:noWrap w:val="0"/>
            <w:vAlign w:val="center"/>
          </w:tcPr>
          <w:p>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序号</w:t>
            </w:r>
          </w:p>
        </w:tc>
        <w:tc>
          <w:tcPr>
            <w:tcW w:w="1836" w:type="pct"/>
            <w:noWrap w:val="0"/>
            <w:vAlign w:val="center"/>
          </w:tcPr>
          <w:p>
            <w:pPr>
              <w:snapToGrid w:val="0"/>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检验项目</w:t>
            </w:r>
          </w:p>
        </w:tc>
        <w:tc>
          <w:tcPr>
            <w:tcW w:w="1394" w:type="pct"/>
            <w:noWrap w:val="0"/>
            <w:vAlign w:val="center"/>
          </w:tcPr>
          <w:p>
            <w:pPr>
              <w:snapToGrid w:val="0"/>
              <w:spacing w:line="300" w:lineRule="exact"/>
              <w:jc w:val="center"/>
              <w:rPr>
                <w:rFonts w:hint="eastAsia" w:eastAsia="宋体"/>
                <w:color w:val="000000"/>
                <w:szCs w:val="21"/>
                <w:lang w:val="en-US" w:eastAsia="zh-CN"/>
              </w:rPr>
            </w:pPr>
            <w:r>
              <w:rPr>
                <w:rFonts w:hint="eastAsia"/>
                <w:color w:val="000000"/>
                <w:szCs w:val="21"/>
              </w:rPr>
              <w:t>检验</w:t>
            </w:r>
            <w:r>
              <w:rPr>
                <w:rFonts w:hint="eastAsia"/>
                <w:color w:val="000000"/>
                <w:szCs w:val="21"/>
                <w:lang w:val="en-US" w:eastAsia="zh-CN"/>
              </w:rPr>
              <w:t>依据</w:t>
            </w:r>
          </w:p>
        </w:tc>
        <w:tc>
          <w:tcPr>
            <w:tcW w:w="1394" w:type="pct"/>
            <w:noWrap w:val="0"/>
            <w:vAlign w:val="center"/>
          </w:tcPr>
          <w:p>
            <w:pPr>
              <w:snapToGrid w:val="0"/>
              <w:spacing w:line="300" w:lineRule="exact"/>
              <w:jc w:val="center"/>
              <w:rPr>
                <w:rFonts w:hint="eastAsia"/>
                <w:color w:val="000000"/>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1</w:t>
            </w:r>
          </w:p>
        </w:tc>
        <w:tc>
          <w:tcPr>
            <w:tcW w:w="1836" w:type="pct"/>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对触及带电部件的防护</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2</w:t>
            </w:r>
          </w:p>
        </w:tc>
        <w:tc>
          <w:tcPr>
            <w:tcW w:w="1836" w:type="pct"/>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输入功率和电流</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3</w:t>
            </w:r>
          </w:p>
        </w:tc>
        <w:tc>
          <w:tcPr>
            <w:tcW w:w="1836" w:type="pct"/>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工作温度下的泄漏电流和电气强度</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4</w:t>
            </w:r>
          </w:p>
        </w:tc>
        <w:tc>
          <w:tcPr>
            <w:tcW w:w="1836" w:type="pct"/>
            <w:noWrap w:val="0"/>
            <w:vAlign w:val="center"/>
          </w:tcPr>
          <w:p>
            <w:pPr>
              <w:spacing w:line="300" w:lineRule="exact"/>
              <w:jc w:val="center"/>
              <w:rPr>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color w:val="000000"/>
                <w:szCs w:val="21"/>
              </w:rPr>
              <w:t>稳定性和机械危险</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5</w:t>
            </w:r>
          </w:p>
        </w:tc>
        <w:tc>
          <w:tcPr>
            <w:tcW w:w="1836" w:type="pct"/>
            <w:noWrap w:val="0"/>
            <w:vAlign w:val="center"/>
          </w:tcPr>
          <w:p>
            <w:pPr>
              <w:spacing w:line="300" w:lineRule="exact"/>
              <w:jc w:val="center"/>
              <w:rPr>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color w:val="000000"/>
                <w:szCs w:val="21"/>
              </w:rPr>
              <w:t>机械强度</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6</w:t>
            </w:r>
          </w:p>
        </w:tc>
        <w:tc>
          <w:tcPr>
            <w:tcW w:w="1836" w:type="pct"/>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结构（不包括22.46条的试验）</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7</w:t>
            </w:r>
          </w:p>
        </w:tc>
        <w:tc>
          <w:tcPr>
            <w:tcW w:w="1836" w:type="pct"/>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内部布线</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8</w:t>
            </w:r>
          </w:p>
        </w:tc>
        <w:tc>
          <w:tcPr>
            <w:tcW w:w="1836" w:type="pct"/>
            <w:noWrap w:val="0"/>
            <w:vAlign w:val="center"/>
          </w:tcPr>
          <w:p>
            <w:pPr>
              <w:spacing w:line="300" w:lineRule="exact"/>
              <w:ind w:firstLine="42" w:firstLineChars="20"/>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电源连接和外部软线</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9</w:t>
            </w:r>
          </w:p>
        </w:tc>
        <w:tc>
          <w:tcPr>
            <w:tcW w:w="1836" w:type="pct"/>
            <w:noWrap w:val="0"/>
            <w:vAlign w:val="center"/>
          </w:tcPr>
          <w:p>
            <w:pPr>
              <w:spacing w:line="300" w:lineRule="exact"/>
              <w:ind w:firstLine="42" w:firstLineChars="20"/>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外部导线用接线端子</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10</w:t>
            </w:r>
          </w:p>
        </w:tc>
        <w:tc>
          <w:tcPr>
            <w:tcW w:w="1836" w:type="pct"/>
            <w:noWrap w:val="0"/>
            <w:vAlign w:val="center"/>
          </w:tcPr>
          <w:p>
            <w:pPr>
              <w:spacing w:line="300" w:lineRule="exact"/>
              <w:ind w:firstLine="42" w:firstLineChars="20"/>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接地措施</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11</w:t>
            </w:r>
          </w:p>
        </w:tc>
        <w:tc>
          <w:tcPr>
            <w:tcW w:w="1836" w:type="pct"/>
            <w:noWrap w:val="0"/>
            <w:vAlign w:val="center"/>
          </w:tcPr>
          <w:p>
            <w:pPr>
              <w:spacing w:line="300" w:lineRule="exact"/>
              <w:ind w:firstLine="42" w:firstLineChars="20"/>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螺钉和连接</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75" w:type="pct"/>
            <w:noWrap w:val="0"/>
            <w:vAlign w:val="center"/>
          </w:tcPr>
          <w:p>
            <w:pPr>
              <w:spacing w:line="300" w:lineRule="exact"/>
              <w:jc w:val="center"/>
              <w:rPr>
                <w:rStyle w:val="7"/>
                <w:rFonts w:hint="eastAsia" w:asciiTheme="minorEastAsia" w:hAnsiTheme="minorEastAsia" w:eastAsiaTheme="minorEastAsia" w:cstheme="minorEastAsia"/>
                <w:szCs w:val="21"/>
              </w:rPr>
            </w:pPr>
            <w:r>
              <w:rPr>
                <w:rStyle w:val="7"/>
                <w:rFonts w:hint="eastAsia" w:asciiTheme="minorEastAsia" w:hAnsiTheme="minorEastAsia" w:eastAsiaTheme="minorEastAsia" w:cstheme="minorEastAsia"/>
                <w:szCs w:val="21"/>
              </w:rPr>
              <w:t>12</w:t>
            </w:r>
          </w:p>
        </w:tc>
        <w:tc>
          <w:tcPr>
            <w:tcW w:w="1836" w:type="pct"/>
            <w:noWrap w:val="0"/>
            <w:vAlign w:val="center"/>
          </w:tcPr>
          <w:p>
            <w:pPr>
              <w:spacing w:line="300" w:lineRule="exact"/>
              <w:ind w:firstLine="42" w:firstLineChars="20"/>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color w:val="000000"/>
                <w:szCs w:val="21"/>
              </w:rPr>
              <w:t>电气间隙、爬电距离和固体绝缘</w:t>
            </w:r>
          </w:p>
        </w:tc>
        <w:tc>
          <w:tcPr>
            <w:tcW w:w="1394" w:type="pct"/>
            <w:noWrap w:val="0"/>
            <w:vAlign w:val="center"/>
          </w:tcPr>
          <w:p>
            <w:pPr>
              <w:spacing w:line="300" w:lineRule="exact"/>
              <w:jc w:val="both"/>
              <w:rPr>
                <w:szCs w:val="21"/>
              </w:rPr>
            </w:pPr>
            <w:r>
              <w:rPr>
                <w:szCs w:val="21"/>
              </w:rPr>
              <w:t>GB 4706.1</w:t>
            </w:r>
            <w:r>
              <w:t>—</w:t>
            </w:r>
            <w:r>
              <w:rPr>
                <w:szCs w:val="21"/>
              </w:rPr>
              <w:t>2005</w:t>
            </w:r>
          </w:p>
          <w:p>
            <w:pPr>
              <w:spacing w:line="300" w:lineRule="exact"/>
              <w:jc w:val="both"/>
              <w:rPr>
                <w:szCs w:val="21"/>
              </w:rPr>
            </w:pPr>
            <w:r>
              <w:rPr>
                <w:szCs w:val="21"/>
              </w:rPr>
              <w:t>GB 4706.48</w:t>
            </w:r>
            <w:r>
              <w:t>—</w:t>
            </w:r>
            <w:r>
              <w:rPr>
                <w:szCs w:val="21"/>
              </w:rPr>
              <w:t>2009</w:t>
            </w:r>
          </w:p>
        </w:tc>
        <w:tc>
          <w:tcPr>
            <w:tcW w:w="1394" w:type="pct"/>
            <w:shd w:val="clear" w:color="auto" w:fill="auto"/>
            <w:noWrap w:val="0"/>
            <w:vAlign w:val="center"/>
          </w:tcPr>
          <w:p>
            <w:pPr>
              <w:spacing w:line="300" w:lineRule="exact"/>
              <w:jc w:val="both"/>
              <w:rPr>
                <w:szCs w:val="21"/>
              </w:rPr>
            </w:pPr>
            <w:r>
              <w:rPr>
                <w:szCs w:val="21"/>
              </w:rPr>
              <w:t>GB 4706.1</w:t>
            </w:r>
            <w:r>
              <w:t>—</w:t>
            </w:r>
            <w:r>
              <w:rPr>
                <w:szCs w:val="21"/>
              </w:rPr>
              <w:t>2005</w:t>
            </w:r>
          </w:p>
          <w:p>
            <w:pPr>
              <w:spacing w:line="300" w:lineRule="exact"/>
              <w:jc w:val="both"/>
              <w:rPr>
                <w:rFonts w:ascii="Times New Roman" w:hAnsi="Times New Roman" w:eastAsia="宋体" w:cs="Times New Roman"/>
                <w:kern w:val="2"/>
                <w:sz w:val="21"/>
                <w:szCs w:val="21"/>
                <w:lang w:val="en-US" w:eastAsia="zh-CN" w:bidi="ar-SA"/>
              </w:rPr>
            </w:pPr>
            <w:r>
              <w:rPr>
                <w:szCs w:val="21"/>
              </w:rPr>
              <w:t>GB 4706.48</w:t>
            </w:r>
            <w:r>
              <w:t>—</w:t>
            </w:r>
            <w:r>
              <w:rPr>
                <w:szCs w:val="21"/>
              </w:rPr>
              <w:t>2009</w:t>
            </w:r>
          </w:p>
        </w:tc>
      </w:tr>
    </w:tbl>
    <w:p>
      <w:pPr>
        <w:snapToGrid w:val="0"/>
        <w:spacing w:line="440" w:lineRule="exact"/>
        <w:ind w:firstLine="359" w:firstLineChars="171"/>
        <w:rPr>
          <w:color w:val="000000"/>
          <w:szCs w:val="21"/>
        </w:rPr>
      </w:pPr>
      <w:r>
        <w:rPr>
          <w:color w:val="000000"/>
          <w:szCs w:val="21"/>
        </w:rPr>
        <w:t>执行企业标准、团体标准、地方标准的产品，检验项目参照上述内容执行。</w:t>
      </w:r>
    </w:p>
    <w:p>
      <w:pPr>
        <w:spacing w:line="440" w:lineRule="exact"/>
        <w:rPr>
          <w:rFonts w:eastAsia="黑体"/>
          <w:color w:val="000000"/>
          <w:szCs w:val="21"/>
        </w:rPr>
      </w:pPr>
      <w:r>
        <w:rPr>
          <w:rFonts w:eastAsia="黑体"/>
          <w:color w:val="000000"/>
          <w:szCs w:val="21"/>
        </w:rPr>
        <w:t>3 判定规则</w:t>
      </w:r>
    </w:p>
    <w:p>
      <w:pPr>
        <w:snapToGrid w:val="0"/>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color w:val="000000"/>
          <w:szCs w:val="21"/>
        </w:rPr>
        <w:t xml:space="preserve">GB 4706.1—2005 </w:t>
      </w:r>
      <w:r>
        <w:rPr>
          <w:rFonts w:hint="eastAsia" w:asciiTheme="minorEastAsia" w:hAnsiTheme="minorEastAsia" w:eastAsiaTheme="minorEastAsia" w:cstheme="minorEastAsia"/>
          <w:color w:val="000000"/>
          <w:szCs w:val="21"/>
        </w:rPr>
        <w:t>家用和类似用途电器的安全  第1部分：通用要求</w:t>
      </w:r>
    </w:p>
    <w:p>
      <w:pPr>
        <w:snapToGrid w:val="0"/>
        <w:spacing w:line="440" w:lineRule="exact"/>
        <w:ind w:firstLine="420" w:firstLineChars="200"/>
        <w:rPr>
          <w:szCs w:val="21"/>
        </w:rPr>
      </w:pPr>
      <w:r>
        <w:rPr>
          <w:szCs w:val="21"/>
        </w:rPr>
        <w:t>GB 4706.48</w:t>
      </w:r>
      <w:r>
        <w:rPr>
          <w:color w:val="000000"/>
          <w:szCs w:val="21"/>
        </w:rPr>
        <w:t>—</w:t>
      </w:r>
      <w:r>
        <w:rPr>
          <w:szCs w:val="21"/>
        </w:rPr>
        <w:t>2009 家用和类似用途电器的安全  加湿器的特殊要求</w:t>
      </w:r>
    </w:p>
    <w:p>
      <w:pPr>
        <w:snapToGrid w:val="0"/>
        <w:spacing w:line="440" w:lineRule="exact"/>
        <w:ind w:firstLine="420" w:firstLineChars="200"/>
        <w:rPr>
          <w:rFonts w:hint="eastAsia" w:asciiTheme="minorEastAsia" w:hAnsiTheme="minorEastAsia" w:eastAsiaTheme="minorEastAsia" w:cstheme="minorEastAsia"/>
          <w:color w:val="000000"/>
          <w:szCs w:val="21"/>
          <w:lang w:eastAsia="zh-CN"/>
        </w:rPr>
      </w:pPr>
      <w:r>
        <w:rPr>
          <w:rFonts w:hint="eastAsia" w:asciiTheme="minorEastAsia" w:hAnsiTheme="minorEastAsia" w:eastAsiaTheme="minorEastAsia" w:cstheme="minorEastAsia"/>
          <w:color w:val="000000"/>
          <w:szCs w:val="21"/>
        </w:rPr>
        <w:t>现行有效的企业标准、团体标准、地方标准及产品明示质量要求</w:t>
      </w:r>
      <w:r>
        <w:rPr>
          <w:rFonts w:hint="eastAsia" w:asciiTheme="minorEastAsia" w:hAnsiTheme="minorEastAsia" w:eastAsiaTheme="minorEastAsia" w:cstheme="minorEastAsia"/>
          <w:color w:val="000000"/>
          <w:szCs w:val="21"/>
          <w:lang w:eastAsia="zh-CN"/>
        </w:rPr>
        <w:t>。</w:t>
      </w:r>
    </w:p>
    <w:p>
      <w:pPr>
        <w:snapToGrid w:val="0"/>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3.2判定原则</w:t>
      </w:r>
    </w:p>
    <w:p>
      <w:pPr>
        <w:snapToGrid w:val="0"/>
        <w:spacing w:line="440" w:lineRule="exact"/>
        <w:ind w:firstLine="417" w:firstLineChars="199"/>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若被检产品明示的质量要求缺少本细则中检验项目依据的推荐性标准要求时，该项目不参与判定。</w:t>
      </w:r>
    </w:p>
    <w:p>
      <w:pPr>
        <w:rPr>
          <w:rFonts w:hint="eastAsia" w:asciiTheme="minorEastAsia" w:hAnsiTheme="minorEastAsia" w:eastAsiaTheme="minorEastAsia" w:cstheme="minorEastAsia"/>
        </w:rPr>
      </w:pPr>
      <w:bookmarkStart w:id="0" w:name="_GoBack"/>
      <w:bookmarkEnd w:id="0"/>
    </w:p>
    <w:sectPr>
      <w:footerReference r:id="rId3" w:type="default"/>
      <w:pgSz w:w="11906" w:h="16838"/>
      <w:pgMar w:top="1383" w:right="1463" w:bottom="1383"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国标仿宋">
    <w:panose1 w:val="02000500000000000000"/>
    <w:charset w:val="86"/>
    <w:family w:val="auto"/>
    <w:pitch w:val="default"/>
    <w:sig w:usb0="A00002BF" w:usb1="38C77CFA" w:usb2="00000016" w:usb3="00000000" w:csb0="00060007" w:csb1="00000000"/>
  </w:font>
  <w:font w:name="国标黑体">
    <w:panose1 w:val="020005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E37D9F"/>
    <w:rsid w:val="24F247CE"/>
    <w:rsid w:val="2D5A25C5"/>
    <w:rsid w:val="505979E0"/>
    <w:rsid w:val="5CBE0FBF"/>
    <w:rsid w:val="707A1CD7"/>
    <w:rsid w:val="BBE75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752</Words>
  <Characters>1338</Characters>
  <Lines>0</Lines>
  <Paragraphs>0</Paragraphs>
  <TotalTime>4</TotalTime>
  <ScaleCrop>false</ScaleCrop>
  <LinksUpToDate>false</LinksUpToDate>
  <CharactersWithSpaces>1398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2025-02-13T17:30:00Z</dcterms:created>
  <dc:creator>Lenovo</dc:creator>
  <cp:lastModifiedBy>guest</cp:lastModifiedBy>
  <dcterms:modified xsi:type="dcterms:W3CDTF">2025-03-07T09:28:38Z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eyJoZGlkIjoiOGU4MTU3MDhiOTZjNzJiYjM4NzAzYzRkYWFiMzFhZDgiLCJ1c2VySWQiOiI1NTk1NjczNjUifQ==</vt:lpwstr>
  </property>
  <property fmtid="{D5CDD505-2E9C-101B-9397-08002B2CF9AE}" pid="4" name="ICV">
    <vt:lpwstr>86DD4CC6C7754BDD98D1AAFE5BBA5E89_12</vt:lpwstr>
  </property>
</Properties>
</file>