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96"/>
        </w:tabs>
        <w:jc w:val="lef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eastAsia="zh-CN"/>
        </w:rPr>
        <w:t>附件</w:t>
      </w:r>
      <w:r>
        <w:rPr>
          <w:rFonts w:hint="eastAsia" w:ascii="方正仿宋_GBK" w:hAnsi="方正仿宋_GBK" w:eastAsia="方正仿宋_GBK" w:cs="方正仿宋_GBK"/>
          <w:bCs/>
          <w:sz w:val="32"/>
          <w:szCs w:val="32"/>
          <w:lang w:val="en-US" w:eastAsia="zh-CN"/>
        </w:rPr>
        <w:t>6</w:t>
      </w:r>
      <w:bookmarkStart w:id="3" w:name="_GoBack"/>
      <w:bookmarkEnd w:id="3"/>
    </w:p>
    <w:p>
      <w:pPr>
        <w:tabs>
          <w:tab w:val="left" w:pos="7296"/>
        </w:tabs>
        <w:jc w:val="left"/>
        <w:rPr>
          <w:rFonts w:hint="eastAsia" w:ascii="方正仿宋_GBK" w:hAnsi="方正仿宋_GBK" w:eastAsia="方正仿宋_GBK" w:cs="方正仿宋_GBK"/>
          <w:bCs/>
          <w:sz w:val="32"/>
          <w:szCs w:val="32"/>
          <w:lang w:val="en-US" w:eastAsia="zh-CN"/>
        </w:rPr>
      </w:pPr>
    </w:p>
    <w:p>
      <w:pPr>
        <w:spacing w:line="600" w:lineRule="exact"/>
        <w:jc w:val="center"/>
        <w:rPr>
          <w:bCs/>
          <w:sz w:val="44"/>
          <w:szCs w:val="44"/>
        </w:rPr>
      </w:pPr>
      <w:r>
        <w:rPr>
          <w:bCs/>
          <w:sz w:val="44"/>
          <w:szCs w:val="44"/>
        </w:rPr>
        <w:t>广州市“食在广州”评价认证</w:t>
      </w:r>
      <w:r>
        <w:rPr>
          <w:rFonts w:hint="eastAsia"/>
          <w:bCs/>
          <w:sz w:val="44"/>
          <w:szCs w:val="44"/>
        </w:rPr>
        <w:t>实施指引</w:t>
      </w:r>
    </w:p>
    <w:p>
      <w:pPr>
        <w:spacing w:line="600" w:lineRule="exact"/>
        <w:jc w:val="center"/>
        <w:rPr>
          <w:bCs/>
          <w:szCs w:val="32"/>
        </w:rPr>
      </w:pPr>
      <w:r>
        <w:rPr>
          <w:bCs/>
          <w:szCs w:val="32"/>
        </w:rPr>
        <w:t>（预包装食品类：</w:t>
      </w:r>
      <w:r>
        <w:rPr>
          <w:rFonts w:hint="eastAsia"/>
          <w:bCs/>
          <w:szCs w:val="32"/>
        </w:rPr>
        <w:t>饮料</w:t>
      </w:r>
      <w:r>
        <w:rPr>
          <w:bCs/>
          <w:szCs w:val="32"/>
        </w:rPr>
        <w:t>）</w:t>
      </w:r>
    </w:p>
    <w:p>
      <w:pPr>
        <w:spacing w:line="600" w:lineRule="exact"/>
        <w:rPr>
          <w:b/>
          <w:szCs w:val="32"/>
        </w:rPr>
      </w:pPr>
    </w:p>
    <w:p>
      <w:pPr>
        <w:spacing w:line="600" w:lineRule="exact"/>
        <w:ind w:firstLine="629" w:firstLineChars="196"/>
        <w:rPr>
          <w:b/>
          <w:bCs/>
          <w:szCs w:val="32"/>
        </w:rPr>
      </w:pPr>
      <w:r>
        <w:rPr>
          <w:b/>
          <w:bCs/>
          <w:szCs w:val="32"/>
        </w:rPr>
        <w:t>一、认证产品范围</w:t>
      </w:r>
    </w:p>
    <w:p>
      <w:pPr>
        <w:spacing w:line="600" w:lineRule="exact"/>
        <w:ind w:firstLine="640" w:firstLineChars="200"/>
        <w:rPr>
          <w:szCs w:val="32"/>
        </w:rPr>
      </w:pPr>
      <w:r>
        <w:rPr>
          <w:szCs w:val="32"/>
        </w:rPr>
        <w:t>申请“食在广州”评价认证的</w:t>
      </w:r>
      <w:r>
        <w:rPr>
          <w:rFonts w:hint="eastAsia"/>
          <w:szCs w:val="32"/>
        </w:rPr>
        <w:t>饮料</w:t>
      </w:r>
      <w:r>
        <w:rPr>
          <w:szCs w:val="32"/>
        </w:rPr>
        <w:t>产品</w:t>
      </w:r>
      <w:r>
        <w:rPr>
          <w:rFonts w:hint="eastAsia"/>
          <w:szCs w:val="32"/>
        </w:rPr>
        <w:t>，</w:t>
      </w:r>
      <w:r>
        <w:rPr>
          <w:szCs w:val="32"/>
        </w:rPr>
        <w:t>包括</w:t>
      </w:r>
      <w:r>
        <w:rPr>
          <w:rFonts w:hint="eastAsia"/>
          <w:szCs w:val="32"/>
        </w:rPr>
        <w:t>碳酸饮料</w:t>
      </w:r>
      <w:r>
        <w:rPr>
          <w:szCs w:val="32"/>
        </w:rPr>
        <w:t>、</w:t>
      </w:r>
      <w:r>
        <w:rPr>
          <w:rFonts w:hint="eastAsia"/>
          <w:szCs w:val="32"/>
        </w:rPr>
        <w:t>果蔬汁类及其饮料、</w:t>
      </w:r>
      <w:r>
        <w:rPr>
          <w:szCs w:val="32"/>
        </w:rPr>
        <w:t>植物饮料。</w:t>
      </w:r>
    </w:p>
    <w:p>
      <w:pPr>
        <w:spacing w:line="600" w:lineRule="exact"/>
        <w:ind w:firstLine="629" w:firstLineChars="196"/>
        <w:rPr>
          <w:b/>
          <w:bCs/>
          <w:szCs w:val="32"/>
        </w:rPr>
      </w:pPr>
      <w:r>
        <w:rPr>
          <w:b/>
          <w:bCs/>
          <w:szCs w:val="32"/>
        </w:rPr>
        <w:t>二、认证相关标准</w:t>
      </w:r>
    </w:p>
    <w:p>
      <w:pPr>
        <w:spacing w:line="600" w:lineRule="exact"/>
        <w:ind w:firstLine="640" w:firstLineChars="200"/>
        <w:rPr>
          <w:szCs w:val="32"/>
        </w:rPr>
      </w:pPr>
      <w:r>
        <w:rPr>
          <w:szCs w:val="32"/>
        </w:rPr>
        <w:t>GB 2760  食品安全国家标准  食品添加剂使用标准</w:t>
      </w:r>
    </w:p>
    <w:p>
      <w:pPr>
        <w:spacing w:line="600" w:lineRule="exact"/>
        <w:ind w:firstLine="640" w:firstLineChars="200"/>
        <w:rPr>
          <w:szCs w:val="32"/>
        </w:rPr>
      </w:pPr>
      <w:r>
        <w:rPr>
          <w:szCs w:val="32"/>
        </w:rPr>
        <w:t>GB 2761  食品安全国家标准  食品中真菌毒素限量</w:t>
      </w:r>
    </w:p>
    <w:p>
      <w:pPr>
        <w:spacing w:line="600" w:lineRule="exact"/>
        <w:ind w:firstLine="640" w:firstLineChars="200"/>
        <w:rPr>
          <w:szCs w:val="32"/>
        </w:rPr>
      </w:pPr>
      <w:r>
        <w:rPr>
          <w:szCs w:val="32"/>
        </w:rPr>
        <w:t>GB 2762  食品安全国家标准</w:t>
      </w:r>
      <w:r>
        <w:rPr>
          <w:rFonts w:hint="eastAsia"/>
          <w:szCs w:val="32"/>
        </w:rPr>
        <w:t xml:space="preserve">  </w:t>
      </w:r>
      <w:r>
        <w:rPr>
          <w:szCs w:val="32"/>
        </w:rPr>
        <w:t>食品中污染物限量</w:t>
      </w:r>
    </w:p>
    <w:p>
      <w:pPr>
        <w:spacing w:line="600" w:lineRule="exact"/>
        <w:ind w:firstLine="640" w:firstLineChars="200"/>
        <w:rPr>
          <w:szCs w:val="32"/>
        </w:rPr>
      </w:pPr>
      <w:r>
        <w:rPr>
          <w:szCs w:val="32"/>
        </w:rPr>
        <w:t>GB 2763  食品安全国家标准</w:t>
      </w:r>
      <w:r>
        <w:rPr>
          <w:rFonts w:hint="eastAsia"/>
          <w:szCs w:val="32"/>
        </w:rPr>
        <w:t xml:space="preserve">  </w:t>
      </w:r>
      <w:r>
        <w:rPr>
          <w:szCs w:val="32"/>
        </w:rPr>
        <w:t>食品中农药最大残留限量</w:t>
      </w:r>
    </w:p>
    <w:p>
      <w:pPr>
        <w:spacing w:line="600" w:lineRule="exact"/>
        <w:ind w:firstLine="640" w:firstLineChars="200"/>
        <w:rPr>
          <w:szCs w:val="32"/>
        </w:rPr>
      </w:pPr>
      <w:r>
        <w:rPr>
          <w:rFonts w:hint="eastAsia"/>
          <w:szCs w:val="32"/>
        </w:rPr>
        <w:t>GB 7101  食品安全国家标准  饮料</w:t>
      </w:r>
    </w:p>
    <w:p>
      <w:pPr>
        <w:spacing w:line="600" w:lineRule="exact"/>
        <w:ind w:firstLine="640" w:firstLineChars="200"/>
        <w:rPr>
          <w:szCs w:val="32"/>
        </w:rPr>
      </w:pPr>
      <w:r>
        <w:rPr>
          <w:rFonts w:hint="eastAsia"/>
          <w:szCs w:val="32"/>
        </w:rPr>
        <w:t>GB/T 10789  饮料通则</w:t>
      </w:r>
    </w:p>
    <w:p>
      <w:pPr>
        <w:spacing w:line="600" w:lineRule="exact"/>
        <w:ind w:firstLine="640" w:firstLineChars="200"/>
        <w:rPr>
          <w:szCs w:val="32"/>
        </w:rPr>
      </w:pPr>
      <w:r>
        <w:rPr>
          <w:szCs w:val="32"/>
        </w:rPr>
        <w:t>GB/T 10792</w:t>
      </w:r>
      <w:r>
        <w:rPr>
          <w:rFonts w:hint="eastAsia"/>
          <w:szCs w:val="32"/>
        </w:rPr>
        <w:t xml:space="preserve">  </w:t>
      </w:r>
      <w:r>
        <w:rPr>
          <w:szCs w:val="32"/>
        </w:rPr>
        <w:t>碳酸饮料（汽水）</w:t>
      </w:r>
    </w:p>
    <w:p>
      <w:pPr>
        <w:spacing w:line="600" w:lineRule="exact"/>
        <w:ind w:firstLine="640" w:firstLineChars="200"/>
        <w:rPr>
          <w:szCs w:val="32"/>
        </w:rPr>
      </w:pPr>
      <w:r>
        <w:rPr>
          <w:rFonts w:hint="eastAsia"/>
          <w:szCs w:val="32"/>
        </w:rPr>
        <w:t>GB 12695  食品安全国家标准  饮料生产卫生规范</w:t>
      </w:r>
    </w:p>
    <w:p>
      <w:pPr>
        <w:spacing w:line="600" w:lineRule="exact"/>
        <w:ind w:firstLine="640" w:firstLineChars="200"/>
        <w:rPr>
          <w:szCs w:val="32"/>
        </w:rPr>
      </w:pPr>
      <w:r>
        <w:rPr>
          <w:rFonts w:hint="eastAsia"/>
          <w:szCs w:val="32"/>
        </w:rPr>
        <w:t>GB/T 31121  果蔬汁类及其饮料</w:t>
      </w:r>
    </w:p>
    <w:p>
      <w:pPr>
        <w:spacing w:line="600" w:lineRule="exact"/>
        <w:ind w:firstLine="640" w:firstLineChars="200"/>
        <w:rPr>
          <w:szCs w:val="32"/>
        </w:rPr>
      </w:pPr>
      <w:r>
        <w:rPr>
          <w:szCs w:val="32"/>
        </w:rPr>
        <w:t>GB/T 31326</w:t>
      </w:r>
      <w:r>
        <w:rPr>
          <w:rFonts w:hint="eastAsia"/>
          <w:szCs w:val="32"/>
        </w:rPr>
        <w:t xml:space="preserve">  </w:t>
      </w:r>
      <w:r>
        <w:rPr>
          <w:szCs w:val="32"/>
        </w:rPr>
        <w:t>植物饮料</w:t>
      </w:r>
    </w:p>
    <w:p>
      <w:pPr>
        <w:spacing w:line="600" w:lineRule="exact"/>
        <w:ind w:firstLine="640" w:firstLineChars="200"/>
        <w:rPr>
          <w:szCs w:val="32"/>
        </w:rPr>
      </w:pPr>
      <w:r>
        <w:rPr>
          <w:szCs w:val="32"/>
        </w:rPr>
        <w:t>NY/T 434</w:t>
      </w:r>
      <w:r>
        <w:rPr>
          <w:rFonts w:hint="eastAsia"/>
          <w:szCs w:val="32"/>
        </w:rPr>
        <w:t xml:space="preserve">  </w:t>
      </w:r>
      <w:r>
        <w:rPr>
          <w:szCs w:val="32"/>
        </w:rPr>
        <w:t>绿色食品 果蔬汁饮料</w:t>
      </w:r>
    </w:p>
    <w:p>
      <w:pPr>
        <w:spacing w:line="600" w:lineRule="exact"/>
        <w:ind w:firstLine="640" w:firstLineChars="200"/>
        <w:rPr>
          <w:szCs w:val="32"/>
        </w:rPr>
      </w:pPr>
      <w:r>
        <w:rPr>
          <w:szCs w:val="32"/>
        </w:rPr>
        <w:t>QB/T 5206</w:t>
      </w:r>
      <w:r>
        <w:rPr>
          <w:rFonts w:hint="eastAsia"/>
          <w:szCs w:val="32"/>
        </w:rPr>
        <w:t xml:space="preserve">  </w:t>
      </w:r>
      <w:r>
        <w:rPr>
          <w:szCs w:val="32"/>
        </w:rPr>
        <w:t>植物饮料</w:t>
      </w:r>
      <w:r>
        <w:rPr>
          <w:rFonts w:hint="eastAsia"/>
          <w:szCs w:val="32"/>
        </w:rPr>
        <w:t xml:space="preserve">  </w:t>
      </w:r>
      <w:r>
        <w:rPr>
          <w:szCs w:val="32"/>
        </w:rPr>
        <w:t>凉茶</w:t>
      </w:r>
    </w:p>
    <w:p>
      <w:pPr>
        <w:spacing w:line="600" w:lineRule="exact"/>
        <w:ind w:firstLine="640" w:firstLineChars="200"/>
        <w:rPr>
          <w:szCs w:val="32"/>
        </w:rPr>
      </w:pPr>
      <w:r>
        <w:rPr>
          <w:szCs w:val="32"/>
        </w:rPr>
        <w:t>产品明示标准和质量要求</w:t>
      </w:r>
    </w:p>
    <w:p>
      <w:pPr>
        <w:spacing w:line="600" w:lineRule="exact"/>
        <w:ind w:firstLine="640" w:firstLineChars="200"/>
        <w:rPr>
          <w:szCs w:val="32"/>
        </w:rPr>
      </w:pPr>
      <w:r>
        <w:rPr>
          <w:szCs w:val="32"/>
        </w:rPr>
        <w:t>相关的法律法规、部门规章和规定</w:t>
      </w:r>
    </w:p>
    <w:p>
      <w:pPr>
        <w:spacing w:line="600" w:lineRule="exact"/>
        <w:ind w:firstLine="642" w:firstLineChars="200"/>
        <w:rPr>
          <w:b/>
          <w:bCs/>
          <w:szCs w:val="32"/>
        </w:rPr>
      </w:pPr>
      <w:r>
        <w:rPr>
          <w:b/>
          <w:bCs/>
          <w:szCs w:val="32"/>
        </w:rPr>
        <w:t>三、认证产品要求</w:t>
      </w:r>
    </w:p>
    <w:p>
      <w:pPr>
        <w:spacing w:line="600" w:lineRule="exact"/>
        <w:ind w:firstLine="642" w:firstLineChars="200"/>
        <w:rPr>
          <w:b/>
          <w:szCs w:val="32"/>
        </w:rPr>
      </w:pPr>
      <w:bookmarkStart w:id="0" w:name="_Hlk143463071"/>
      <w:bookmarkStart w:id="1" w:name="_Hlk143466613"/>
      <w:r>
        <w:rPr>
          <w:b/>
          <w:szCs w:val="32"/>
        </w:rPr>
        <w:t>3.1  产品要求</w:t>
      </w:r>
    </w:p>
    <w:p>
      <w:pPr>
        <w:spacing w:line="600" w:lineRule="exact"/>
        <w:ind w:firstLine="640" w:firstLineChars="200"/>
        <w:rPr>
          <w:szCs w:val="32"/>
        </w:rPr>
      </w:pPr>
      <w:r>
        <w:rPr>
          <w:szCs w:val="32"/>
        </w:rPr>
        <w:t>申请“食在广州”评价认证的</w:t>
      </w:r>
      <w:r>
        <w:rPr>
          <w:rFonts w:hint="eastAsia"/>
          <w:szCs w:val="32"/>
        </w:rPr>
        <w:t>饮料</w:t>
      </w:r>
      <w:r>
        <w:rPr>
          <w:szCs w:val="32"/>
        </w:rPr>
        <w:t>产品</w:t>
      </w:r>
      <w:r>
        <w:rPr>
          <w:rFonts w:hint="eastAsia"/>
          <w:szCs w:val="32"/>
        </w:rPr>
        <w:t>宜</w:t>
      </w:r>
      <w:r>
        <w:rPr>
          <w:szCs w:val="32"/>
        </w:rPr>
        <w:t>以当地传统生产工艺为传承，具有地方特色风味，或可体现广府文化特色，或品质优良，可代表广州品牌形象的预包装</w:t>
      </w:r>
      <w:r>
        <w:rPr>
          <w:rFonts w:hint="eastAsia"/>
          <w:szCs w:val="32"/>
        </w:rPr>
        <w:t>饮料</w:t>
      </w:r>
      <w:r>
        <w:rPr>
          <w:szCs w:val="32"/>
        </w:rPr>
        <w:t>。</w:t>
      </w:r>
    </w:p>
    <w:p>
      <w:pPr>
        <w:spacing w:line="600" w:lineRule="exact"/>
        <w:ind w:firstLine="642" w:firstLineChars="200"/>
        <w:rPr>
          <w:b/>
          <w:szCs w:val="32"/>
        </w:rPr>
      </w:pPr>
      <w:r>
        <w:rPr>
          <w:b/>
          <w:szCs w:val="32"/>
        </w:rPr>
        <w:t>3.2  企业要求</w:t>
      </w:r>
    </w:p>
    <w:p>
      <w:pPr>
        <w:spacing w:line="600" w:lineRule="exact"/>
        <w:ind w:firstLine="640" w:firstLineChars="200"/>
        <w:rPr>
          <w:szCs w:val="32"/>
        </w:rPr>
      </w:pPr>
      <w:r>
        <w:rPr>
          <w:szCs w:val="32"/>
        </w:rPr>
        <w:t>申请</w:t>
      </w:r>
      <w:r>
        <w:rPr>
          <w:rFonts w:hint="eastAsia"/>
          <w:szCs w:val="32"/>
        </w:rPr>
        <w:t>饮料</w:t>
      </w:r>
      <w:r>
        <w:rPr>
          <w:szCs w:val="32"/>
        </w:rPr>
        <w:t>“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b/>
          <w:szCs w:val="32"/>
        </w:rPr>
      </w:pPr>
      <w:r>
        <w:rPr>
          <w:b/>
          <w:szCs w:val="32"/>
        </w:rPr>
        <w:t>3.3  原辅料要求</w:t>
      </w:r>
    </w:p>
    <w:p>
      <w:pPr>
        <w:spacing w:line="600" w:lineRule="exact"/>
        <w:ind w:firstLine="640" w:firstLineChars="200"/>
        <w:rPr>
          <w:color w:val="FF0000"/>
          <w:szCs w:val="32"/>
        </w:rPr>
      </w:pPr>
      <w:r>
        <w:rPr>
          <w:szCs w:val="32"/>
        </w:rPr>
        <w:t>申请“食在广州”评价认证的</w:t>
      </w:r>
      <w:r>
        <w:rPr>
          <w:rFonts w:hint="eastAsia"/>
          <w:szCs w:val="32"/>
        </w:rPr>
        <w:t>饮料</w:t>
      </w:r>
      <w:r>
        <w:rPr>
          <w:szCs w:val="32"/>
        </w:rPr>
        <w:t>的原辅料需符合国家强制性标准及其执行标准的要求，且在满足生产工艺需求下，原则上选用较高质量等级</w:t>
      </w:r>
      <w:bookmarkEnd w:id="0"/>
      <w:r>
        <w:rPr>
          <w:szCs w:val="32"/>
        </w:rPr>
        <w:t>的原辅料。</w:t>
      </w:r>
    </w:p>
    <w:p>
      <w:pPr>
        <w:spacing w:line="600" w:lineRule="exact"/>
        <w:ind w:firstLine="642" w:firstLineChars="200"/>
        <w:rPr>
          <w:b/>
          <w:szCs w:val="32"/>
        </w:rPr>
      </w:pPr>
      <w:bookmarkStart w:id="2" w:name="_Hlk143463840"/>
      <w:r>
        <w:rPr>
          <w:b/>
          <w:szCs w:val="32"/>
        </w:rPr>
        <w:t>3.4  生产工艺要求</w:t>
      </w:r>
    </w:p>
    <w:p>
      <w:pPr>
        <w:spacing w:line="600" w:lineRule="exact"/>
        <w:ind w:firstLine="640" w:firstLineChars="200"/>
        <w:rPr>
          <w:szCs w:val="32"/>
        </w:rPr>
      </w:pPr>
      <w:r>
        <w:rPr>
          <w:szCs w:val="32"/>
        </w:rPr>
        <w:t>认证产品</w:t>
      </w:r>
      <w:r>
        <w:rPr>
          <w:rFonts w:hint="eastAsia"/>
          <w:szCs w:val="32"/>
        </w:rPr>
        <w:t>宜传承</w:t>
      </w:r>
      <w:r>
        <w:rPr>
          <w:szCs w:val="32"/>
        </w:rPr>
        <w:t>当地传统工艺，体现地方文化特色，其生产设备、生产环境、生产工艺流程等应同时符合国家相关法律法规的要求。</w:t>
      </w:r>
    </w:p>
    <w:bookmarkEnd w:id="1"/>
    <w:bookmarkEnd w:id="2"/>
    <w:p>
      <w:pPr>
        <w:spacing w:line="600" w:lineRule="exact"/>
        <w:ind w:firstLine="642" w:firstLineChars="200"/>
        <w:rPr>
          <w:b/>
          <w:szCs w:val="32"/>
        </w:rPr>
      </w:pPr>
      <w:r>
        <w:rPr>
          <w:b/>
          <w:szCs w:val="32"/>
        </w:rPr>
        <w:t>3.5  产品品质要求</w:t>
      </w:r>
    </w:p>
    <w:p>
      <w:pPr>
        <w:spacing w:line="600" w:lineRule="exact"/>
        <w:ind w:firstLine="640" w:firstLineChars="200"/>
        <w:rPr>
          <w:b/>
          <w:szCs w:val="32"/>
        </w:rPr>
      </w:pPr>
      <w:r>
        <w:rPr>
          <w:szCs w:val="32"/>
        </w:rPr>
        <w:t>“食在广州”评价认证的</w:t>
      </w:r>
      <w:r>
        <w:rPr>
          <w:rFonts w:hint="eastAsia"/>
          <w:szCs w:val="32"/>
        </w:rPr>
        <w:t>饮料</w:t>
      </w:r>
      <w:r>
        <w:rPr>
          <w:szCs w:val="32"/>
        </w:rPr>
        <w:t>应具备当地风味和口感特色，品质应符合或优于下列要求。</w:t>
      </w:r>
    </w:p>
    <w:p>
      <w:pPr>
        <w:spacing w:line="600" w:lineRule="exact"/>
        <w:ind w:firstLine="640" w:firstLineChars="200"/>
        <w:rPr>
          <w:bCs/>
          <w:szCs w:val="32"/>
        </w:rPr>
      </w:pPr>
      <w:r>
        <w:rPr>
          <w:bCs/>
          <w:szCs w:val="32"/>
        </w:rPr>
        <w:t>3.5.1 感官指标</w:t>
      </w:r>
    </w:p>
    <w:p>
      <w:pPr>
        <w:spacing w:line="600" w:lineRule="exact"/>
        <w:ind w:firstLine="640" w:firstLineChars="200"/>
        <w:rPr>
          <w:szCs w:val="32"/>
        </w:rPr>
      </w:pPr>
      <w:r>
        <w:rPr>
          <w:rFonts w:hint="eastAsia"/>
          <w:szCs w:val="32"/>
        </w:rPr>
        <w:t>3.5.1.1碳酸饮料</w:t>
      </w:r>
      <w:r>
        <w:rPr>
          <w:szCs w:val="32"/>
        </w:rPr>
        <w:t>的感官指标应符合表</w:t>
      </w:r>
      <w:r>
        <w:rPr>
          <w:rFonts w:hint="eastAsia"/>
          <w:szCs w:val="32"/>
        </w:rPr>
        <w:t>1</w:t>
      </w:r>
      <w:r>
        <w:rPr>
          <w:szCs w:val="32"/>
        </w:rPr>
        <w:t>要求</w:t>
      </w:r>
      <w:r>
        <w:rPr>
          <w:rFonts w:hint="eastAsia"/>
          <w:szCs w:val="32"/>
        </w:rPr>
        <w:t>。</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1碳酸饮料</w:t>
      </w:r>
      <w:r>
        <w:rPr>
          <w:rFonts w:ascii="黑体" w:hAnsi="黑体" w:eastAsia="黑体"/>
          <w:sz w:val="28"/>
          <w:szCs w:val="28"/>
        </w:rPr>
        <w:t>感官指标</w:t>
      </w:r>
    </w:p>
    <w:tbl>
      <w:tblPr>
        <w:tblStyle w:val="9"/>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9"/>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829" w:type="dxa"/>
            <w:tcMar>
              <w:left w:w="57" w:type="dxa"/>
              <w:right w:w="57" w:type="dxa"/>
            </w:tcMar>
            <w:vAlign w:val="center"/>
          </w:tcPr>
          <w:p>
            <w:pPr>
              <w:widowControl/>
              <w:adjustRightInd w:val="0"/>
              <w:snapToGrid w:val="0"/>
              <w:jc w:val="center"/>
              <w:textAlignment w:val="center"/>
              <w:rPr>
                <w:color w:val="000000"/>
                <w:kern w:val="0"/>
                <w:sz w:val="24"/>
                <w:szCs w:val="24"/>
                <w:lang w:bidi="ar"/>
              </w:rPr>
            </w:pPr>
            <w:r>
              <w:rPr>
                <w:color w:val="000000"/>
                <w:kern w:val="0"/>
                <w:sz w:val="24"/>
                <w:szCs w:val="24"/>
                <w:lang w:bidi="ar"/>
              </w:rPr>
              <w:t>项目</w:t>
            </w:r>
          </w:p>
        </w:tc>
        <w:tc>
          <w:tcPr>
            <w:tcW w:w="6826" w:type="dxa"/>
            <w:tcMar>
              <w:left w:w="57" w:type="dxa"/>
              <w:right w:w="57" w:type="dxa"/>
            </w:tcMar>
            <w:vAlign w:val="center"/>
          </w:tcPr>
          <w:p>
            <w:pPr>
              <w:widowControl/>
              <w:adjustRightInd w:val="0"/>
              <w:snapToGrid w:val="0"/>
              <w:jc w:val="center"/>
              <w:textAlignment w:val="center"/>
              <w:rPr>
                <w:color w:val="000000"/>
                <w:kern w:val="0"/>
                <w:sz w:val="24"/>
                <w:szCs w:val="24"/>
                <w:lang w:bidi="ar"/>
              </w:rPr>
            </w:pPr>
            <w:r>
              <w:rPr>
                <w:color w:val="000000"/>
                <w:kern w:val="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829"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色泽</w:t>
            </w:r>
          </w:p>
        </w:tc>
        <w:tc>
          <w:tcPr>
            <w:tcW w:w="6826"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具有产品应有的色泽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829" w:type="dxa"/>
            <w:tcMar>
              <w:left w:w="57" w:type="dxa"/>
              <w:right w:w="57" w:type="dxa"/>
            </w:tcMar>
            <w:vAlign w:val="center"/>
          </w:tcPr>
          <w:p>
            <w:pPr>
              <w:widowControl/>
              <w:adjustRightInd w:val="0"/>
              <w:snapToGrid w:val="0"/>
              <w:jc w:val="left"/>
              <w:textAlignment w:val="center"/>
              <w:rPr>
                <w:color w:val="auto"/>
                <w:kern w:val="0"/>
                <w:sz w:val="24"/>
                <w:szCs w:val="24"/>
                <w:lang w:bidi="ar"/>
              </w:rPr>
            </w:pPr>
            <w:r>
              <w:rPr>
                <w:rFonts w:hint="eastAsia"/>
                <w:color w:val="auto"/>
                <w:kern w:val="0"/>
                <w:sz w:val="24"/>
                <w:szCs w:val="24"/>
                <w:lang w:bidi="ar"/>
              </w:rPr>
              <w:t xml:space="preserve"> </w:t>
            </w:r>
            <w:r>
              <w:rPr>
                <w:color w:val="auto"/>
                <w:kern w:val="0"/>
                <w:sz w:val="24"/>
                <w:szCs w:val="24"/>
                <w:lang w:bidi="ar"/>
              </w:rPr>
              <w:t>滋味、气味</w:t>
            </w:r>
          </w:p>
        </w:tc>
        <w:tc>
          <w:tcPr>
            <w:tcW w:w="6826" w:type="dxa"/>
            <w:tcMar>
              <w:left w:w="57" w:type="dxa"/>
              <w:right w:w="57" w:type="dxa"/>
            </w:tcMar>
            <w:vAlign w:val="center"/>
          </w:tcPr>
          <w:p>
            <w:pPr>
              <w:widowControl/>
              <w:adjustRightInd w:val="0"/>
              <w:snapToGrid w:val="0"/>
              <w:jc w:val="left"/>
              <w:textAlignment w:val="center"/>
              <w:rPr>
                <w:color w:val="auto"/>
                <w:kern w:val="0"/>
                <w:sz w:val="24"/>
                <w:szCs w:val="24"/>
                <w:lang w:bidi="ar"/>
              </w:rPr>
            </w:pPr>
            <w:r>
              <w:rPr>
                <w:rFonts w:hint="eastAsia"/>
                <w:color w:val="auto"/>
                <w:kern w:val="0"/>
                <w:sz w:val="24"/>
                <w:szCs w:val="24"/>
                <w:lang w:bidi="ar"/>
              </w:rPr>
              <w:t>具有产品固有的香味、无异味、无异臭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color w:val="auto"/>
                <w:kern w:val="0"/>
                <w:sz w:val="24"/>
                <w:szCs w:val="24"/>
                <w:lang w:bidi="ar"/>
              </w:rPr>
            </w:pPr>
            <w:r>
              <w:rPr>
                <w:rFonts w:hint="eastAsia"/>
                <w:color w:val="auto"/>
                <w:kern w:val="0"/>
                <w:sz w:val="24"/>
                <w:szCs w:val="24"/>
                <w:lang w:bidi="ar"/>
              </w:rPr>
              <w:t xml:space="preserve"> </w:t>
            </w:r>
            <w:r>
              <w:rPr>
                <w:color w:val="auto"/>
                <w:kern w:val="0"/>
                <w:sz w:val="24"/>
                <w:szCs w:val="24"/>
                <w:lang w:bidi="ar"/>
              </w:rPr>
              <w:t>组织状态</w:t>
            </w:r>
          </w:p>
        </w:tc>
        <w:tc>
          <w:tcPr>
            <w:tcW w:w="6826" w:type="dxa"/>
            <w:tcMar>
              <w:left w:w="57" w:type="dxa"/>
              <w:right w:w="57" w:type="dxa"/>
            </w:tcMar>
            <w:vAlign w:val="center"/>
          </w:tcPr>
          <w:p>
            <w:pPr>
              <w:widowControl/>
              <w:adjustRightInd w:val="0"/>
              <w:snapToGrid w:val="0"/>
              <w:jc w:val="left"/>
              <w:textAlignment w:val="center"/>
              <w:rPr>
                <w:color w:val="auto"/>
                <w:kern w:val="0"/>
                <w:sz w:val="24"/>
                <w:szCs w:val="24"/>
                <w:lang w:bidi="ar"/>
              </w:rPr>
            </w:pPr>
            <w:r>
              <w:rPr>
                <w:rFonts w:hint="eastAsia"/>
                <w:color w:val="auto"/>
                <w:kern w:val="0"/>
                <w:sz w:val="24"/>
                <w:szCs w:val="24"/>
                <w:lang w:bidi="ar"/>
              </w:rPr>
              <w:t>呈均匀一致液体，无正常视力可见异物，长期静置后允许有少量沉淀或絮状物</w:t>
            </w:r>
          </w:p>
        </w:tc>
      </w:tr>
    </w:tbl>
    <w:p>
      <w:pPr>
        <w:spacing w:before="156" w:beforeLines="50" w:line="360" w:lineRule="auto"/>
        <w:jc w:val="left"/>
        <w:rPr>
          <w:rFonts w:ascii="黑体" w:hAnsi="黑体" w:eastAsia="黑体"/>
          <w:sz w:val="28"/>
          <w:szCs w:val="28"/>
        </w:rPr>
      </w:pPr>
      <w:r>
        <w:rPr>
          <w:rFonts w:hint="eastAsia"/>
          <w:szCs w:val="32"/>
        </w:rPr>
        <w:t xml:space="preserve">    3.5.1.2果蔬汁类及其饮料</w:t>
      </w:r>
      <w:r>
        <w:rPr>
          <w:szCs w:val="32"/>
        </w:rPr>
        <w:t>的感官指标应符合表</w:t>
      </w:r>
      <w:r>
        <w:rPr>
          <w:rFonts w:hint="eastAsia"/>
          <w:szCs w:val="32"/>
        </w:rPr>
        <w:t>2</w:t>
      </w:r>
      <w:r>
        <w:rPr>
          <w:szCs w:val="32"/>
        </w:rPr>
        <w:t>要求</w:t>
      </w:r>
      <w:r>
        <w:rPr>
          <w:rFonts w:hint="eastAsia"/>
          <w:szCs w:val="32"/>
        </w:rPr>
        <w:t>。</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2果蔬汁类及其饮料</w:t>
      </w:r>
      <w:r>
        <w:rPr>
          <w:rFonts w:ascii="黑体" w:hAnsi="黑体" w:eastAsia="黑体"/>
          <w:sz w:val="28"/>
          <w:szCs w:val="28"/>
        </w:rPr>
        <w:t>感官指标</w:t>
      </w:r>
    </w:p>
    <w:tbl>
      <w:tblPr>
        <w:tblStyle w:val="9"/>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1"/>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831" w:type="dxa"/>
            <w:tcMar>
              <w:left w:w="57" w:type="dxa"/>
              <w:right w:w="57" w:type="dxa"/>
            </w:tcMar>
            <w:vAlign w:val="center"/>
          </w:tcPr>
          <w:p>
            <w:pPr>
              <w:widowControl/>
              <w:adjustRightInd w:val="0"/>
              <w:snapToGrid w:val="0"/>
              <w:jc w:val="center"/>
              <w:textAlignment w:val="center"/>
              <w:rPr>
                <w:color w:val="000000"/>
                <w:kern w:val="0"/>
                <w:sz w:val="24"/>
                <w:szCs w:val="24"/>
                <w:lang w:bidi="ar"/>
              </w:rPr>
            </w:pPr>
            <w:r>
              <w:rPr>
                <w:color w:val="000000"/>
                <w:kern w:val="0"/>
                <w:sz w:val="24"/>
                <w:szCs w:val="24"/>
                <w:lang w:bidi="ar"/>
              </w:rPr>
              <w:t>项目</w:t>
            </w:r>
          </w:p>
        </w:tc>
        <w:tc>
          <w:tcPr>
            <w:tcW w:w="6824" w:type="dxa"/>
            <w:tcMar>
              <w:left w:w="57" w:type="dxa"/>
              <w:right w:w="57" w:type="dxa"/>
            </w:tcMar>
            <w:vAlign w:val="center"/>
          </w:tcPr>
          <w:p>
            <w:pPr>
              <w:widowControl/>
              <w:adjustRightInd w:val="0"/>
              <w:snapToGrid w:val="0"/>
              <w:jc w:val="center"/>
              <w:textAlignment w:val="center"/>
              <w:rPr>
                <w:color w:val="000000"/>
                <w:kern w:val="0"/>
                <w:sz w:val="24"/>
                <w:szCs w:val="24"/>
                <w:lang w:bidi="ar"/>
              </w:rPr>
            </w:pPr>
            <w:r>
              <w:rPr>
                <w:color w:val="000000"/>
                <w:kern w:val="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1"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色泽</w:t>
            </w:r>
          </w:p>
        </w:tc>
        <w:tc>
          <w:tcPr>
            <w:tcW w:w="6824" w:type="dxa"/>
            <w:tcMar>
              <w:left w:w="57" w:type="dxa"/>
              <w:right w:w="57" w:type="dxa"/>
            </w:tcMar>
            <w:vAlign w:val="center"/>
          </w:tcPr>
          <w:p>
            <w:pPr>
              <w:widowControl/>
              <w:adjustRightInd w:val="0"/>
              <w:snapToGrid w:val="0"/>
              <w:jc w:val="left"/>
              <w:textAlignment w:val="center"/>
              <w:rPr>
                <w:kern w:val="0"/>
                <w:sz w:val="24"/>
                <w:szCs w:val="24"/>
                <w:lang w:bidi="ar"/>
              </w:rPr>
            </w:pPr>
            <w:r>
              <w:rPr>
                <w:rFonts w:hint="eastAsia"/>
                <w:kern w:val="0"/>
                <w:sz w:val="24"/>
                <w:szCs w:val="24"/>
                <w:lang w:bidi="ar"/>
              </w:rPr>
              <w:t>具有所标示的该种（或几种）水果、蔬菜制成的汁液（浆）相符的色泽，或具有与添加成分相符的色泽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1"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滋味、气味</w:t>
            </w:r>
          </w:p>
        </w:tc>
        <w:tc>
          <w:tcPr>
            <w:tcW w:w="6824" w:type="dxa"/>
            <w:tcMar>
              <w:left w:w="57" w:type="dxa"/>
              <w:right w:w="57" w:type="dxa"/>
            </w:tcMar>
            <w:vAlign w:val="center"/>
          </w:tcPr>
          <w:p>
            <w:pPr>
              <w:widowControl/>
              <w:adjustRightInd w:val="0"/>
              <w:snapToGrid w:val="0"/>
              <w:jc w:val="left"/>
              <w:textAlignment w:val="center"/>
              <w:rPr>
                <w:kern w:val="0"/>
                <w:sz w:val="24"/>
                <w:szCs w:val="24"/>
                <w:lang w:bidi="ar"/>
              </w:rPr>
            </w:pPr>
            <w:r>
              <w:rPr>
                <w:rFonts w:hint="eastAsia"/>
                <w:kern w:val="0"/>
                <w:sz w:val="24"/>
                <w:szCs w:val="24"/>
                <w:lang w:bidi="ar"/>
              </w:rPr>
              <w:t>具有所标示的该种（或几种）水果、蔬菜制成的汁液（浆）应有的滋味和气味，或具有与添加成分相符的滋味和气味；无异味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1"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组织状态</w:t>
            </w:r>
          </w:p>
        </w:tc>
        <w:tc>
          <w:tcPr>
            <w:tcW w:w="6824" w:type="dxa"/>
            <w:tcMar>
              <w:left w:w="57" w:type="dxa"/>
              <w:right w:w="57" w:type="dxa"/>
            </w:tcMar>
            <w:vAlign w:val="center"/>
          </w:tcPr>
          <w:p>
            <w:pPr>
              <w:widowControl/>
              <w:adjustRightInd w:val="0"/>
              <w:snapToGrid w:val="0"/>
              <w:jc w:val="left"/>
              <w:textAlignment w:val="center"/>
              <w:rPr>
                <w:kern w:val="0"/>
                <w:sz w:val="24"/>
                <w:szCs w:val="24"/>
                <w:lang w:bidi="ar"/>
              </w:rPr>
            </w:pPr>
            <w:r>
              <w:rPr>
                <w:rFonts w:hint="eastAsia"/>
                <w:kern w:val="0"/>
                <w:sz w:val="24"/>
                <w:szCs w:val="24"/>
                <w:lang w:bidi="ar"/>
              </w:rPr>
              <w:t>无外来杂质</w:t>
            </w:r>
          </w:p>
        </w:tc>
      </w:tr>
    </w:tbl>
    <w:p>
      <w:pPr>
        <w:spacing w:before="156" w:beforeLines="50" w:line="360" w:lineRule="auto"/>
        <w:jc w:val="left"/>
        <w:rPr>
          <w:rFonts w:ascii="黑体" w:hAnsi="黑体" w:eastAsia="黑体"/>
          <w:sz w:val="28"/>
          <w:szCs w:val="28"/>
        </w:rPr>
      </w:pPr>
      <w:r>
        <w:rPr>
          <w:rFonts w:hint="eastAsia"/>
          <w:szCs w:val="32"/>
        </w:rPr>
        <w:t xml:space="preserve">    3.5.1.3植物饮料</w:t>
      </w:r>
      <w:r>
        <w:rPr>
          <w:szCs w:val="32"/>
        </w:rPr>
        <w:t>的感官指标应符合表</w:t>
      </w:r>
      <w:r>
        <w:rPr>
          <w:rFonts w:hint="eastAsia"/>
          <w:szCs w:val="32"/>
        </w:rPr>
        <w:t>3</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3植物饮料</w:t>
      </w:r>
      <w:r>
        <w:rPr>
          <w:rFonts w:ascii="黑体" w:hAnsi="黑体" w:eastAsia="黑体"/>
          <w:sz w:val="28"/>
          <w:szCs w:val="28"/>
        </w:rPr>
        <w:t>感官指标</w:t>
      </w:r>
    </w:p>
    <w:tbl>
      <w:tblPr>
        <w:tblStyle w:val="9"/>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9"/>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29" w:type="dxa"/>
            <w:tcMar>
              <w:left w:w="57" w:type="dxa"/>
              <w:right w:w="57" w:type="dxa"/>
            </w:tcMar>
            <w:vAlign w:val="center"/>
          </w:tcPr>
          <w:p>
            <w:pPr>
              <w:widowControl/>
              <w:adjustRightInd w:val="0"/>
              <w:snapToGrid w:val="0"/>
              <w:jc w:val="center"/>
              <w:textAlignment w:val="center"/>
              <w:rPr>
                <w:color w:val="000000"/>
                <w:kern w:val="0"/>
                <w:sz w:val="24"/>
                <w:szCs w:val="24"/>
                <w:lang w:bidi="ar"/>
              </w:rPr>
            </w:pPr>
            <w:r>
              <w:rPr>
                <w:color w:val="000000"/>
                <w:kern w:val="0"/>
                <w:sz w:val="24"/>
                <w:szCs w:val="24"/>
                <w:lang w:bidi="ar"/>
              </w:rPr>
              <w:t>项目</w:t>
            </w:r>
          </w:p>
        </w:tc>
        <w:tc>
          <w:tcPr>
            <w:tcW w:w="6826" w:type="dxa"/>
            <w:tcMar>
              <w:left w:w="57" w:type="dxa"/>
              <w:right w:w="57" w:type="dxa"/>
            </w:tcMar>
            <w:vAlign w:val="center"/>
          </w:tcPr>
          <w:p>
            <w:pPr>
              <w:widowControl/>
              <w:adjustRightInd w:val="0"/>
              <w:snapToGrid w:val="0"/>
              <w:jc w:val="center"/>
              <w:textAlignment w:val="center"/>
              <w:rPr>
                <w:color w:val="000000"/>
                <w:kern w:val="0"/>
                <w:sz w:val="24"/>
                <w:szCs w:val="24"/>
                <w:lang w:bidi="ar"/>
              </w:rPr>
            </w:pPr>
            <w:r>
              <w:rPr>
                <w:color w:val="000000"/>
                <w:kern w:val="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色泽</w:t>
            </w:r>
          </w:p>
        </w:tc>
        <w:tc>
          <w:tcPr>
            <w:tcW w:w="6826"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具有标签标示的植物原料制成的饮料所特有的色泽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滋味、气味</w:t>
            </w:r>
          </w:p>
        </w:tc>
        <w:tc>
          <w:tcPr>
            <w:tcW w:w="6826" w:type="dxa"/>
            <w:tcMar>
              <w:left w:w="57" w:type="dxa"/>
              <w:right w:w="57" w:type="dxa"/>
            </w:tcMar>
            <w:vAlign w:val="center"/>
          </w:tcPr>
          <w:p>
            <w:pPr>
              <w:widowControl/>
              <w:adjustRightInd w:val="0"/>
              <w:snapToGrid w:val="0"/>
              <w:jc w:val="left"/>
              <w:textAlignment w:val="center"/>
              <w:rPr>
                <w:kern w:val="0"/>
                <w:sz w:val="24"/>
                <w:szCs w:val="24"/>
                <w:lang w:bidi="ar"/>
              </w:rPr>
            </w:pPr>
            <w:r>
              <w:rPr>
                <w:rFonts w:hint="eastAsia"/>
                <w:kern w:val="0"/>
                <w:sz w:val="24"/>
                <w:szCs w:val="24"/>
                <w:lang w:bidi="ar"/>
              </w:rPr>
              <w:t>具有标签标示的植物原料制成的饮料所特有的滋味及气味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组织状态</w:t>
            </w:r>
          </w:p>
        </w:tc>
        <w:tc>
          <w:tcPr>
            <w:tcW w:w="6826" w:type="dxa"/>
            <w:tcMar>
              <w:left w:w="57" w:type="dxa"/>
              <w:right w:w="57" w:type="dxa"/>
            </w:tcMar>
            <w:vAlign w:val="center"/>
          </w:tcPr>
          <w:p>
            <w:pPr>
              <w:widowControl/>
              <w:adjustRightInd w:val="0"/>
              <w:snapToGrid w:val="0"/>
              <w:jc w:val="left"/>
              <w:textAlignment w:val="center"/>
              <w:rPr>
                <w:kern w:val="0"/>
                <w:sz w:val="24"/>
                <w:szCs w:val="24"/>
                <w:lang w:bidi="ar"/>
              </w:rPr>
            </w:pPr>
            <w:r>
              <w:rPr>
                <w:rFonts w:hint="eastAsia"/>
                <w:kern w:val="0"/>
                <w:sz w:val="24"/>
                <w:szCs w:val="24"/>
                <w:lang w:bidi="ar"/>
              </w:rPr>
              <w:t>澄清的产品均匀透明，放置后允许有少量沉淀或絮状物；浑浊的产品无明显分层，状态均匀，允许有少量沉淀或弱凝胶；带谷粒、果粒等的产品允许有相应的粒状物沉淀；无正常视力可见异物</w:t>
            </w:r>
          </w:p>
        </w:tc>
      </w:tr>
    </w:tbl>
    <w:p>
      <w:pPr>
        <w:spacing w:before="156" w:beforeLines="50" w:line="600" w:lineRule="exact"/>
        <w:ind w:firstLine="640" w:firstLineChars="200"/>
        <w:rPr>
          <w:bCs/>
          <w:szCs w:val="32"/>
        </w:rPr>
      </w:pPr>
      <w:r>
        <w:rPr>
          <w:bCs/>
          <w:szCs w:val="32"/>
        </w:rPr>
        <w:t>3.5.2 理化品质指标</w:t>
      </w:r>
    </w:p>
    <w:p>
      <w:pPr>
        <w:spacing w:line="600" w:lineRule="exact"/>
        <w:ind w:firstLine="640" w:firstLineChars="200"/>
        <w:rPr>
          <w:sz w:val="28"/>
          <w:szCs w:val="28"/>
        </w:rPr>
      </w:pPr>
      <w:r>
        <w:rPr>
          <w:rFonts w:hint="eastAsia"/>
          <w:szCs w:val="32"/>
        </w:rPr>
        <w:t>3.5.2.1碳酸饮料</w:t>
      </w:r>
      <w:r>
        <w:rPr>
          <w:szCs w:val="32"/>
        </w:rPr>
        <w:t>的理化品质指标应符合表</w:t>
      </w:r>
      <w:r>
        <w:rPr>
          <w:rFonts w:hint="eastAsia"/>
          <w:szCs w:val="32"/>
        </w:rPr>
        <w:t>4</w:t>
      </w:r>
      <w:r>
        <w:rPr>
          <w:szCs w:val="32"/>
        </w:rPr>
        <w:t>要求</w:t>
      </w:r>
      <w:r>
        <w:rPr>
          <w:rFonts w:hint="eastAsia"/>
          <w:szCs w:val="32"/>
        </w:rPr>
        <w:t>。</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4</w:t>
      </w:r>
      <w:r>
        <w:rPr>
          <w:rFonts w:ascii="黑体" w:hAnsi="黑体" w:eastAsia="黑体"/>
          <w:sz w:val="28"/>
          <w:szCs w:val="28"/>
        </w:rPr>
        <w:t xml:space="preserve"> </w:t>
      </w:r>
      <w:r>
        <w:rPr>
          <w:rFonts w:hint="eastAsia" w:ascii="黑体" w:hAnsi="黑体" w:eastAsia="黑体"/>
          <w:sz w:val="28"/>
          <w:szCs w:val="28"/>
        </w:rPr>
        <w:t>碳酸饮料</w:t>
      </w:r>
      <w:r>
        <w:rPr>
          <w:rFonts w:ascii="黑体" w:hAnsi="黑体" w:eastAsia="黑体"/>
          <w:sz w:val="28"/>
          <w:szCs w:val="28"/>
        </w:rPr>
        <w:t>理化品质指标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7"/>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Header/>
          <w:jc w:val="center"/>
        </w:trPr>
        <w:tc>
          <w:tcPr>
            <w:tcW w:w="5387" w:type="dxa"/>
            <w:tcMar>
              <w:left w:w="57" w:type="dxa"/>
              <w:right w:w="57" w:type="dxa"/>
            </w:tcMar>
            <w:vAlign w:val="center"/>
          </w:tcPr>
          <w:p>
            <w:pPr>
              <w:jc w:val="center"/>
              <w:textAlignment w:val="center"/>
              <w:rPr>
                <w:rFonts w:ascii="仿宋_GB2312" w:hAnsi="方正仿宋_GB2312" w:cs="方正仿宋_GB2312"/>
                <w:color w:val="000000" w:themeColor="text1"/>
                <w:kern w:val="0"/>
                <w:sz w:val="24"/>
                <w:szCs w:val="24"/>
                <w:lang w:bidi="ar"/>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项目</w:t>
            </w:r>
          </w:p>
        </w:tc>
        <w:tc>
          <w:tcPr>
            <w:tcW w:w="3197" w:type="dxa"/>
            <w:tcMar>
              <w:left w:w="57" w:type="dxa"/>
              <w:right w:w="57" w:type="dxa"/>
            </w:tcMar>
            <w:vAlign w:val="center"/>
          </w:tcPr>
          <w:p>
            <w:pPr>
              <w:widowControl/>
              <w:jc w:val="center"/>
              <w:textAlignment w:val="center"/>
              <w:rPr>
                <w:rFonts w:ascii="仿宋_GB2312" w:hAnsi="方正仿宋_GB2312" w:cs="方正仿宋_GB2312"/>
                <w:color w:val="000000" w:themeColor="text1"/>
                <w:kern w:val="0"/>
                <w:sz w:val="24"/>
                <w:szCs w:val="24"/>
                <w:lang w:bidi="ar"/>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87" w:type="dxa"/>
            <w:tcMar>
              <w:left w:w="57" w:type="dxa"/>
              <w:right w:w="57" w:type="dxa"/>
            </w:tcMar>
            <w:vAlign w:val="center"/>
          </w:tcPr>
          <w:p>
            <w:pPr>
              <w:widowControl/>
              <w:jc w:val="left"/>
              <w:textAlignment w:val="center"/>
              <w:rPr>
                <w:rFonts w:ascii="仿宋_GB2312" w:hAnsi="方正仿宋_GB2312" w:cs="方正仿宋_GB2312"/>
                <w:color w:val="000000" w:themeColor="text1"/>
                <w:sz w:val="24"/>
                <w:szCs w:val="24"/>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 xml:space="preserve"> 可溶性固形物（20℃折光法），%           ≥</w:t>
            </w:r>
          </w:p>
        </w:tc>
        <w:tc>
          <w:tcPr>
            <w:tcW w:w="3197" w:type="dxa"/>
            <w:tcMar>
              <w:left w:w="57" w:type="dxa"/>
              <w:right w:w="57" w:type="dxa"/>
            </w:tcMar>
            <w:vAlign w:val="center"/>
          </w:tcPr>
          <w:p>
            <w:pPr>
              <w:widowControl/>
              <w:jc w:val="center"/>
              <w:textAlignment w:val="center"/>
              <w:rPr>
                <w:rFonts w:ascii="仿宋_GB2312" w:hAnsi="方正仿宋_GB2312" w:cs="方正仿宋_GB2312"/>
                <w:color w:val="000000" w:themeColor="text1"/>
                <w:sz w:val="24"/>
                <w:szCs w:val="24"/>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87" w:type="dxa"/>
            <w:tcMar>
              <w:left w:w="57" w:type="dxa"/>
              <w:right w:w="57" w:type="dxa"/>
            </w:tcMar>
            <w:vAlign w:val="center"/>
          </w:tcPr>
          <w:p>
            <w:pPr>
              <w:widowControl/>
              <w:jc w:val="left"/>
              <w:textAlignment w:val="center"/>
              <w:rPr>
                <w:rFonts w:ascii="仿宋_GB2312" w:hAnsi="方正仿宋_GB2312" w:cs="方正仿宋_GB2312"/>
                <w:color w:val="000000" w:themeColor="text1"/>
                <w:sz w:val="24"/>
                <w:szCs w:val="24"/>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 xml:space="preserve"> 二氧化碳气容量（20℃），倍              ≥</w:t>
            </w:r>
          </w:p>
        </w:tc>
        <w:tc>
          <w:tcPr>
            <w:tcW w:w="3197" w:type="dxa"/>
            <w:tcMar>
              <w:left w:w="57" w:type="dxa"/>
              <w:right w:w="57" w:type="dxa"/>
            </w:tcMar>
            <w:vAlign w:val="center"/>
          </w:tcPr>
          <w:p>
            <w:pPr>
              <w:widowControl/>
              <w:jc w:val="center"/>
              <w:textAlignment w:val="center"/>
              <w:rPr>
                <w:rFonts w:ascii="仿宋_GB2312" w:hAnsi="方正仿宋_GB2312" w:cs="方正仿宋_GB2312"/>
                <w:color w:val="000000" w:themeColor="text1"/>
                <w:sz w:val="24"/>
                <w:szCs w:val="24"/>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87" w:type="dxa"/>
            <w:tcMar>
              <w:left w:w="57" w:type="dxa"/>
              <w:right w:w="57" w:type="dxa"/>
            </w:tcMar>
            <w:vAlign w:val="center"/>
          </w:tcPr>
          <w:p>
            <w:pPr>
              <w:widowControl/>
              <w:jc w:val="left"/>
              <w:textAlignment w:val="center"/>
              <w:rPr>
                <w:rFonts w:ascii="仿宋_GB2312" w:hAnsi="方正仿宋_GB2312" w:cs="方正仿宋_GB2312"/>
                <w:color w:val="000000" w:themeColor="text1"/>
                <w:sz w:val="24"/>
                <w:szCs w:val="24"/>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 xml:space="preserve"> pH值 </w:t>
            </w:r>
          </w:p>
        </w:tc>
        <w:tc>
          <w:tcPr>
            <w:tcW w:w="3197" w:type="dxa"/>
            <w:tcMar>
              <w:left w:w="57" w:type="dxa"/>
              <w:right w:w="57" w:type="dxa"/>
            </w:tcMar>
            <w:vAlign w:val="center"/>
          </w:tcPr>
          <w:p>
            <w:pPr>
              <w:widowControl/>
              <w:jc w:val="center"/>
              <w:textAlignment w:val="center"/>
              <w:rPr>
                <w:rFonts w:ascii="仿宋_GB2312" w:hAnsi="方正仿宋_GB2312" w:cs="方正仿宋_GB2312"/>
                <w:color w:val="000000" w:themeColor="text1"/>
                <w:sz w:val="24"/>
                <w:szCs w:val="24"/>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 xml:space="preserve">2.0 </w:t>
            </w:r>
            <w:r>
              <w:rPr>
                <w:color w:val="000000" w:themeColor="text1"/>
                <w:kern w:val="0"/>
                <w:sz w:val="24"/>
                <w:szCs w:val="24"/>
                <w:lang w:bidi="ar"/>
                <w14:textFill>
                  <w14:solidFill>
                    <w14:schemeClr w14:val="tx1"/>
                  </w14:solidFill>
                </w14:textFill>
              </w:rPr>
              <w:t>~</w:t>
            </w:r>
            <w:r>
              <w:rPr>
                <w:rFonts w:hint="eastAsia" w:ascii="仿宋_GB2312" w:hAnsi="方正仿宋_GB2312" w:cs="方正仿宋_GB2312"/>
                <w:color w:val="000000" w:themeColor="text1"/>
                <w:kern w:val="0"/>
                <w:sz w:val="24"/>
                <w:szCs w:val="24"/>
                <w:lang w:bidi="ar"/>
                <w14:textFill>
                  <w14:solidFill>
                    <w14:schemeClr w14:val="tx1"/>
                  </w14:solidFill>
                </w14:textFill>
              </w:rPr>
              <w:t xml:space="preserv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87" w:type="dxa"/>
            <w:tcMar>
              <w:left w:w="57" w:type="dxa"/>
              <w:right w:w="57" w:type="dxa"/>
            </w:tcMar>
            <w:vAlign w:val="center"/>
          </w:tcPr>
          <w:p>
            <w:pPr>
              <w:widowControl/>
              <w:jc w:val="left"/>
              <w:textAlignment w:val="center"/>
              <w:rPr>
                <w:rFonts w:ascii="仿宋_GB2312" w:hAnsi="方正仿宋_GB2312" w:cs="方正仿宋_GB2312"/>
                <w:color w:val="000000" w:themeColor="text1"/>
                <w:kern w:val="0"/>
                <w:sz w:val="24"/>
                <w:szCs w:val="24"/>
                <w:lang w:bidi="ar"/>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 xml:space="preserve"> 果汁含量（质量分数）</w:t>
            </w:r>
            <w:r>
              <w:rPr>
                <w:rFonts w:hint="eastAsia" w:ascii="仿宋_GB2312" w:hAnsi="方正仿宋_GB2312" w:cs="方正仿宋_GB2312"/>
                <w:color w:val="000000" w:themeColor="text1"/>
                <w:kern w:val="0"/>
                <w:sz w:val="24"/>
                <w:szCs w:val="24"/>
                <w:vertAlign w:val="superscript"/>
                <w:lang w:bidi="ar"/>
                <w14:textFill>
                  <w14:solidFill>
                    <w14:schemeClr w14:val="tx1"/>
                  </w14:solidFill>
                </w14:textFill>
              </w:rPr>
              <w:t>a</w:t>
            </w:r>
            <w:r>
              <w:rPr>
                <w:rFonts w:hint="eastAsia" w:ascii="仿宋_GB2312" w:hAnsi="方正仿宋_GB2312" w:cs="方正仿宋_GB2312"/>
                <w:color w:val="000000" w:themeColor="text1"/>
                <w:kern w:val="0"/>
                <w:sz w:val="24"/>
                <w:szCs w:val="24"/>
                <w:lang w:bidi="ar"/>
                <w14:textFill>
                  <w14:solidFill>
                    <w14:schemeClr w14:val="tx1"/>
                  </w14:solidFill>
                </w14:textFill>
              </w:rPr>
              <w:t>，%               ≥</w:t>
            </w:r>
          </w:p>
        </w:tc>
        <w:tc>
          <w:tcPr>
            <w:tcW w:w="3197" w:type="dxa"/>
            <w:tcMar>
              <w:left w:w="57" w:type="dxa"/>
              <w:right w:w="57" w:type="dxa"/>
            </w:tcMar>
            <w:vAlign w:val="center"/>
          </w:tcPr>
          <w:p>
            <w:pPr>
              <w:widowControl/>
              <w:jc w:val="center"/>
              <w:textAlignment w:val="center"/>
              <w:rPr>
                <w:rFonts w:ascii="仿宋_GB2312" w:hAnsi="方正仿宋_GB2312" w:cs="方正仿宋_GB2312"/>
                <w:color w:val="000000" w:themeColor="text1"/>
                <w:kern w:val="0"/>
                <w:sz w:val="24"/>
                <w:szCs w:val="24"/>
                <w:lang w:bidi="ar"/>
                <w14:textFill>
                  <w14:solidFill>
                    <w14:schemeClr w14:val="tx1"/>
                  </w14:solidFill>
                </w14:textFill>
              </w:rPr>
            </w:pPr>
            <w:r>
              <w:rPr>
                <w:rFonts w:hint="eastAsia" w:ascii="仿宋_GB2312" w:hAnsi="方正仿宋_GB2312" w:cs="方正仿宋_GB2312"/>
                <w:color w:val="000000" w:themeColor="text1"/>
                <w:kern w:val="0"/>
                <w:sz w:val="24"/>
                <w:szCs w:val="24"/>
                <w:lang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84" w:type="dxa"/>
            <w:gridSpan w:val="2"/>
            <w:tcMar>
              <w:left w:w="57" w:type="dxa"/>
              <w:right w:w="57" w:type="dxa"/>
            </w:tcMar>
            <w:vAlign w:val="center"/>
          </w:tcPr>
          <w:p>
            <w:pPr>
              <w:widowControl/>
              <w:adjustRightInd w:val="0"/>
              <w:snapToGrid w:val="0"/>
              <w:textAlignment w:val="center"/>
              <w:rPr>
                <w:rFonts w:ascii="仿宋_GB2312" w:hAnsi="方正仿宋_GB2312" w:cs="方正仿宋_GB2312"/>
                <w:color w:val="000000" w:themeColor="text1"/>
                <w:kern w:val="0"/>
                <w:sz w:val="24"/>
                <w:szCs w:val="24"/>
                <w:lang w:bidi="ar"/>
                <w14:textFill>
                  <w14:solidFill>
                    <w14:schemeClr w14:val="tx1"/>
                  </w14:solidFill>
                </w14:textFill>
              </w:rPr>
            </w:pPr>
            <w:r>
              <w:rPr>
                <w:rFonts w:hint="eastAsia" w:ascii="仿宋_GB2312" w:hAnsi="方正仿宋_GB2312" w:cs="方正仿宋_GB2312"/>
                <w:color w:val="000000" w:themeColor="text1"/>
                <w:kern w:val="0"/>
                <w:sz w:val="24"/>
                <w:szCs w:val="24"/>
                <w:vertAlign w:val="superscript"/>
                <w:lang w:bidi="ar"/>
                <w14:textFill>
                  <w14:solidFill>
                    <w14:schemeClr w14:val="tx1"/>
                  </w14:solidFill>
                </w14:textFill>
              </w:rPr>
              <w:t xml:space="preserve">a </w:t>
            </w:r>
            <w:r>
              <w:rPr>
                <w:rFonts w:hint="eastAsia" w:ascii="仿宋_GB2312" w:hAnsi="方正仿宋_GB2312" w:cs="方正仿宋_GB2312"/>
                <w:color w:val="000000" w:themeColor="text1"/>
                <w:kern w:val="0"/>
                <w:sz w:val="24"/>
                <w:szCs w:val="24"/>
                <w:lang w:bidi="ar"/>
                <w14:textFill>
                  <w14:solidFill>
                    <w14:schemeClr w14:val="tx1"/>
                  </w14:solidFill>
                </w14:textFill>
              </w:rPr>
              <w:t>适用于果汁型碳酸饮料</w:t>
            </w:r>
          </w:p>
        </w:tc>
      </w:tr>
    </w:tbl>
    <w:p>
      <w:pPr>
        <w:spacing w:before="156" w:beforeLines="50" w:line="360" w:lineRule="auto"/>
        <w:jc w:val="center"/>
        <w:rPr>
          <w:rFonts w:ascii="黑体" w:hAnsi="黑体" w:eastAsia="黑体"/>
          <w:sz w:val="28"/>
          <w:szCs w:val="28"/>
        </w:rPr>
      </w:pPr>
      <w:r>
        <w:rPr>
          <w:rFonts w:hint="eastAsia"/>
          <w:szCs w:val="32"/>
        </w:rPr>
        <w:t>3.5.2.2果蔬汁类及其饮料</w:t>
      </w:r>
      <w:r>
        <w:rPr>
          <w:szCs w:val="32"/>
        </w:rPr>
        <w:t>的理化品质指标应符合表</w:t>
      </w:r>
      <w:r>
        <w:rPr>
          <w:rFonts w:hint="eastAsia"/>
          <w:szCs w:val="32"/>
        </w:rPr>
        <w:t>5</w:t>
      </w:r>
      <w:r>
        <w:rPr>
          <w:szCs w:val="32"/>
        </w:rPr>
        <w:t>要求</w:t>
      </w:r>
      <w:r>
        <w:rPr>
          <w:rFonts w:hint="eastAsia"/>
          <w:szCs w:val="32"/>
        </w:rPr>
        <w:t>。</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5</w:t>
      </w:r>
      <w:r>
        <w:rPr>
          <w:rFonts w:ascii="黑体" w:hAnsi="黑体" w:eastAsia="黑体"/>
          <w:sz w:val="28"/>
          <w:szCs w:val="28"/>
        </w:rPr>
        <w:t xml:space="preserve"> </w:t>
      </w:r>
      <w:r>
        <w:rPr>
          <w:rFonts w:hint="eastAsia" w:ascii="黑体" w:hAnsi="黑体" w:eastAsia="黑体"/>
          <w:sz w:val="28"/>
          <w:szCs w:val="28"/>
        </w:rPr>
        <w:t>果蔬汁类及其饮料</w:t>
      </w:r>
      <w:r>
        <w:rPr>
          <w:rFonts w:ascii="黑体" w:hAnsi="黑体" w:eastAsia="黑体"/>
          <w:sz w:val="28"/>
          <w:szCs w:val="28"/>
        </w:rPr>
        <w:t>理化品质指标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827"/>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pPr>
              <w:widowControl/>
              <w:adjustRightInd w:val="0"/>
              <w:snapToGrid w:val="0"/>
              <w:jc w:val="center"/>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产品类别</w:t>
            </w:r>
          </w:p>
        </w:tc>
        <w:tc>
          <w:tcPr>
            <w:tcW w:w="3827" w:type="dxa"/>
            <w:vAlign w:val="center"/>
          </w:tcPr>
          <w:p>
            <w:pPr>
              <w:widowControl/>
              <w:adjustRightInd w:val="0"/>
              <w:snapToGrid w:val="0"/>
              <w:jc w:val="center"/>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项目</w:t>
            </w:r>
          </w:p>
        </w:tc>
        <w:tc>
          <w:tcPr>
            <w:tcW w:w="2285" w:type="dxa"/>
            <w:vAlign w:val="center"/>
          </w:tcPr>
          <w:p>
            <w:pPr>
              <w:widowControl/>
              <w:adjustRightInd w:val="0"/>
              <w:snapToGrid w:val="0"/>
              <w:jc w:val="center"/>
              <w:textAlignment w:val="center"/>
              <w:rPr>
                <w:rFonts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果蔬汁(浆)</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果汁(浆)或蔬菜汁(浆)含量(质量分数)，%</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浓缩果蔬汁(浆)</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可溶性固形物的含量与原汁(浆)的可溶性固形物含量之比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果汁饮料</w:t>
            </w:r>
          </w:p>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复合果蔬汁(浆)饮料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果汁(浆)或蔬菜汁(浆)含量(质量分数) ，%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蔬菜汁饮料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蔬菜汁(浆)含量(质量分数)，%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果肉(浆)饮料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果浆含量(质量分数)，%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果蔬汁饮料浓浆</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 xml:space="preserve">果汁(浆)或蔬菜汁(浆)含量(质量分数) ，%                    ≥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10（按标签标示的稀释倍数稀释后）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发酵果蔬汁饮料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经发酵后的液体的添加量折合成果蔬汁（浆）(质量分数)，%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水果饮料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 xml:space="preserve">果汁(浆) (质量分数) ，%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≥5且＜10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果蔬汁类及其饮料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锌、铜、铁总和</w:t>
            </w:r>
            <w:r>
              <w:rPr>
                <w:rFonts w:hint="eastAsia" w:ascii="仿宋_GB2312" w:hAnsi="仿宋_GB2312" w:cs="仿宋_GB2312"/>
                <w:szCs w:val="24"/>
                <w:vertAlign w:val="superscript"/>
              </w:rPr>
              <w:t>a</w:t>
            </w:r>
            <w:r>
              <w:rPr>
                <w:rFonts w:hint="eastAsia" w:ascii="仿宋_GB2312" w:hAnsi="仿宋_GB2312" w:cs="仿宋_GB2312"/>
                <w:szCs w:val="24"/>
              </w:rPr>
              <w:t>，mg/L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果蔬汁类及其饮料</w:t>
            </w:r>
          </w:p>
        </w:tc>
        <w:tc>
          <w:tcPr>
            <w:tcW w:w="3827" w:type="dxa"/>
            <w:vAlign w:val="center"/>
          </w:tcPr>
          <w:p>
            <w:pPr>
              <w:pStyle w:val="7"/>
              <w:widowControl/>
              <w:spacing w:beforeAutospacing="0" w:afterAutospacing="0" w:line="360" w:lineRule="auto"/>
              <w:rPr>
                <w:rFonts w:ascii="仿宋_GB2312" w:hAnsi="仿宋_GB2312" w:cs="仿宋_GB2312"/>
                <w:szCs w:val="24"/>
              </w:rPr>
            </w:pPr>
            <w:r>
              <w:rPr>
                <w:rFonts w:hint="eastAsia" w:ascii="仿宋_GB2312" w:hAnsi="仿宋_GB2312" w:cs="仿宋_GB2312"/>
                <w:szCs w:val="24"/>
              </w:rPr>
              <w:t>氰化物（以HCN计）</w:t>
            </w:r>
            <w:r>
              <w:rPr>
                <w:rFonts w:hint="eastAsia" w:ascii="仿宋_GB2312" w:hAnsi="仿宋_GB2312" w:cs="仿宋_GB2312"/>
                <w:szCs w:val="24"/>
                <w:vertAlign w:val="superscript"/>
              </w:rPr>
              <w:t>b</w:t>
            </w:r>
            <w:r>
              <w:rPr>
                <w:rFonts w:hint="eastAsia" w:ascii="仿宋_GB2312" w:hAnsi="仿宋_GB2312" w:cs="仿宋_GB2312"/>
                <w:szCs w:val="24"/>
              </w:rPr>
              <w:t>，mg/L    ≤</w:t>
            </w:r>
          </w:p>
        </w:tc>
        <w:tc>
          <w:tcPr>
            <w:tcW w:w="2285" w:type="dxa"/>
            <w:vAlign w:val="center"/>
          </w:tcPr>
          <w:p>
            <w:pPr>
              <w:pStyle w:val="7"/>
              <w:widowControl/>
              <w:spacing w:beforeAutospacing="0" w:afterAutospacing="0" w:line="360" w:lineRule="auto"/>
              <w:jc w:val="center"/>
              <w:rPr>
                <w:rFonts w:ascii="仿宋_GB2312" w:hAnsi="仿宋_GB2312" w:cs="仿宋_GB2312"/>
                <w:szCs w:val="24"/>
              </w:rPr>
            </w:pPr>
            <w:r>
              <w:rPr>
                <w:rFonts w:hint="eastAsia" w:ascii="仿宋_GB2312" w:hAnsi="仿宋_GB2312" w:cs="仿宋_GB2312"/>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gridSpan w:val="3"/>
            <w:vAlign w:val="center"/>
          </w:tcPr>
          <w:p>
            <w:pPr>
              <w:pStyle w:val="7"/>
              <w:widowControl/>
              <w:spacing w:beforeAutospacing="0" w:afterAutospacing="0"/>
            </w:pPr>
            <w:r>
              <w:t>注1</w:t>
            </w:r>
            <w:r>
              <w:rPr>
                <w:rFonts w:hint="eastAsia"/>
              </w:rPr>
              <w:t>：</w:t>
            </w:r>
            <w:r>
              <w:t>可溶性固形物含量不含添加糖</w:t>
            </w:r>
            <w:r>
              <w:rPr>
                <w:rFonts w:hint="eastAsia" w:ascii="仿宋_GB2312" w:hAnsi="仿宋_GB2312" w:cs="仿宋_GB2312"/>
                <w:szCs w:val="24"/>
              </w:rPr>
              <w:t>（</w:t>
            </w:r>
            <w:r>
              <w:t>包括食糖、淀粉糖</w:t>
            </w:r>
            <w:r>
              <w:rPr>
                <w:rFonts w:hint="eastAsia" w:ascii="仿宋_GB2312" w:hAnsi="仿宋_GB2312" w:cs="仿宋_GB2312"/>
                <w:szCs w:val="24"/>
              </w:rPr>
              <w:t>)</w:t>
            </w:r>
            <w:r>
              <w:t>、蜂蜜等带</w:t>
            </w:r>
            <w:r>
              <w:rPr>
                <w:rFonts w:hint="eastAsia"/>
              </w:rPr>
              <w:t>入</w:t>
            </w:r>
            <w:r>
              <w:t>的可溶性固形物含量。</w:t>
            </w:r>
          </w:p>
          <w:p>
            <w:pPr>
              <w:pStyle w:val="7"/>
              <w:widowControl/>
              <w:spacing w:beforeAutospacing="0" w:afterAutospacing="0"/>
            </w:pPr>
            <w:r>
              <w:t>注2</w:t>
            </w:r>
            <w:r>
              <w:rPr>
                <w:rFonts w:hint="eastAsia"/>
              </w:rPr>
              <w:t>：</w:t>
            </w:r>
            <w:r>
              <w:t>果蔬汁</w:t>
            </w:r>
            <w:r>
              <w:rPr>
                <w:rFonts w:hint="eastAsia" w:ascii="仿宋_GB2312" w:hAnsi="仿宋_GB2312" w:cs="仿宋_GB2312"/>
                <w:szCs w:val="24"/>
              </w:rPr>
              <w:t>（</w:t>
            </w:r>
            <w:r>
              <w:t>浆</w:t>
            </w:r>
            <w:r>
              <w:rPr>
                <w:rFonts w:hint="eastAsia" w:ascii="仿宋_GB2312" w:hAnsi="仿宋_GB2312" w:cs="仿宋_GB2312"/>
                <w:szCs w:val="24"/>
              </w:rPr>
              <w:t>)</w:t>
            </w:r>
            <w:r>
              <w:t>含量没有检测方法的</w:t>
            </w:r>
            <w:r>
              <w:rPr>
                <w:rFonts w:hint="eastAsia"/>
              </w:rPr>
              <w:t>，</w:t>
            </w:r>
            <w:r>
              <w:t>按原始配料计算得出</w:t>
            </w:r>
            <w:r>
              <w:rPr>
                <w:rFonts w:hint="eastAsia"/>
              </w:rPr>
              <w:t>。</w:t>
            </w:r>
          </w:p>
          <w:p>
            <w:pPr>
              <w:pStyle w:val="7"/>
              <w:widowControl/>
              <w:spacing w:beforeAutospacing="0" w:afterAutospacing="0"/>
            </w:pPr>
            <w:r>
              <w:t>注3</w:t>
            </w:r>
            <w:r>
              <w:rPr>
                <w:rFonts w:hint="eastAsia"/>
              </w:rPr>
              <w:t>：</w:t>
            </w:r>
            <w:r>
              <w:t>复合果蔬汁</w:t>
            </w:r>
            <w:r>
              <w:rPr>
                <w:rFonts w:hint="eastAsia" w:ascii="仿宋_GB2312" w:hAnsi="仿宋_GB2312" w:cs="仿宋_GB2312"/>
                <w:szCs w:val="24"/>
              </w:rPr>
              <w:t>（</w:t>
            </w:r>
            <w:r>
              <w:t>浆</w:t>
            </w:r>
            <w:r>
              <w:rPr>
                <w:rFonts w:hint="eastAsia" w:ascii="仿宋_GB2312" w:hAnsi="仿宋_GB2312" w:cs="仿宋_GB2312"/>
                <w:szCs w:val="24"/>
              </w:rPr>
              <w:t>)</w:t>
            </w:r>
            <w:r>
              <w:t>可溶性固形物含量可通过调兑时使用的单一品种果汁(浆</w:t>
            </w:r>
            <w:r>
              <w:rPr>
                <w:rFonts w:hint="eastAsia" w:ascii="仿宋_GB2312" w:hAnsi="仿宋_GB2312" w:cs="仿宋_GB2312"/>
                <w:szCs w:val="24"/>
              </w:rPr>
              <w:t>)</w:t>
            </w:r>
            <w:r>
              <w:t>和蔬菜汁</w:t>
            </w:r>
            <w:r>
              <w:rPr>
                <w:rFonts w:hint="eastAsia" w:ascii="仿宋_GB2312" w:hAnsi="仿宋_GB2312" w:cs="仿宋_GB2312"/>
                <w:szCs w:val="24"/>
              </w:rPr>
              <w:t>（</w:t>
            </w:r>
            <w:r>
              <w:t>浆</w:t>
            </w:r>
            <w:r>
              <w:rPr>
                <w:rFonts w:hint="eastAsia" w:ascii="仿宋_GB2312" w:hAnsi="仿宋_GB2312" w:cs="仿宋_GB2312"/>
                <w:szCs w:val="24"/>
              </w:rPr>
              <w:t>)</w:t>
            </w:r>
            <w:r>
              <w:t>的指标要求计算得出。</w:t>
            </w:r>
          </w:p>
          <w:p>
            <w:pPr>
              <w:pStyle w:val="7"/>
              <w:widowControl/>
              <w:spacing w:beforeAutospacing="0" w:afterAutospacing="0"/>
            </w:pPr>
            <w:r>
              <w:rPr>
                <w:rFonts w:hint="eastAsia"/>
              </w:rPr>
              <w:t>a 限金属罐装果蔬汁类及其饮料</w:t>
            </w:r>
          </w:p>
          <w:p>
            <w:pPr>
              <w:pStyle w:val="7"/>
              <w:widowControl/>
              <w:spacing w:beforeAutospacing="0" w:afterAutospacing="0"/>
              <w:rPr>
                <w:rFonts w:ascii="仿宋_GB2312" w:hAnsi="仿宋_GB2312" w:cs="仿宋_GB2312"/>
                <w:szCs w:val="24"/>
              </w:rPr>
            </w:pPr>
            <w:r>
              <w:rPr>
                <w:rFonts w:hint="eastAsia"/>
              </w:rPr>
              <w:t>b 限添加了杏仁或杏仁制品的饮料。</w:t>
            </w:r>
          </w:p>
        </w:tc>
      </w:tr>
    </w:tbl>
    <w:p>
      <w:pPr>
        <w:spacing w:before="156" w:beforeLines="50" w:line="360" w:lineRule="auto"/>
        <w:jc w:val="center"/>
        <w:rPr>
          <w:rFonts w:ascii="黑体" w:hAnsi="黑体" w:eastAsia="黑体"/>
          <w:sz w:val="28"/>
          <w:szCs w:val="28"/>
        </w:rPr>
      </w:pPr>
      <w:r>
        <w:rPr>
          <w:rFonts w:hint="eastAsia"/>
          <w:szCs w:val="32"/>
        </w:rPr>
        <w:t>3.5.2.3植物饮料</w:t>
      </w:r>
      <w:r>
        <w:rPr>
          <w:szCs w:val="32"/>
        </w:rPr>
        <w:t>的理化品质指标应符合表</w:t>
      </w:r>
      <w:r>
        <w:rPr>
          <w:rFonts w:hint="eastAsia"/>
          <w:szCs w:val="32"/>
        </w:rPr>
        <w:t>6</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6</w:t>
      </w:r>
      <w:r>
        <w:rPr>
          <w:rFonts w:ascii="黑体" w:hAnsi="黑体" w:eastAsia="黑体"/>
          <w:sz w:val="28"/>
          <w:szCs w:val="28"/>
        </w:rPr>
        <w:t xml:space="preserve"> </w:t>
      </w:r>
      <w:r>
        <w:rPr>
          <w:rFonts w:hint="eastAsia" w:ascii="黑体" w:hAnsi="黑体" w:eastAsia="黑体"/>
          <w:sz w:val="28"/>
          <w:szCs w:val="28"/>
        </w:rPr>
        <w:t>植物饮料</w:t>
      </w:r>
      <w:r>
        <w:rPr>
          <w:rFonts w:ascii="黑体" w:hAnsi="黑体" w:eastAsia="黑体"/>
          <w:sz w:val="28"/>
          <w:szCs w:val="28"/>
        </w:rPr>
        <w:t>理化品质指标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977"/>
        <w:gridCol w:w="3272"/>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3640" w:type="dxa"/>
            <w:gridSpan w:val="2"/>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产品类别</w:t>
            </w:r>
          </w:p>
        </w:tc>
        <w:tc>
          <w:tcPr>
            <w:tcW w:w="3272"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指标</w:t>
            </w:r>
          </w:p>
        </w:tc>
        <w:tc>
          <w:tcPr>
            <w:tcW w:w="1718"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3640" w:type="dxa"/>
            <w:gridSpan w:val="2"/>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可可饮料</w:t>
            </w:r>
          </w:p>
        </w:tc>
        <w:tc>
          <w:tcPr>
            <w:tcW w:w="3272" w:type="dxa"/>
            <w:vMerge w:val="restart"/>
            <w:vAlign w:val="center"/>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固形物</w:t>
            </w:r>
            <w:r>
              <w:rPr>
                <w:rFonts w:hint="eastAsia" w:ascii="仿宋_GB2312" w:hAnsi="仿宋_GB2312" w:cs="仿宋_GB2312"/>
                <w:sz w:val="24"/>
                <w:szCs w:val="24"/>
                <w:vertAlign w:val="superscript"/>
              </w:rPr>
              <w:t>a</w:t>
            </w:r>
            <w:r>
              <w:rPr>
                <w:rFonts w:hint="eastAsia" w:ascii="仿宋_GB2312" w:hAnsi="仿宋_GB2312" w:cs="仿宋_GB2312"/>
                <w:sz w:val="24"/>
                <w:szCs w:val="24"/>
              </w:rPr>
              <w:t>，g/L         ≥</w:t>
            </w:r>
          </w:p>
        </w:tc>
        <w:tc>
          <w:tcPr>
            <w:tcW w:w="1718"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Merge w:val="restart"/>
            <w:vAlign w:val="center"/>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草本饮料</w:t>
            </w:r>
          </w:p>
        </w:tc>
        <w:tc>
          <w:tcPr>
            <w:tcW w:w="1977" w:type="dxa"/>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花卉</w:t>
            </w:r>
          </w:p>
        </w:tc>
        <w:tc>
          <w:tcPr>
            <w:tcW w:w="3272" w:type="dxa"/>
            <w:vMerge w:val="continue"/>
          </w:tcPr>
          <w:p>
            <w:pPr>
              <w:spacing w:line="360" w:lineRule="auto"/>
              <w:jc w:val="left"/>
              <w:rPr>
                <w:rFonts w:ascii="仿宋_GB2312" w:hAnsi="仿宋_GB2312" w:cs="仿宋_GB2312"/>
                <w:sz w:val="24"/>
                <w:szCs w:val="24"/>
              </w:rPr>
            </w:pPr>
          </w:p>
        </w:tc>
        <w:tc>
          <w:tcPr>
            <w:tcW w:w="1718"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Merge w:val="continue"/>
          </w:tcPr>
          <w:p>
            <w:pPr>
              <w:spacing w:line="360" w:lineRule="auto"/>
              <w:jc w:val="left"/>
              <w:rPr>
                <w:rFonts w:ascii="仿宋_GB2312" w:hAnsi="仿宋_GB2312" w:cs="仿宋_GB2312"/>
                <w:sz w:val="24"/>
                <w:szCs w:val="24"/>
              </w:rPr>
            </w:pPr>
          </w:p>
        </w:tc>
        <w:tc>
          <w:tcPr>
            <w:tcW w:w="1977" w:type="dxa"/>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其他</w:t>
            </w:r>
          </w:p>
        </w:tc>
        <w:tc>
          <w:tcPr>
            <w:tcW w:w="3272" w:type="dxa"/>
            <w:vMerge w:val="continue"/>
          </w:tcPr>
          <w:p>
            <w:pPr>
              <w:spacing w:line="360" w:lineRule="auto"/>
              <w:jc w:val="left"/>
              <w:rPr>
                <w:rFonts w:ascii="仿宋_GB2312" w:hAnsi="仿宋_GB2312" w:cs="仿宋_GB2312"/>
                <w:sz w:val="24"/>
                <w:szCs w:val="24"/>
              </w:rPr>
            </w:pPr>
          </w:p>
        </w:tc>
        <w:tc>
          <w:tcPr>
            <w:tcW w:w="1718"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0.5</w:t>
            </w:r>
            <w:r>
              <w:rPr>
                <w:rFonts w:hint="eastAsia" w:ascii="仿宋_GB2312" w:hAnsi="仿宋_GB2312" w:cs="仿宋_GB2312"/>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草本饮料</w:t>
            </w:r>
          </w:p>
        </w:tc>
        <w:tc>
          <w:tcPr>
            <w:tcW w:w="1977" w:type="dxa"/>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w:t>
            </w:r>
          </w:p>
        </w:tc>
        <w:tc>
          <w:tcPr>
            <w:tcW w:w="3272" w:type="dxa"/>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总黄酮</w:t>
            </w:r>
            <w:r>
              <w:rPr>
                <w:rFonts w:hint="eastAsia" w:ascii="仿宋_GB2312" w:hAnsi="仿宋_GB2312" w:cs="仿宋_GB2312"/>
                <w:sz w:val="24"/>
                <w:szCs w:val="24"/>
                <w:vertAlign w:val="superscript"/>
              </w:rPr>
              <w:t>c</w:t>
            </w:r>
            <w:r>
              <w:rPr>
                <w:rFonts w:hint="eastAsia" w:ascii="仿宋_GB2312" w:hAnsi="仿宋_GB2312" w:cs="仿宋_GB2312"/>
                <w:sz w:val="24"/>
                <w:szCs w:val="24"/>
              </w:rPr>
              <w:t>，mg/100 mL   ≥</w:t>
            </w:r>
          </w:p>
        </w:tc>
        <w:tc>
          <w:tcPr>
            <w:tcW w:w="1718"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40" w:type="dxa"/>
            <w:gridSpan w:val="2"/>
            <w:vMerge w:val="restart"/>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谷物类饮料</w:t>
            </w:r>
            <w:r>
              <w:rPr>
                <w:rFonts w:hint="eastAsia" w:ascii="仿宋_GB2312" w:hAnsi="仿宋_GB2312" w:cs="仿宋_GB2312"/>
                <w:sz w:val="24"/>
                <w:szCs w:val="24"/>
                <w:vertAlign w:val="superscript"/>
              </w:rPr>
              <w:t>d</w:t>
            </w:r>
          </w:p>
        </w:tc>
        <w:tc>
          <w:tcPr>
            <w:tcW w:w="3272" w:type="dxa"/>
          </w:tcPr>
          <w:p>
            <w:pPr>
              <w:spacing w:line="360" w:lineRule="auto"/>
              <w:jc w:val="left"/>
              <w:rPr>
                <w:rFonts w:ascii="仿宋_GB2312" w:hAnsi="仿宋_GB2312" w:cs="仿宋_GB2312"/>
                <w:sz w:val="24"/>
                <w:szCs w:val="24"/>
              </w:rPr>
            </w:pPr>
            <w:r>
              <w:rPr>
                <w:rFonts w:hint="eastAsia" w:ascii="仿宋_GB2312" w:hAnsi="仿宋_GB2312" w:cs="仿宋_GB2312"/>
                <w:sz w:val="24"/>
                <w:szCs w:val="24"/>
              </w:rPr>
              <w:t>总膳食纤维，g/L      ≥</w:t>
            </w:r>
          </w:p>
        </w:tc>
        <w:tc>
          <w:tcPr>
            <w:tcW w:w="1718" w:type="dxa"/>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40" w:type="dxa"/>
            <w:gridSpan w:val="2"/>
            <w:vMerge w:val="continue"/>
          </w:tcPr>
          <w:p>
            <w:pPr>
              <w:spacing w:line="360" w:lineRule="auto"/>
              <w:jc w:val="left"/>
              <w:rPr>
                <w:rFonts w:hint="default" w:ascii="仿宋_GB2312" w:hAnsi="仿宋_GB2312" w:eastAsia="仿宋_GB2312" w:cs="仿宋_GB2312"/>
                <w:sz w:val="24"/>
                <w:szCs w:val="24"/>
                <w:lang w:val="en-US" w:eastAsia="zh-CN"/>
              </w:rPr>
            </w:pPr>
          </w:p>
        </w:tc>
        <w:tc>
          <w:tcPr>
            <w:tcW w:w="3272" w:type="dxa"/>
          </w:tcPr>
          <w:p>
            <w:pPr>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脲酶试验</w:t>
            </w:r>
            <w:r>
              <w:rPr>
                <w:rFonts w:hint="eastAsia" w:ascii="仿宋_GB2312" w:hAnsi="仿宋_GB2312" w:cs="仿宋_GB2312"/>
                <w:sz w:val="24"/>
                <w:szCs w:val="24"/>
                <w:vertAlign w:val="superscript"/>
                <w:lang w:val="en-US" w:eastAsia="zh-CN"/>
              </w:rPr>
              <w:t>e</w:t>
            </w:r>
          </w:p>
        </w:tc>
        <w:tc>
          <w:tcPr>
            <w:tcW w:w="1718" w:type="dxa"/>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30" w:type="dxa"/>
            <w:gridSpan w:val="4"/>
          </w:tcPr>
          <w:p>
            <w:pPr>
              <w:pStyle w:val="7"/>
              <w:widowControl/>
              <w:spacing w:beforeAutospacing="0" w:afterAutospacing="0"/>
              <w:rPr>
                <w:rFonts w:ascii="仿宋_GB2312" w:hAnsi="仿宋_GB2312" w:cs="仿宋_GB2312"/>
                <w:szCs w:val="24"/>
              </w:rPr>
            </w:pPr>
            <w:r>
              <w:rPr>
                <w:rFonts w:hint="eastAsia" w:ascii="仿宋_GB2312" w:hAnsi="仿宋_GB2312" w:cs="仿宋_GB2312"/>
                <w:szCs w:val="24"/>
              </w:rPr>
              <w:t>注1：食用量规定见有关部门发布。</w:t>
            </w:r>
          </w:p>
          <w:p>
            <w:pPr>
              <w:pStyle w:val="7"/>
              <w:widowControl/>
              <w:spacing w:beforeAutospacing="0" w:afterAutospacing="0"/>
              <w:rPr>
                <w:rFonts w:ascii="仿宋_GB2312" w:hAnsi="仿宋_GB2312" w:cs="仿宋_GB2312"/>
                <w:szCs w:val="24"/>
              </w:rPr>
            </w:pPr>
            <w:r>
              <w:rPr>
                <w:rFonts w:hint="eastAsia" w:ascii="仿宋_GB2312" w:hAnsi="仿宋_GB2312" w:cs="仿宋_GB2312"/>
                <w:szCs w:val="24"/>
              </w:rPr>
              <w:t>注2：固形物指来源于植物原料和（或）其提取物的固形物，如来源于可可或其提取物的固形物，来源国家允许使用的植物或其提取物的固形物，不包括来源于糊精、食糖、果葡糖浆等辅料的固形物。</w:t>
            </w:r>
          </w:p>
          <w:p>
            <w:pPr>
              <w:pStyle w:val="7"/>
              <w:widowControl/>
              <w:spacing w:beforeAutospacing="0" w:afterAutospacing="0"/>
              <w:rPr>
                <w:rFonts w:ascii="仿宋_GB2312" w:hAnsi="仿宋_GB2312" w:cs="仿宋_GB2312"/>
                <w:szCs w:val="24"/>
              </w:rPr>
            </w:pPr>
            <w:r>
              <w:rPr>
                <w:rFonts w:hint="eastAsia" w:ascii="仿宋_GB2312" w:hAnsi="仿宋_GB2312" w:cs="仿宋_GB2312"/>
                <w:szCs w:val="24"/>
              </w:rPr>
              <w:t>a以原料配比或计算值为准。饮料中来源于植物固形物的计算公式：（c×m）/V，其中c为所使用植物提取物固形物的含量（g/kg），m为使用的植物制品质量（kg），V为饮料体积（L），通过产品进货台账、配料方案以及日常在线投料进行生产管理。</w:t>
            </w:r>
          </w:p>
          <w:p>
            <w:pPr>
              <w:pStyle w:val="7"/>
              <w:widowControl/>
              <w:spacing w:beforeAutospacing="0" w:afterAutospacing="0"/>
              <w:rPr>
                <w:rFonts w:ascii="仿宋_GB2312" w:hAnsi="仿宋_GB2312" w:cs="仿宋_GB2312"/>
                <w:szCs w:val="24"/>
              </w:rPr>
            </w:pPr>
            <w:r>
              <w:rPr>
                <w:rFonts w:hint="eastAsia" w:ascii="仿宋_GB2312" w:hAnsi="仿宋_GB2312" w:cs="仿宋_GB2312"/>
                <w:szCs w:val="24"/>
              </w:rPr>
              <w:t>b以有食用量规定的植物为原料，其使用量应严格执行有关规定。</w:t>
            </w:r>
          </w:p>
          <w:p>
            <w:pPr>
              <w:pStyle w:val="7"/>
              <w:widowControl/>
              <w:spacing w:beforeAutospacing="0" w:afterAutospacing="0"/>
              <w:rPr>
                <w:rFonts w:ascii="仿宋_GB2312" w:hAnsi="仿宋_GB2312" w:cs="仿宋_GB2312"/>
                <w:szCs w:val="24"/>
              </w:rPr>
            </w:pPr>
            <w:r>
              <w:rPr>
                <w:rFonts w:hint="eastAsia" w:ascii="仿宋_GB2312" w:hAnsi="仿宋_GB2312" w:cs="仿宋_GB2312"/>
                <w:szCs w:val="24"/>
              </w:rPr>
              <w:t>c 限凉茶；</w:t>
            </w:r>
          </w:p>
          <w:p>
            <w:pPr>
              <w:pStyle w:val="7"/>
              <w:widowControl/>
              <w:spacing w:beforeAutospacing="0" w:afterAutospacing="0"/>
              <w:rPr>
                <w:rFonts w:hint="eastAsia" w:ascii="仿宋_GB2312" w:hAnsi="仿宋_GB2312" w:cs="仿宋_GB2312"/>
                <w:szCs w:val="24"/>
              </w:rPr>
            </w:pPr>
            <w:r>
              <w:rPr>
                <w:rFonts w:hint="eastAsia" w:ascii="仿宋_GB2312" w:hAnsi="仿宋_GB2312" w:cs="仿宋_GB2312"/>
                <w:szCs w:val="24"/>
              </w:rPr>
              <w:t>d谷物类饮料应执行QB/T 4221的有关规定。</w:t>
            </w:r>
          </w:p>
          <w:p>
            <w:pPr>
              <w:pStyle w:val="7"/>
              <w:widowControl/>
              <w:spacing w:beforeAutospacing="0" w:afterAutospacing="0"/>
              <w:rPr>
                <w:rFonts w:hint="default" w:ascii="仿宋_GB2312" w:hAnsi="仿宋_GB2312" w:eastAsia="仿宋_GB2312" w:cs="仿宋_GB2312"/>
                <w:szCs w:val="24"/>
                <w:lang w:val="en-US" w:eastAsia="zh-CN"/>
              </w:rPr>
            </w:pPr>
            <w:r>
              <w:rPr>
                <w:rFonts w:hint="eastAsia" w:ascii="仿宋_GB2312" w:hAnsi="仿宋_GB2312" w:cs="仿宋_GB2312"/>
                <w:szCs w:val="24"/>
                <w:lang w:val="en-US" w:eastAsia="zh-CN"/>
              </w:rPr>
              <w:t>e仅适用于添加了大豆或含大豆蛋白的制品的饮料。</w:t>
            </w:r>
          </w:p>
        </w:tc>
      </w:tr>
    </w:tbl>
    <w:p>
      <w:pPr>
        <w:spacing w:line="360" w:lineRule="auto"/>
        <w:ind w:firstLine="640" w:firstLineChars="200"/>
        <w:rPr>
          <w:bCs/>
          <w:szCs w:val="32"/>
        </w:rPr>
      </w:pPr>
      <w:r>
        <w:rPr>
          <w:bCs/>
          <w:szCs w:val="32"/>
        </w:rPr>
        <w:t>3.5.3 污染物</w:t>
      </w:r>
      <w:r>
        <w:rPr>
          <w:rFonts w:hint="eastAsia"/>
          <w:bCs/>
          <w:szCs w:val="32"/>
        </w:rPr>
        <w:t>限量</w:t>
      </w:r>
    </w:p>
    <w:p>
      <w:pPr>
        <w:spacing w:line="360" w:lineRule="auto"/>
        <w:ind w:firstLine="640" w:firstLineChars="200"/>
        <w:rPr>
          <w:szCs w:val="32"/>
        </w:rPr>
      </w:pPr>
      <w:r>
        <w:rPr>
          <w:rFonts w:hint="eastAsia"/>
          <w:szCs w:val="32"/>
        </w:rPr>
        <w:t>饮料</w:t>
      </w:r>
      <w:r>
        <w:rPr>
          <w:szCs w:val="32"/>
        </w:rPr>
        <w:t>污染物</w:t>
      </w:r>
      <w:r>
        <w:rPr>
          <w:rFonts w:hint="eastAsia"/>
          <w:szCs w:val="32"/>
        </w:rPr>
        <w:t>限量</w:t>
      </w:r>
      <w:r>
        <w:rPr>
          <w:szCs w:val="32"/>
        </w:rPr>
        <w:t>应符合表</w:t>
      </w:r>
      <w:r>
        <w:rPr>
          <w:rFonts w:hint="eastAsia"/>
          <w:szCs w:val="32"/>
        </w:rPr>
        <w:t>7</w:t>
      </w:r>
      <w:r>
        <w:rPr>
          <w:szCs w:val="32"/>
        </w:rPr>
        <w:t>要求。</w:t>
      </w:r>
    </w:p>
    <w:p>
      <w:pPr>
        <w:snapToGrid w:val="0"/>
        <w:contextualSpacing/>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7</w:t>
      </w:r>
      <w:r>
        <w:rPr>
          <w:rFonts w:ascii="黑体" w:hAnsi="黑体" w:eastAsia="黑体"/>
          <w:sz w:val="28"/>
          <w:szCs w:val="28"/>
        </w:rPr>
        <w:t>污染物</w:t>
      </w:r>
      <w:r>
        <w:rPr>
          <w:rFonts w:hint="eastAsia" w:ascii="黑体" w:hAnsi="黑体" w:eastAsia="黑体"/>
          <w:sz w:val="28"/>
          <w:szCs w:val="28"/>
        </w:rPr>
        <w:t>限量</w:t>
      </w:r>
    </w:p>
    <w:tbl>
      <w:tblPr>
        <w:tblStyle w:val="9"/>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12"/>
        <w:gridCol w:w="226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180" w:type="dxa"/>
            <w:gridSpan w:val="2"/>
            <w:vAlign w:val="center"/>
          </w:tcPr>
          <w:p>
            <w:pPr>
              <w:widowControl/>
              <w:jc w:val="center"/>
              <w:textAlignment w:val="center"/>
              <w:rPr>
                <w:color w:val="000000"/>
                <w:kern w:val="0"/>
                <w:sz w:val="24"/>
                <w:szCs w:val="24"/>
                <w:lang w:bidi="ar"/>
              </w:rPr>
            </w:pPr>
            <w:r>
              <w:rPr>
                <w:color w:val="000000"/>
                <w:kern w:val="0"/>
                <w:sz w:val="24"/>
                <w:szCs w:val="24"/>
                <w:lang w:bidi="ar"/>
              </w:rPr>
              <w:t>项目</w:t>
            </w:r>
          </w:p>
        </w:tc>
        <w:tc>
          <w:tcPr>
            <w:tcW w:w="2380" w:type="dxa"/>
            <w:vAlign w:val="center"/>
          </w:tcPr>
          <w:p>
            <w:pPr>
              <w:widowControl/>
              <w:jc w:val="center"/>
              <w:textAlignment w:val="center"/>
              <w:rPr>
                <w:color w:val="000000"/>
                <w:kern w:val="0"/>
                <w:sz w:val="24"/>
                <w:szCs w:val="24"/>
                <w:lang w:bidi="ar"/>
              </w:rPr>
            </w:pPr>
            <w:r>
              <w:rPr>
                <w:color w:val="000000"/>
                <w:kern w:val="0"/>
                <w:sz w:val="24"/>
                <w:szCs w:val="24"/>
                <w:lang w:bidi="ar"/>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3912" w:type="dxa"/>
            <w:vMerge w:val="restart"/>
            <w:vAlign w:val="center"/>
          </w:tcPr>
          <w:p>
            <w:pPr>
              <w:widowControl/>
              <w:jc w:val="left"/>
              <w:textAlignment w:val="center"/>
              <w:rPr>
                <w:color w:val="000000"/>
                <w:kern w:val="0"/>
                <w:sz w:val="24"/>
                <w:szCs w:val="24"/>
                <w:lang w:bidi="ar"/>
              </w:rPr>
            </w:pPr>
            <w:r>
              <w:rPr>
                <w:rFonts w:hint="eastAsia"/>
                <w:color w:val="000000"/>
                <w:kern w:val="0"/>
                <w:sz w:val="24"/>
                <w:szCs w:val="24"/>
                <w:lang w:bidi="ar"/>
              </w:rPr>
              <w:t xml:space="preserve"> </w:t>
            </w:r>
            <w:r>
              <w:rPr>
                <w:color w:val="000000"/>
                <w:kern w:val="0"/>
                <w:sz w:val="24"/>
                <w:szCs w:val="24"/>
                <w:lang w:bidi="ar"/>
              </w:rPr>
              <w:t>铅（以Pb计）</w:t>
            </w:r>
            <w:r>
              <w:rPr>
                <w:rFonts w:hint="eastAsia"/>
                <w:color w:val="000000"/>
                <w:kern w:val="0"/>
                <w:sz w:val="24"/>
                <w:szCs w:val="24"/>
                <w:lang w:bidi="ar"/>
              </w:rPr>
              <w:t>，</w:t>
            </w:r>
            <w:r>
              <w:rPr>
                <w:color w:val="000000"/>
                <w:kern w:val="0"/>
                <w:sz w:val="24"/>
                <w:szCs w:val="24"/>
                <w:lang w:bidi="ar"/>
              </w:rPr>
              <w:t>mg/kg</w:t>
            </w:r>
            <w:r>
              <w:rPr>
                <w:rFonts w:hint="eastAsia" w:ascii="仿宋_GB2312" w:hAnsi="仿宋_GB2312" w:cs="仿宋_GB2312"/>
                <w:sz w:val="24"/>
                <w:szCs w:val="24"/>
              </w:rPr>
              <w:t xml:space="preserve"> </w:t>
            </w:r>
            <w:r>
              <w:rPr>
                <w:rFonts w:hint="eastAsia"/>
                <w:color w:val="000000"/>
                <w:kern w:val="0"/>
                <w:sz w:val="24"/>
                <w:szCs w:val="24"/>
                <w:lang w:bidi="ar"/>
              </w:rPr>
              <w:t xml:space="preserve">      </w:t>
            </w:r>
          </w:p>
        </w:tc>
        <w:tc>
          <w:tcPr>
            <w:tcW w:w="2268" w:type="dxa"/>
            <w:vAlign w:val="center"/>
          </w:tcPr>
          <w:p>
            <w:pPr>
              <w:widowControl/>
              <w:jc w:val="left"/>
              <w:textAlignment w:val="center"/>
              <w:rPr>
                <w:color w:val="000000"/>
                <w:kern w:val="0"/>
                <w:sz w:val="24"/>
                <w:szCs w:val="24"/>
                <w:lang w:bidi="ar"/>
              </w:rPr>
            </w:pPr>
            <w:r>
              <w:rPr>
                <w:rFonts w:hint="eastAsia"/>
                <w:color w:val="000000"/>
                <w:kern w:val="0"/>
                <w:sz w:val="24"/>
                <w:szCs w:val="24"/>
                <w:lang w:bidi="ar"/>
              </w:rPr>
              <w:t>果蔬汁类及其饮料</w:t>
            </w:r>
          </w:p>
        </w:tc>
        <w:tc>
          <w:tcPr>
            <w:tcW w:w="2380" w:type="dxa"/>
            <w:vAlign w:val="center"/>
          </w:tcPr>
          <w:p>
            <w:pPr>
              <w:jc w:val="center"/>
              <w:textAlignment w:val="center"/>
              <w:rPr>
                <w:color w:val="000000"/>
                <w:kern w:val="0"/>
                <w:sz w:val="24"/>
                <w:szCs w:val="24"/>
                <w:lang w:bidi="ar"/>
              </w:rPr>
            </w:pPr>
            <w:r>
              <w:rPr>
                <w:rFonts w:hint="eastAsia"/>
                <w:color w:val="000000"/>
                <w:kern w:val="0"/>
                <w:sz w:val="24"/>
                <w:szCs w:val="24"/>
                <w:lang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912" w:type="dxa"/>
            <w:vMerge w:val="continue"/>
            <w:vAlign w:val="center"/>
          </w:tcPr>
          <w:p>
            <w:pPr>
              <w:widowControl/>
              <w:jc w:val="left"/>
              <w:textAlignment w:val="center"/>
              <w:rPr>
                <w:color w:val="000000"/>
                <w:kern w:val="0"/>
                <w:sz w:val="24"/>
                <w:szCs w:val="24"/>
                <w:lang w:bidi="ar"/>
              </w:rPr>
            </w:pPr>
          </w:p>
        </w:tc>
        <w:tc>
          <w:tcPr>
            <w:tcW w:w="2268" w:type="dxa"/>
            <w:vAlign w:val="center"/>
          </w:tcPr>
          <w:p>
            <w:pPr>
              <w:widowControl/>
              <w:jc w:val="left"/>
              <w:textAlignment w:val="center"/>
              <w:rPr>
                <w:color w:val="000000"/>
                <w:kern w:val="0"/>
                <w:sz w:val="24"/>
                <w:szCs w:val="24"/>
                <w:lang w:bidi="ar"/>
              </w:rPr>
            </w:pPr>
            <w:r>
              <w:rPr>
                <w:rFonts w:hint="eastAsia"/>
                <w:color w:val="000000"/>
                <w:kern w:val="0"/>
                <w:sz w:val="24"/>
                <w:szCs w:val="24"/>
                <w:lang w:bidi="ar"/>
              </w:rPr>
              <w:t>浓缩果蔬汁（浆）</w:t>
            </w:r>
          </w:p>
        </w:tc>
        <w:tc>
          <w:tcPr>
            <w:tcW w:w="2380" w:type="dxa"/>
            <w:vAlign w:val="center"/>
          </w:tcPr>
          <w:p>
            <w:pPr>
              <w:jc w:val="center"/>
              <w:textAlignment w:val="center"/>
              <w:rPr>
                <w:color w:val="000000"/>
                <w:kern w:val="0"/>
                <w:sz w:val="24"/>
                <w:szCs w:val="24"/>
                <w:lang w:bidi="ar"/>
              </w:rPr>
            </w:pPr>
            <w:r>
              <w:rPr>
                <w:rFonts w:hint="eastAsia"/>
                <w:color w:val="000000"/>
                <w:kern w:val="0"/>
                <w:sz w:val="24"/>
                <w:szCs w:val="24"/>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3912" w:type="dxa"/>
            <w:vMerge w:val="continue"/>
            <w:vAlign w:val="center"/>
          </w:tcPr>
          <w:p>
            <w:pPr>
              <w:widowControl/>
              <w:jc w:val="left"/>
              <w:textAlignment w:val="center"/>
              <w:rPr>
                <w:color w:val="000000"/>
                <w:kern w:val="0"/>
                <w:sz w:val="24"/>
                <w:szCs w:val="24"/>
                <w:lang w:bidi="ar"/>
              </w:rPr>
            </w:pPr>
          </w:p>
        </w:tc>
        <w:tc>
          <w:tcPr>
            <w:tcW w:w="2268" w:type="dxa"/>
            <w:vAlign w:val="center"/>
          </w:tcPr>
          <w:p>
            <w:pPr>
              <w:widowControl/>
              <w:jc w:val="left"/>
              <w:textAlignment w:val="center"/>
              <w:rPr>
                <w:color w:val="000000"/>
                <w:kern w:val="0"/>
                <w:sz w:val="24"/>
                <w:szCs w:val="24"/>
                <w:lang w:bidi="ar"/>
              </w:rPr>
            </w:pPr>
            <w:r>
              <w:rPr>
                <w:rFonts w:hint="eastAsia"/>
                <w:color w:val="000000"/>
                <w:kern w:val="0"/>
                <w:sz w:val="24"/>
                <w:szCs w:val="24"/>
                <w:lang w:bidi="ar"/>
              </w:rPr>
              <w:t>其他</w:t>
            </w:r>
          </w:p>
        </w:tc>
        <w:tc>
          <w:tcPr>
            <w:tcW w:w="2380" w:type="dxa"/>
            <w:vAlign w:val="center"/>
          </w:tcPr>
          <w:p>
            <w:pPr>
              <w:jc w:val="center"/>
              <w:textAlignment w:val="center"/>
              <w:rPr>
                <w:color w:val="000000"/>
                <w:kern w:val="0"/>
                <w:sz w:val="24"/>
                <w:szCs w:val="24"/>
                <w:lang w:bidi="ar"/>
              </w:rPr>
            </w:pPr>
            <w:r>
              <w:rPr>
                <w:rFonts w:hint="eastAsia"/>
                <w:color w:val="000000"/>
                <w:kern w:val="0"/>
                <w:sz w:val="24"/>
                <w:szCs w:val="24"/>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180" w:type="dxa"/>
            <w:gridSpan w:val="2"/>
            <w:vAlign w:val="center"/>
          </w:tcPr>
          <w:p>
            <w:pPr>
              <w:widowControl/>
              <w:jc w:val="left"/>
              <w:textAlignment w:val="center"/>
              <w:rPr>
                <w:color w:val="000000"/>
                <w:kern w:val="0"/>
                <w:sz w:val="24"/>
                <w:szCs w:val="24"/>
                <w:lang w:bidi="ar"/>
              </w:rPr>
            </w:pPr>
            <w:r>
              <w:rPr>
                <w:rFonts w:hint="eastAsia"/>
                <w:color w:val="000000"/>
                <w:kern w:val="0"/>
                <w:sz w:val="24"/>
                <w:szCs w:val="24"/>
                <w:lang w:bidi="ar"/>
              </w:rPr>
              <w:t xml:space="preserve"> 锡</w:t>
            </w:r>
            <w:r>
              <w:rPr>
                <w:color w:val="000000"/>
                <w:kern w:val="0"/>
                <w:sz w:val="24"/>
                <w:szCs w:val="24"/>
                <w:lang w:bidi="ar"/>
              </w:rPr>
              <w:t>（以</w:t>
            </w:r>
            <w:r>
              <w:rPr>
                <w:rFonts w:hint="eastAsia"/>
                <w:color w:val="000000"/>
                <w:kern w:val="0"/>
                <w:sz w:val="24"/>
                <w:szCs w:val="24"/>
                <w:lang w:bidi="ar"/>
              </w:rPr>
              <w:t>Sn</w:t>
            </w:r>
            <w:r>
              <w:rPr>
                <w:color w:val="000000"/>
                <w:kern w:val="0"/>
                <w:sz w:val="24"/>
                <w:szCs w:val="24"/>
                <w:lang w:bidi="ar"/>
              </w:rPr>
              <w:t>计）</w:t>
            </w:r>
            <w:r>
              <w:rPr>
                <w:rFonts w:hint="eastAsia"/>
                <w:color w:val="000000"/>
                <w:kern w:val="0"/>
                <w:sz w:val="24"/>
                <w:szCs w:val="24"/>
                <w:vertAlign w:val="superscript"/>
                <w:lang w:bidi="ar"/>
              </w:rPr>
              <w:t>a</w:t>
            </w:r>
            <w:r>
              <w:rPr>
                <w:rFonts w:hint="eastAsia"/>
                <w:color w:val="000000"/>
                <w:kern w:val="0"/>
                <w:sz w:val="24"/>
                <w:szCs w:val="24"/>
                <w:lang w:bidi="ar"/>
              </w:rPr>
              <w:t>，</w:t>
            </w:r>
            <w:r>
              <w:rPr>
                <w:color w:val="000000"/>
                <w:kern w:val="0"/>
                <w:sz w:val="24"/>
                <w:szCs w:val="24"/>
                <w:lang w:bidi="ar"/>
              </w:rPr>
              <w:t>mg/kg</w:t>
            </w:r>
            <w:r>
              <w:rPr>
                <w:rFonts w:hint="eastAsia"/>
                <w:color w:val="000000"/>
                <w:kern w:val="0"/>
                <w:sz w:val="24"/>
                <w:szCs w:val="24"/>
                <w:lang w:bidi="ar"/>
              </w:rPr>
              <w:t xml:space="preserve">                      </w:t>
            </w:r>
          </w:p>
        </w:tc>
        <w:tc>
          <w:tcPr>
            <w:tcW w:w="2380" w:type="dxa"/>
            <w:vAlign w:val="center"/>
          </w:tcPr>
          <w:p>
            <w:pPr>
              <w:widowControl/>
              <w:jc w:val="center"/>
              <w:textAlignment w:val="center"/>
              <w:rPr>
                <w:color w:val="000000"/>
                <w:kern w:val="0"/>
                <w:sz w:val="24"/>
                <w:szCs w:val="24"/>
                <w:lang w:bidi="ar"/>
              </w:rPr>
            </w:pPr>
            <w:r>
              <w:rPr>
                <w:rFonts w:hint="eastAsia"/>
                <w:color w:val="000000"/>
                <w:kern w:val="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60" w:type="dxa"/>
            <w:gridSpan w:val="3"/>
            <w:vAlign w:val="center"/>
          </w:tcPr>
          <w:p>
            <w:pPr>
              <w:widowControl/>
              <w:jc w:val="left"/>
              <w:textAlignment w:val="center"/>
              <w:rPr>
                <w:color w:val="000000"/>
                <w:kern w:val="0"/>
                <w:sz w:val="24"/>
                <w:szCs w:val="24"/>
                <w:lang w:bidi="ar"/>
              </w:rPr>
            </w:pPr>
            <w:r>
              <w:rPr>
                <w:rFonts w:hint="eastAsia"/>
                <w:color w:val="000000"/>
                <w:kern w:val="0"/>
                <w:sz w:val="24"/>
                <w:szCs w:val="24"/>
                <w:vertAlign w:val="superscript"/>
                <w:lang w:bidi="ar"/>
              </w:rPr>
              <w:t>a</w:t>
            </w:r>
            <w:r>
              <w:rPr>
                <w:rFonts w:hint="eastAsia"/>
                <w:color w:val="000000"/>
                <w:kern w:val="0"/>
                <w:sz w:val="24"/>
                <w:szCs w:val="24"/>
                <w:lang w:bidi="ar"/>
              </w:rPr>
              <w:t>仅限于采用镀锡薄钢板容器包装的饮料</w:t>
            </w:r>
          </w:p>
        </w:tc>
      </w:tr>
    </w:tbl>
    <w:p>
      <w:pPr>
        <w:spacing w:line="360" w:lineRule="auto"/>
        <w:ind w:firstLine="640" w:firstLineChars="200"/>
        <w:rPr>
          <w:bCs/>
          <w:szCs w:val="32"/>
        </w:rPr>
      </w:pPr>
      <w:r>
        <w:rPr>
          <w:bCs/>
          <w:szCs w:val="32"/>
        </w:rPr>
        <w:t>3.5.4 真菌毒素</w:t>
      </w:r>
      <w:r>
        <w:rPr>
          <w:rFonts w:hint="eastAsia"/>
          <w:bCs/>
          <w:szCs w:val="32"/>
        </w:rPr>
        <w:t>限量</w:t>
      </w:r>
    </w:p>
    <w:p>
      <w:pPr>
        <w:spacing w:line="360" w:lineRule="auto"/>
        <w:ind w:firstLine="640" w:firstLineChars="200"/>
        <w:rPr>
          <w:szCs w:val="32"/>
        </w:rPr>
      </w:pPr>
      <w:r>
        <w:rPr>
          <w:rFonts w:hint="eastAsia"/>
          <w:szCs w:val="32"/>
        </w:rPr>
        <w:t>饮料</w:t>
      </w:r>
      <w:r>
        <w:rPr>
          <w:szCs w:val="32"/>
        </w:rPr>
        <w:t>的真菌毒素</w:t>
      </w:r>
      <w:r>
        <w:rPr>
          <w:rFonts w:hint="eastAsia"/>
          <w:szCs w:val="32"/>
        </w:rPr>
        <w:t>限量</w:t>
      </w:r>
      <w:r>
        <w:rPr>
          <w:szCs w:val="32"/>
        </w:rPr>
        <w:t>应符合表</w:t>
      </w:r>
      <w:r>
        <w:rPr>
          <w:rFonts w:hint="eastAsia"/>
          <w:szCs w:val="32"/>
        </w:rPr>
        <w:t>8</w:t>
      </w:r>
      <w:r>
        <w:rPr>
          <w:szCs w:val="32"/>
        </w:rPr>
        <w:t>要求。</w:t>
      </w:r>
    </w:p>
    <w:p>
      <w:pPr>
        <w:snapToGrid w:val="0"/>
        <w:contextualSpacing/>
        <w:jc w:val="center"/>
        <w:rPr>
          <w:rFonts w:ascii="黑体" w:hAnsi="黑体" w:eastAsia="黑体"/>
          <w:sz w:val="28"/>
          <w:szCs w:val="28"/>
        </w:rPr>
      </w:pPr>
    </w:p>
    <w:p>
      <w:pPr>
        <w:snapToGrid w:val="0"/>
        <w:contextualSpacing/>
        <w:jc w:val="center"/>
        <w:rPr>
          <w:rFonts w:ascii="黑体" w:hAnsi="黑体" w:eastAsia="黑体"/>
          <w:sz w:val="28"/>
          <w:szCs w:val="28"/>
        </w:rPr>
      </w:pPr>
    </w:p>
    <w:p>
      <w:pPr>
        <w:snapToGrid w:val="0"/>
        <w:contextualSpacing/>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 xml:space="preserve">8 </w:t>
      </w:r>
      <w:r>
        <w:rPr>
          <w:rFonts w:ascii="黑体" w:hAnsi="黑体" w:eastAsia="黑体"/>
          <w:sz w:val="28"/>
          <w:szCs w:val="28"/>
        </w:rPr>
        <w:t>真菌毒素</w:t>
      </w:r>
      <w:r>
        <w:rPr>
          <w:rFonts w:hint="eastAsia" w:ascii="黑体" w:hAnsi="黑体" w:eastAsia="黑体"/>
          <w:sz w:val="28"/>
          <w:szCs w:val="28"/>
        </w:rPr>
        <w:t>限量</w:t>
      </w:r>
    </w:p>
    <w:tbl>
      <w:tblPr>
        <w:tblStyle w:val="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0"/>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540" w:type="dxa"/>
            <w:tcMar>
              <w:left w:w="57" w:type="dxa"/>
              <w:right w:w="57" w:type="dxa"/>
            </w:tcMar>
            <w:vAlign w:val="center"/>
          </w:tcPr>
          <w:p>
            <w:pPr>
              <w:widowControl/>
              <w:jc w:val="center"/>
              <w:textAlignment w:val="center"/>
              <w:rPr>
                <w:kern w:val="0"/>
                <w:sz w:val="24"/>
                <w:szCs w:val="24"/>
                <w:lang w:bidi="ar"/>
              </w:rPr>
            </w:pPr>
            <w:r>
              <w:rPr>
                <w:kern w:val="0"/>
                <w:sz w:val="24"/>
                <w:szCs w:val="24"/>
                <w:lang w:bidi="ar"/>
              </w:rPr>
              <w:t>项目</w:t>
            </w:r>
          </w:p>
        </w:tc>
        <w:tc>
          <w:tcPr>
            <w:tcW w:w="5058" w:type="dxa"/>
            <w:tcMar>
              <w:left w:w="57" w:type="dxa"/>
              <w:right w:w="57" w:type="dxa"/>
            </w:tcMar>
            <w:vAlign w:val="center"/>
          </w:tcPr>
          <w:p>
            <w:pPr>
              <w:widowControl/>
              <w:jc w:val="center"/>
              <w:textAlignment w:val="center"/>
              <w:rPr>
                <w:kern w:val="0"/>
                <w:sz w:val="24"/>
                <w:szCs w:val="24"/>
                <w:lang w:bidi="ar"/>
              </w:rPr>
            </w:pPr>
            <w:r>
              <w:rPr>
                <w:kern w:val="0"/>
                <w:sz w:val="24"/>
                <w:szCs w:val="24"/>
                <w:lang w:bidi="ar"/>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3540" w:type="dxa"/>
            <w:tcMar>
              <w:left w:w="57" w:type="dxa"/>
              <w:right w:w="57" w:type="dxa"/>
            </w:tcMar>
            <w:vAlign w:val="center"/>
          </w:tcPr>
          <w:p>
            <w:pPr>
              <w:widowControl/>
              <w:jc w:val="left"/>
              <w:textAlignment w:val="center"/>
              <w:rPr>
                <w:kern w:val="0"/>
                <w:sz w:val="24"/>
                <w:szCs w:val="24"/>
                <w:lang w:bidi="ar"/>
              </w:rPr>
            </w:pPr>
            <w:r>
              <w:rPr>
                <w:rFonts w:hint="eastAsia"/>
                <w:kern w:val="0"/>
                <w:sz w:val="24"/>
                <w:szCs w:val="24"/>
                <w:lang w:bidi="ar"/>
              </w:rPr>
              <w:t xml:space="preserve"> 展青霉素</w:t>
            </w:r>
            <w:r>
              <w:rPr>
                <w:rFonts w:hint="eastAsia"/>
                <w:kern w:val="0"/>
                <w:sz w:val="24"/>
                <w:szCs w:val="24"/>
                <w:vertAlign w:val="superscript"/>
                <w:lang w:bidi="ar"/>
              </w:rPr>
              <w:t>a</w:t>
            </w:r>
            <w:r>
              <w:rPr>
                <w:kern w:val="0"/>
                <w:sz w:val="24"/>
                <w:szCs w:val="24"/>
                <w:lang w:bidi="ar"/>
              </w:rPr>
              <w:t xml:space="preserve"> </w:t>
            </w:r>
            <w:r>
              <w:rPr>
                <w:rFonts w:hint="eastAsia"/>
                <w:kern w:val="0"/>
                <w:sz w:val="24"/>
                <w:szCs w:val="24"/>
                <w:lang w:bidi="ar"/>
              </w:rPr>
              <w:t>，</w:t>
            </w:r>
            <w:r>
              <w:rPr>
                <w:kern w:val="0"/>
                <w:sz w:val="24"/>
                <w:szCs w:val="24"/>
                <w:lang w:bidi="ar"/>
              </w:rPr>
              <w:t>μg/kg</w:t>
            </w:r>
          </w:p>
        </w:tc>
        <w:tc>
          <w:tcPr>
            <w:tcW w:w="5058" w:type="dxa"/>
            <w:tcMar>
              <w:left w:w="57" w:type="dxa"/>
              <w:right w:w="57" w:type="dxa"/>
            </w:tcMar>
            <w:vAlign w:val="center"/>
          </w:tcPr>
          <w:p>
            <w:pPr>
              <w:widowControl/>
              <w:jc w:val="center"/>
              <w:textAlignment w:val="center"/>
              <w:rPr>
                <w:kern w:val="0"/>
                <w:sz w:val="24"/>
                <w:szCs w:val="24"/>
                <w:lang w:bidi="ar"/>
              </w:rPr>
            </w:pPr>
            <w:r>
              <w:rPr>
                <w:rFonts w:hint="eastAsia"/>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598" w:type="dxa"/>
            <w:gridSpan w:val="2"/>
            <w:tcMar>
              <w:left w:w="57" w:type="dxa"/>
              <w:right w:w="57" w:type="dxa"/>
            </w:tcMar>
            <w:vAlign w:val="center"/>
          </w:tcPr>
          <w:p>
            <w:pPr>
              <w:widowControl/>
              <w:textAlignment w:val="center"/>
              <w:rPr>
                <w:kern w:val="0"/>
                <w:sz w:val="24"/>
                <w:szCs w:val="24"/>
                <w:lang w:bidi="ar"/>
              </w:rPr>
            </w:pPr>
            <w:r>
              <w:rPr>
                <w:rFonts w:hint="eastAsia"/>
                <w:kern w:val="0"/>
                <w:sz w:val="24"/>
                <w:szCs w:val="24"/>
                <w:vertAlign w:val="superscript"/>
                <w:lang w:bidi="ar"/>
              </w:rPr>
              <w:t>a</w:t>
            </w:r>
            <w:r>
              <w:rPr>
                <w:rFonts w:hint="eastAsia"/>
                <w:kern w:val="0"/>
                <w:sz w:val="24"/>
                <w:szCs w:val="24"/>
                <w:lang w:bidi="ar"/>
              </w:rPr>
              <w:t>仅限于以苹果、山楂为原料制成的产品</w:t>
            </w:r>
          </w:p>
        </w:tc>
      </w:tr>
    </w:tbl>
    <w:p>
      <w:pPr>
        <w:spacing w:line="600" w:lineRule="exact"/>
        <w:ind w:firstLine="640" w:firstLineChars="200"/>
        <w:rPr>
          <w:bCs/>
          <w:szCs w:val="32"/>
        </w:rPr>
      </w:pPr>
      <w:r>
        <w:rPr>
          <w:bCs/>
          <w:szCs w:val="32"/>
        </w:rPr>
        <w:t>3.5.</w:t>
      </w:r>
      <w:r>
        <w:rPr>
          <w:rFonts w:hint="eastAsia"/>
          <w:bCs/>
          <w:szCs w:val="32"/>
        </w:rPr>
        <w:t>5</w:t>
      </w:r>
      <w:r>
        <w:rPr>
          <w:bCs/>
          <w:szCs w:val="32"/>
        </w:rPr>
        <w:t>微生物限量</w:t>
      </w:r>
    </w:p>
    <w:p>
      <w:pPr>
        <w:spacing w:line="600" w:lineRule="exact"/>
        <w:ind w:firstLine="640" w:firstLineChars="200"/>
        <w:rPr>
          <w:szCs w:val="32"/>
        </w:rPr>
      </w:pPr>
      <w:r>
        <w:rPr>
          <w:rFonts w:hint="eastAsia"/>
          <w:szCs w:val="32"/>
        </w:rPr>
        <w:t>饮料</w:t>
      </w:r>
      <w:r>
        <w:rPr>
          <w:szCs w:val="32"/>
        </w:rPr>
        <w:t>的微生物</w:t>
      </w:r>
      <w:r>
        <w:rPr>
          <w:rFonts w:hint="eastAsia"/>
          <w:szCs w:val="32"/>
        </w:rPr>
        <w:t>限量</w:t>
      </w:r>
      <w:r>
        <w:rPr>
          <w:szCs w:val="32"/>
        </w:rPr>
        <w:t>应符合表</w:t>
      </w:r>
      <w:r>
        <w:rPr>
          <w:rFonts w:hint="eastAsia"/>
          <w:szCs w:val="32"/>
        </w:rPr>
        <w:t>9</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9</w:t>
      </w:r>
      <w:r>
        <w:rPr>
          <w:rFonts w:ascii="黑体" w:hAnsi="黑体" w:eastAsia="黑体"/>
          <w:sz w:val="28"/>
          <w:szCs w:val="28"/>
        </w:rPr>
        <w:t>微生物</w:t>
      </w:r>
      <w:r>
        <w:rPr>
          <w:rFonts w:hint="eastAsia" w:ascii="黑体" w:hAnsi="黑体" w:eastAsia="黑体"/>
          <w:sz w:val="28"/>
          <w:szCs w:val="28"/>
        </w:rPr>
        <w:t>限量</w:t>
      </w:r>
    </w:p>
    <w:tbl>
      <w:tblPr>
        <w:tblStyle w:val="9"/>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987"/>
        <w:gridCol w:w="8"/>
        <w:gridCol w:w="1262"/>
        <w:gridCol w:w="1637"/>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9" w:type="dxa"/>
            <w:vMerge w:val="restart"/>
            <w:vAlign w:val="center"/>
          </w:tcPr>
          <w:p>
            <w:pPr>
              <w:adjustRightInd w:val="0"/>
              <w:snapToGrid w:val="0"/>
              <w:jc w:val="center"/>
              <w:rPr>
                <w:sz w:val="24"/>
                <w:szCs w:val="24"/>
              </w:rPr>
            </w:pPr>
            <w:r>
              <w:rPr>
                <w:sz w:val="24"/>
                <w:szCs w:val="24"/>
              </w:rPr>
              <w:t>项目</w:t>
            </w:r>
          </w:p>
        </w:tc>
        <w:tc>
          <w:tcPr>
            <w:tcW w:w="5434" w:type="dxa"/>
            <w:gridSpan w:val="5"/>
            <w:vAlign w:val="center"/>
          </w:tcPr>
          <w:p>
            <w:pPr>
              <w:adjustRightInd w:val="0"/>
              <w:snapToGrid w:val="0"/>
              <w:jc w:val="center"/>
              <w:rPr>
                <w:sz w:val="24"/>
                <w:szCs w:val="24"/>
              </w:rPr>
            </w:pPr>
            <w:r>
              <w:rPr>
                <w:sz w:val="24"/>
                <w:szCs w:val="24"/>
              </w:rPr>
              <w:t>采样方案</w:t>
            </w:r>
            <w:r>
              <w:rPr>
                <w:sz w:val="24"/>
                <w:szCs w:val="24"/>
                <w:vertAlign w:val="superscript"/>
              </w:rPr>
              <w:t>a</w:t>
            </w:r>
            <w:r>
              <w:rPr>
                <w:sz w:val="24"/>
                <w:szCs w:val="24"/>
              </w:rPr>
              <w:t>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9" w:type="dxa"/>
            <w:vMerge w:val="continue"/>
            <w:vAlign w:val="center"/>
          </w:tcPr>
          <w:p>
            <w:pPr>
              <w:adjustRightInd w:val="0"/>
              <w:snapToGrid w:val="0"/>
              <w:jc w:val="center"/>
              <w:rPr>
                <w:sz w:val="24"/>
                <w:szCs w:val="24"/>
              </w:rPr>
            </w:pPr>
          </w:p>
        </w:tc>
        <w:tc>
          <w:tcPr>
            <w:tcW w:w="987" w:type="dxa"/>
            <w:vAlign w:val="center"/>
          </w:tcPr>
          <w:p>
            <w:pPr>
              <w:adjustRightInd w:val="0"/>
              <w:snapToGrid w:val="0"/>
              <w:jc w:val="center"/>
              <w:rPr>
                <w:sz w:val="24"/>
                <w:szCs w:val="24"/>
              </w:rPr>
            </w:pPr>
            <w:r>
              <w:rPr>
                <w:sz w:val="24"/>
                <w:szCs w:val="24"/>
              </w:rPr>
              <w:t>n</w:t>
            </w:r>
          </w:p>
        </w:tc>
        <w:tc>
          <w:tcPr>
            <w:tcW w:w="1270" w:type="dxa"/>
            <w:gridSpan w:val="2"/>
            <w:vAlign w:val="center"/>
          </w:tcPr>
          <w:p>
            <w:pPr>
              <w:adjustRightInd w:val="0"/>
              <w:snapToGrid w:val="0"/>
              <w:jc w:val="center"/>
              <w:rPr>
                <w:sz w:val="24"/>
                <w:szCs w:val="24"/>
              </w:rPr>
            </w:pPr>
            <w:r>
              <w:rPr>
                <w:sz w:val="24"/>
                <w:szCs w:val="24"/>
              </w:rPr>
              <w:t>c</w:t>
            </w:r>
          </w:p>
        </w:tc>
        <w:tc>
          <w:tcPr>
            <w:tcW w:w="1637" w:type="dxa"/>
            <w:vAlign w:val="center"/>
          </w:tcPr>
          <w:p>
            <w:pPr>
              <w:adjustRightInd w:val="0"/>
              <w:snapToGrid w:val="0"/>
              <w:jc w:val="center"/>
              <w:rPr>
                <w:sz w:val="24"/>
                <w:szCs w:val="24"/>
              </w:rPr>
            </w:pPr>
            <w:r>
              <w:rPr>
                <w:sz w:val="24"/>
                <w:szCs w:val="24"/>
              </w:rPr>
              <w:t>m</w:t>
            </w:r>
          </w:p>
        </w:tc>
        <w:tc>
          <w:tcPr>
            <w:tcW w:w="1540" w:type="dxa"/>
            <w:vAlign w:val="center"/>
          </w:tcPr>
          <w:p>
            <w:pPr>
              <w:adjustRightInd w:val="0"/>
              <w:snapToGrid w:val="0"/>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9" w:type="dxa"/>
            <w:vAlign w:val="center"/>
          </w:tcPr>
          <w:p>
            <w:pPr>
              <w:adjustRightInd w:val="0"/>
              <w:snapToGrid w:val="0"/>
              <w:jc w:val="left"/>
              <w:rPr>
                <w:sz w:val="24"/>
                <w:szCs w:val="24"/>
              </w:rPr>
            </w:pPr>
            <w:r>
              <w:rPr>
                <w:sz w:val="24"/>
                <w:szCs w:val="24"/>
              </w:rPr>
              <w:t>菌落总数</w:t>
            </w:r>
            <w:r>
              <w:rPr>
                <w:rFonts w:hint="eastAsia"/>
                <w:sz w:val="24"/>
                <w:szCs w:val="24"/>
                <w:vertAlign w:val="superscript"/>
              </w:rPr>
              <w:t>b</w:t>
            </w:r>
            <w:r>
              <w:rPr>
                <w:rFonts w:hint="eastAsia"/>
                <w:sz w:val="24"/>
                <w:szCs w:val="24"/>
              </w:rPr>
              <w:t>，CFU/mL</w:t>
            </w:r>
          </w:p>
        </w:tc>
        <w:tc>
          <w:tcPr>
            <w:tcW w:w="987" w:type="dxa"/>
            <w:vAlign w:val="center"/>
          </w:tcPr>
          <w:p>
            <w:pPr>
              <w:adjustRightInd w:val="0"/>
              <w:snapToGrid w:val="0"/>
              <w:jc w:val="center"/>
              <w:rPr>
                <w:sz w:val="24"/>
                <w:szCs w:val="24"/>
              </w:rPr>
            </w:pPr>
            <w:r>
              <w:rPr>
                <w:sz w:val="24"/>
                <w:szCs w:val="24"/>
              </w:rPr>
              <w:t>5</w:t>
            </w:r>
          </w:p>
        </w:tc>
        <w:tc>
          <w:tcPr>
            <w:tcW w:w="1270" w:type="dxa"/>
            <w:gridSpan w:val="2"/>
            <w:vAlign w:val="center"/>
          </w:tcPr>
          <w:p>
            <w:pPr>
              <w:adjustRightInd w:val="0"/>
              <w:snapToGrid w:val="0"/>
              <w:jc w:val="center"/>
              <w:rPr>
                <w:sz w:val="24"/>
                <w:szCs w:val="24"/>
              </w:rPr>
            </w:pPr>
            <w:r>
              <w:rPr>
                <w:sz w:val="24"/>
                <w:szCs w:val="24"/>
              </w:rPr>
              <w:t>2</w:t>
            </w:r>
          </w:p>
        </w:tc>
        <w:tc>
          <w:tcPr>
            <w:tcW w:w="1637" w:type="dxa"/>
            <w:vAlign w:val="center"/>
          </w:tcPr>
          <w:p>
            <w:pPr>
              <w:adjustRightInd w:val="0"/>
              <w:snapToGrid w:val="0"/>
              <w:jc w:val="center"/>
              <w:rPr>
                <w:sz w:val="24"/>
                <w:szCs w:val="24"/>
              </w:rPr>
            </w:pPr>
            <w:r>
              <w:rPr>
                <w:sz w:val="24"/>
                <w:szCs w:val="24"/>
              </w:rPr>
              <w:t>10</w:t>
            </w:r>
            <w:r>
              <w:rPr>
                <w:rFonts w:hint="eastAsia"/>
                <w:sz w:val="24"/>
                <w:szCs w:val="24"/>
                <w:vertAlign w:val="superscript"/>
              </w:rPr>
              <w:t>2</w:t>
            </w:r>
          </w:p>
        </w:tc>
        <w:tc>
          <w:tcPr>
            <w:tcW w:w="1540" w:type="dxa"/>
            <w:vAlign w:val="center"/>
          </w:tcPr>
          <w:p>
            <w:pPr>
              <w:adjustRightInd w:val="0"/>
              <w:snapToGrid w:val="0"/>
              <w:jc w:val="center"/>
              <w:rPr>
                <w:sz w:val="24"/>
                <w:szCs w:val="24"/>
              </w:rPr>
            </w:pPr>
            <w:r>
              <w:rPr>
                <w:sz w:val="24"/>
                <w:szCs w:val="24"/>
              </w:rPr>
              <w:t>10</w:t>
            </w:r>
            <w:r>
              <w:rPr>
                <w:rFonts w:hint="eastAsia"/>
                <w:sz w:val="24"/>
                <w:szCs w:val="24"/>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9" w:type="dxa"/>
            <w:vAlign w:val="center"/>
          </w:tcPr>
          <w:p>
            <w:pPr>
              <w:adjustRightInd w:val="0"/>
              <w:snapToGrid w:val="0"/>
              <w:jc w:val="left"/>
              <w:rPr>
                <w:sz w:val="24"/>
                <w:szCs w:val="24"/>
              </w:rPr>
            </w:pPr>
            <w:r>
              <w:rPr>
                <w:sz w:val="24"/>
                <w:szCs w:val="24"/>
              </w:rPr>
              <w:t>大肠菌群</w:t>
            </w:r>
            <w:r>
              <w:rPr>
                <w:rFonts w:hint="eastAsia"/>
                <w:sz w:val="24"/>
                <w:szCs w:val="24"/>
                <w:vertAlign w:val="superscript"/>
              </w:rPr>
              <w:t>c</w:t>
            </w:r>
            <w:r>
              <w:rPr>
                <w:rFonts w:hint="eastAsia"/>
                <w:sz w:val="24"/>
                <w:szCs w:val="24"/>
              </w:rPr>
              <w:t>，CFU/mL</w:t>
            </w:r>
          </w:p>
        </w:tc>
        <w:tc>
          <w:tcPr>
            <w:tcW w:w="987" w:type="dxa"/>
            <w:vAlign w:val="center"/>
          </w:tcPr>
          <w:p>
            <w:pPr>
              <w:adjustRightInd w:val="0"/>
              <w:snapToGrid w:val="0"/>
              <w:jc w:val="center"/>
              <w:rPr>
                <w:sz w:val="24"/>
                <w:szCs w:val="24"/>
              </w:rPr>
            </w:pPr>
            <w:r>
              <w:rPr>
                <w:sz w:val="24"/>
                <w:szCs w:val="24"/>
              </w:rPr>
              <w:t>5</w:t>
            </w:r>
          </w:p>
        </w:tc>
        <w:tc>
          <w:tcPr>
            <w:tcW w:w="1270" w:type="dxa"/>
            <w:gridSpan w:val="2"/>
            <w:vAlign w:val="center"/>
          </w:tcPr>
          <w:p>
            <w:pPr>
              <w:adjustRightInd w:val="0"/>
              <w:snapToGrid w:val="0"/>
              <w:jc w:val="center"/>
              <w:rPr>
                <w:sz w:val="24"/>
                <w:szCs w:val="24"/>
              </w:rPr>
            </w:pPr>
            <w:r>
              <w:rPr>
                <w:sz w:val="24"/>
                <w:szCs w:val="24"/>
              </w:rPr>
              <w:t>2</w:t>
            </w:r>
          </w:p>
        </w:tc>
        <w:tc>
          <w:tcPr>
            <w:tcW w:w="1637" w:type="dxa"/>
            <w:vAlign w:val="center"/>
          </w:tcPr>
          <w:p>
            <w:pPr>
              <w:adjustRightInd w:val="0"/>
              <w:snapToGrid w:val="0"/>
              <w:jc w:val="center"/>
              <w:rPr>
                <w:sz w:val="24"/>
                <w:szCs w:val="24"/>
              </w:rPr>
            </w:pPr>
            <w:r>
              <w:rPr>
                <w:sz w:val="24"/>
                <w:szCs w:val="24"/>
              </w:rPr>
              <w:t>1</w:t>
            </w:r>
            <w:r>
              <w:rPr>
                <w:rFonts w:hint="eastAsia"/>
                <w:sz w:val="24"/>
                <w:szCs w:val="24"/>
              </w:rPr>
              <w:t>（10）</w:t>
            </w:r>
          </w:p>
        </w:tc>
        <w:tc>
          <w:tcPr>
            <w:tcW w:w="1540" w:type="dxa"/>
            <w:vAlign w:val="center"/>
          </w:tcPr>
          <w:p>
            <w:pPr>
              <w:adjustRightInd w:val="0"/>
              <w:snapToGrid w:val="0"/>
              <w:jc w:val="center"/>
              <w:rPr>
                <w:sz w:val="24"/>
                <w:szCs w:val="24"/>
              </w:rPr>
            </w:pPr>
            <w:r>
              <w:rPr>
                <w:rFonts w:hint="eastAsia"/>
                <w:sz w:val="24"/>
                <w:szCs w:val="24"/>
              </w:rPr>
              <w:t>10（</w:t>
            </w:r>
            <w:r>
              <w:rPr>
                <w:sz w:val="24"/>
                <w:szCs w:val="24"/>
              </w:rPr>
              <w:t>10</w:t>
            </w:r>
            <w:r>
              <w:rPr>
                <w:rFonts w:hint="eastAsia"/>
                <w:sz w:val="24"/>
                <w:szCs w:val="24"/>
                <w:vertAlign w:val="superscript"/>
              </w:rPr>
              <w:t>2</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9" w:type="dxa"/>
            <w:vAlign w:val="center"/>
          </w:tcPr>
          <w:p>
            <w:pPr>
              <w:adjustRightInd w:val="0"/>
              <w:snapToGrid w:val="0"/>
              <w:jc w:val="left"/>
              <w:rPr>
                <w:color w:val="000000"/>
                <w:kern w:val="0"/>
                <w:sz w:val="24"/>
                <w:szCs w:val="24"/>
              </w:rPr>
            </w:pPr>
            <w:r>
              <w:rPr>
                <w:rFonts w:hint="eastAsia"/>
                <w:color w:val="000000"/>
                <w:kern w:val="0"/>
                <w:sz w:val="24"/>
                <w:szCs w:val="24"/>
              </w:rPr>
              <w:t>霉菌</w:t>
            </w:r>
            <w:r>
              <w:rPr>
                <w:rFonts w:hint="eastAsia"/>
                <w:sz w:val="24"/>
                <w:szCs w:val="24"/>
              </w:rPr>
              <w:t>，CFU/mL     ≤</w:t>
            </w:r>
          </w:p>
        </w:tc>
        <w:tc>
          <w:tcPr>
            <w:tcW w:w="5434" w:type="dxa"/>
            <w:gridSpan w:val="5"/>
            <w:vAlign w:val="center"/>
          </w:tcPr>
          <w:p>
            <w:pPr>
              <w:adjustRightInd w:val="0"/>
              <w:snapToGrid w:val="0"/>
              <w:jc w:val="center"/>
              <w:rPr>
                <w:color w:val="000000"/>
                <w:kern w:val="0"/>
                <w:sz w:val="24"/>
                <w:szCs w:val="24"/>
              </w:rPr>
            </w:pPr>
            <w:r>
              <w:rPr>
                <w:rFonts w:hint="eastAsia"/>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9" w:type="dxa"/>
            <w:vAlign w:val="center"/>
          </w:tcPr>
          <w:p>
            <w:pPr>
              <w:adjustRightInd w:val="0"/>
              <w:snapToGrid w:val="0"/>
              <w:jc w:val="left"/>
              <w:rPr>
                <w:color w:val="000000"/>
                <w:kern w:val="0"/>
                <w:sz w:val="24"/>
                <w:szCs w:val="24"/>
              </w:rPr>
            </w:pPr>
            <w:r>
              <w:rPr>
                <w:rFonts w:hint="eastAsia"/>
                <w:color w:val="000000"/>
                <w:kern w:val="0"/>
                <w:sz w:val="24"/>
                <w:szCs w:val="24"/>
              </w:rPr>
              <w:t>酵母</w:t>
            </w:r>
            <w:r>
              <w:rPr>
                <w:rFonts w:hint="eastAsia"/>
                <w:sz w:val="24"/>
                <w:szCs w:val="24"/>
              </w:rPr>
              <w:t>，CFU/mL     ≤</w:t>
            </w:r>
          </w:p>
        </w:tc>
        <w:tc>
          <w:tcPr>
            <w:tcW w:w="5434" w:type="dxa"/>
            <w:gridSpan w:val="5"/>
            <w:vAlign w:val="center"/>
          </w:tcPr>
          <w:p>
            <w:pPr>
              <w:adjustRightInd w:val="0"/>
              <w:snapToGrid w:val="0"/>
              <w:jc w:val="center"/>
              <w:rPr>
                <w:color w:val="000000"/>
                <w:kern w:val="0"/>
                <w:sz w:val="24"/>
                <w:szCs w:val="24"/>
              </w:rPr>
            </w:pPr>
            <w:r>
              <w:rPr>
                <w:rFonts w:hint="eastAsia"/>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9" w:type="dxa"/>
            <w:vAlign w:val="center"/>
          </w:tcPr>
          <w:p>
            <w:pPr>
              <w:adjustRightInd w:val="0"/>
              <w:snapToGrid w:val="0"/>
              <w:jc w:val="left"/>
              <w:rPr>
                <w:sz w:val="24"/>
                <w:szCs w:val="24"/>
              </w:rPr>
            </w:pPr>
            <w:r>
              <w:rPr>
                <w:sz w:val="24"/>
                <w:szCs w:val="24"/>
              </w:rPr>
              <w:t>沙门氏菌</w:t>
            </w:r>
            <w:r>
              <w:rPr>
                <w:sz w:val="24"/>
                <w:szCs w:val="24"/>
                <w:vertAlign w:val="superscript"/>
              </w:rPr>
              <w:t>d</w:t>
            </w:r>
            <w:r>
              <w:rPr>
                <w:rFonts w:hint="eastAsia"/>
                <w:sz w:val="24"/>
                <w:szCs w:val="24"/>
              </w:rPr>
              <w:t>，/</w:t>
            </w:r>
            <w:r>
              <w:rPr>
                <w:sz w:val="24"/>
                <w:szCs w:val="24"/>
              </w:rPr>
              <w:t>25g</w:t>
            </w:r>
          </w:p>
        </w:tc>
        <w:tc>
          <w:tcPr>
            <w:tcW w:w="995" w:type="dxa"/>
            <w:gridSpan w:val="2"/>
            <w:vAlign w:val="center"/>
          </w:tcPr>
          <w:p>
            <w:pPr>
              <w:adjustRightInd w:val="0"/>
              <w:snapToGrid w:val="0"/>
              <w:jc w:val="center"/>
              <w:rPr>
                <w:sz w:val="24"/>
                <w:szCs w:val="24"/>
              </w:rPr>
            </w:pPr>
            <w:r>
              <w:rPr>
                <w:rFonts w:hint="eastAsia"/>
                <w:sz w:val="24"/>
                <w:szCs w:val="24"/>
              </w:rPr>
              <w:t>5</w:t>
            </w:r>
          </w:p>
        </w:tc>
        <w:tc>
          <w:tcPr>
            <w:tcW w:w="1262" w:type="dxa"/>
            <w:vAlign w:val="center"/>
          </w:tcPr>
          <w:p>
            <w:pPr>
              <w:adjustRightInd w:val="0"/>
              <w:snapToGrid w:val="0"/>
              <w:jc w:val="center"/>
              <w:rPr>
                <w:sz w:val="24"/>
                <w:szCs w:val="24"/>
              </w:rPr>
            </w:pPr>
            <w:r>
              <w:rPr>
                <w:rFonts w:hint="eastAsia"/>
                <w:sz w:val="24"/>
                <w:szCs w:val="24"/>
              </w:rPr>
              <w:t>0</w:t>
            </w:r>
          </w:p>
        </w:tc>
        <w:tc>
          <w:tcPr>
            <w:tcW w:w="1637" w:type="dxa"/>
            <w:vAlign w:val="center"/>
          </w:tcPr>
          <w:p>
            <w:pPr>
              <w:adjustRightInd w:val="0"/>
              <w:snapToGrid w:val="0"/>
              <w:jc w:val="center"/>
              <w:rPr>
                <w:sz w:val="24"/>
                <w:szCs w:val="24"/>
              </w:rPr>
            </w:pPr>
            <w:r>
              <w:rPr>
                <w:rFonts w:hint="eastAsia"/>
                <w:sz w:val="24"/>
                <w:szCs w:val="24"/>
              </w:rPr>
              <w:t>0</w:t>
            </w:r>
          </w:p>
        </w:tc>
        <w:tc>
          <w:tcPr>
            <w:tcW w:w="1540" w:type="dxa"/>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3" w:type="dxa"/>
            <w:gridSpan w:val="6"/>
            <w:vAlign w:val="center"/>
          </w:tcPr>
          <w:p>
            <w:pPr>
              <w:adjustRightInd w:val="0"/>
              <w:snapToGrid w:val="0"/>
              <w:rPr>
                <w:sz w:val="24"/>
                <w:szCs w:val="24"/>
              </w:rPr>
            </w:pPr>
            <w:r>
              <w:rPr>
                <w:sz w:val="24"/>
                <w:szCs w:val="24"/>
                <w:vertAlign w:val="superscript"/>
              </w:rPr>
              <w:t>a</w:t>
            </w:r>
            <w:r>
              <w:rPr>
                <w:sz w:val="24"/>
                <w:szCs w:val="24"/>
              </w:rPr>
              <w:t>样品的采集及处理按GB 4789.1</w:t>
            </w:r>
            <w:r>
              <w:rPr>
                <w:rFonts w:hint="eastAsia"/>
                <w:sz w:val="24"/>
                <w:szCs w:val="24"/>
              </w:rPr>
              <w:t>和GB 4789.25执行</w:t>
            </w:r>
            <w:r>
              <w:rPr>
                <w:sz w:val="24"/>
                <w:szCs w:val="24"/>
              </w:rPr>
              <w:t>执行</w:t>
            </w:r>
            <w:r>
              <w:rPr>
                <w:rFonts w:hint="eastAsia"/>
                <w:sz w:val="24"/>
                <w:szCs w:val="24"/>
              </w:rPr>
              <w:t>；</w:t>
            </w:r>
          </w:p>
          <w:p>
            <w:pPr>
              <w:adjustRightInd w:val="0"/>
              <w:snapToGrid w:val="0"/>
              <w:rPr>
                <w:sz w:val="24"/>
                <w:szCs w:val="24"/>
              </w:rPr>
            </w:pPr>
            <w:r>
              <w:rPr>
                <w:rFonts w:hint="eastAsia"/>
                <w:sz w:val="24"/>
                <w:szCs w:val="24"/>
                <w:vertAlign w:val="superscript"/>
              </w:rPr>
              <w:t>b</w:t>
            </w:r>
            <w:r>
              <w:rPr>
                <w:rFonts w:hint="eastAsia"/>
                <w:sz w:val="24"/>
                <w:szCs w:val="24"/>
              </w:rPr>
              <w:t>不适用于添加了需氧和兼性厌氧菌种的活菌（未杀菌）型饮料；</w:t>
            </w:r>
          </w:p>
          <w:p>
            <w:pPr>
              <w:adjustRightInd w:val="0"/>
              <w:snapToGrid w:val="0"/>
              <w:rPr>
                <w:sz w:val="24"/>
                <w:szCs w:val="24"/>
              </w:rPr>
            </w:pPr>
            <w:r>
              <w:rPr>
                <w:rFonts w:hint="eastAsia"/>
                <w:sz w:val="24"/>
                <w:szCs w:val="24"/>
                <w:vertAlign w:val="superscript"/>
              </w:rPr>
              <w:t>c</w:t>
            </w:r>
            <w:r>
              <w:rPr>
                <w:rFonts w:hint="eastAsia"/>
                <w:sz w:val="24"/>
                <w:szCs w:val="24"/>
              </w:rPr>
              <w:t>饮料浓浆按括号中的限值执行；</w:t>
            </w:r>
          </w:p>
          <w:p>
            <w:pPr>
              <w:adjustRightInd w:val="0"/>
              <w:snapToGrid w:val="0"/>
              <w:rPr>
                <w:sz w:val="24"/>
                <w:szCs w:val="24"/>
              </w:rPr>
            </w:pPr>
            <w:r>
              <w:rPr>
                <w:sz w:val="24"/>
                <w:szCs w:val="24"/>
                <w:vertAlign w:val="superscript"/>
              </w:rPr>
              <w:t>d</w:t>
            </w:r>
            <w:r>
              <w:rPr>
                <w:rFonts w:hint="eastAsia"/>
                <w:sz w:val="24"/>
                <w:szCs w:val="24"/>
              </w:rPr>
              <w:t>碳酸饮料除外。</w:t>
            </w:r>
          </w:p>
        </w:tc>
      </w:tr>
    </w:tbl>
    <w:p>
      <w:pPr>
        <w:spacing w:before="156" w:beforeLines="50" w:line="600" w:lineRule="exact"/>
        <w:ind w:firstLine="640" w:firstLineChars="200"/>
        <w:rPr>
          <w:bCs/>
          <w:szCs w:val="32"/>
        </w:rPr>
      </w:pPr>
      <w:r>
        <w:rPr>
          <w:bCs/>
          <w:szCs w:val="32"/>
        </w:rPr>
        <w:t>3.5.</w:t>
      </w:r>
      <w:r>
        <w:rPr>
          <w:rFonts w:hint="eastAsia"/>
          <w:bCs/>
          <w:szCs w:val="32"/>
        </w:rPr>
        <w:t>6食品</w:t>
      </w:r>
      <w:r>
        <w:rPr>
          <w:bCs/>
          <w:szCs w:val="32"/>
        </w:rPr>
        <w:t>添加剂</w:t>
      </w:r>
    </w:p>
    <w:p>
      <w:pPr>
        <w:spacing w:line="600" w:lineRule="exact"/>
        <w:ind w:firstLine="640" w:firstLineChars="200"/>
        <w:rPr>
          <w:szCs w:val="32"/>
        </w:rPr>
      </w:pPr>
      <w:r>
        <w:rPr>
          <w:szCs w:val="32"/>
        </w:rPr>
        <w:t>申请“食在广州”评价认证的</w:t>
      </w:r>
      <w:r>
        <w:rPr>
          <w:rFonts w:hint="eastAsia"/>
          <w:szCs w:val="32"/>
        </w:rPr>
        <w:t>饮料中</w:t>
      </w:r>
      <w:r>
        <w:rPr>
          <w:szCs w:val="32"/>
        </w:rPr>
        <w:t>食品添加剂使用应符合GB 2760要求。在保证生产工艺的前提下，应减少使用或不使用食品添加剂。</w:t>
      </w:r>
    </w:p>
    <w:p>
      <w:pPr>
        <w:spacing w:line="600" w:lineRule="exact"/>
        <w:ind w:firstLine="642" w:firstLineChars="200"/>
        <w:rPr>
          <w:b/>
          <w:bCs/>
          <w:color w:val="000000"/>
          <w:szCs w:val="32"/>
        </w:rPr>
      </w:pPr>
      <w:r>
        <w:rPr>
          <w:b/>
          <w:bCs/>
          <w:color w:val="000000"/>
          <w:szCs w:val="32"/>
        </w:rPr>
        <w:t>四、产品检验要求</w:t>
      </w:r>
    </w:p>
    <w:p>
      <w:pPr>
        <w:spacing w:line="600" w:lineRule="exact"/>
        <w:ind w:firstLine="640" w:firstLineChars="200"/>
        <w:rPr>
          <w:color w:val="000000"/>
          <w:szCs w:val="32"/>
        </w:rPr>
      </w:pPr>
      <w:r>
        <w:rPr>
          <w:color w:val="000000"/>
          <w:szCs w:val="32"/>
        </w:rPr>
        <w:t>申请“食在广州”评价认证的企业应按所申请产品种类，提供符合本认证</w:t>
      </w:r>
      <w:r>
        <w:rPr>
          <w:rFonts w:hint="eastAsia"/>
          <w:color w:val="000000"/>
          <w:szCs w:val="32"/>
        </w:rPr>
        <w:t>实施指引</w:t>
      </w:r>
      <w:r>
        <w:rPr>
          <w:color w:val="000000"/>
          <w:szCs w:val="32"/>
        </w:rPr>
        <w:t>要求的产品检验报告，企业对检验报告真实性负责。</w:t>
      </w:r>
    </w:p>
    <w:p>
      <w:pPr>
        <w:ind w:firstLine="640" w:firstLineChars="200"/>
      </w:pPr>
      <w:r>
        <w:rPr>
          <w:color w:val="000000"/>
          <w:szCs w:val="32"/>
        </w:rPr>
        <w:t>检验项目应符合本认证</w:t>
      </w:r>
      <w:r>
        <w:rPr>
          <w:rFonts w:hint="eastAsia"/>
          <w:color w:val="000000"/>
          <w:szCs w:val="32"/>
        </w:rPr>
        <w:t>实施指引</w:t>
      </w:r>
      <w:r>
        <w:rPr>
          <w:color w:val="000000"/>
          <w:szCs w:val="32"/>
        </w:rPr>
        <w:t>要求，对应检测方法可采用适用的国家标准、行业标准、地方标准等及国务院卫生行政部门的相关公告方法。</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494266"/>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DdjYzc2YmU3MmU5Mjk2YzlkMWNlNGMxNTMxZjMifQ=="/>
  </w:docVars>
  <w:rsids>
    <w:rsidRoot w:val="01366086"/>
    <w:rsid w:val="0002004E"/>
    <w:rsid w:val="00044F31"/>
    <w:rsid w:val="000F3B71"/>
    <w:rsid w:val="000F7A9B"/>
    <w:rsid w:val="00100934"/>
    <w:rsid w:val="001245AA"/>
    <w:rsid w:val="00167BFB"/>
    <w:rsid w:val="00174CFE"/>
    <w:rsid w:val="001922AE"/>
    <w:rsid w:val="00193799"/>
    <w:rsid w:val="001A57E3"/>
    <w:rsid w:val="00214923"/>
    <w:rsid w:val="002D45DB"/>
    <w:rsid w:val="002E78C5"/>
    <w:rsid w:val="003307ED"/>
    <w:rsid w:val="003834C5"/>
    <w:rsid w:val="003B33BB"/>
    <w:rsid w:val="003D09FD"/>
    <w:rsid w:val="003D7A24"/>
    <w:rsid w:val="003F3153"/>
    <w:rsid w:val="003F368E"/>
    <w:rsid w:val="00404B6A"/>
    <w:rsid w:val="00424A64"/>
    <w:rsid w:val="00435822"/>
    <w:rsid w:val="00444C9B"/>
    <w:rsid w:val="00454C9D"/>
    <w:rsid w:val="004906DE"/>
    <w:rsid w:val="004A2405"/>
    <w:rsid w:val="004B2FD9"/>
    <w:rsid w:val="005034D0"/>
    <w:rsid w:val="00531CAA"/>
    <w:rsid w:val="00567307"/>
    <w:rsid w:val="005D2D1B"/>
    <w:rsid w:val="006032A5"/>
    <w:rsid w:val="00626592"/>
    <w:rsid w:val="006A1F17"/>
    <w:rsid w:val="006A42F4"/>
    <w:rsid w:val="006B12A4"/>
    <w:rsid w:val="006D4880"/>
    <w:rsid w:val="006E4CD7"/>
    <w:rsid w:val="006E594A"/>
    <w:rsid w:val="006F6057"/>
    <w:rsid w:val="00795C88"/>
    <w:rsid w:val="00796F5A"/>
    <w:rsid w:val="0081593F"/>
    <w:rsid w:val="00843187"/>
    <w:rsid w:val="008D6C24"/>
    <w:rsid w:val="008E6AC7"/>
    <w:rsid w:val="008F6430"/>
    <w:rsid w:val="00905162"/>
    <w:rsid w:val="00912C81"/>
    <w:rsid w:val="009749D5"/>
    <w:rsid w:val="00976706"/>
    <w:rsid w:val="00984BE9"/>
    <w:rsid w:val="009C6009"/>
    <w:rsid w:val="009D73CE"/>
    <w:rsid w:val="00A65537"/>
    <w:rsid w:val="00AB01B4"/>
    <w:rsid w:val="00AD6E16"/>
    <w:rsid w:val="00B05E99"/>
    <w:rsid w:val="00B812CD"/>
    <w:rsid w:val="00C11FC0"/>
    <w:rsid w:val="00C3734C"/>
    <w:rsid w:val="00CD1D54"/>
    <w:rsid w:val="00D3733F"/>
    <w:rsid w:val="00D93394"/>
    <w:rsid w:val="00DA3D62"/>
    <w:rsid w:val="00DB50B4"/>
    <w:rsid w:val="00DD4EE6"/>
    <w:rsid w:val="00DF00AC"/>
    <w:rsid w:val="00E06452"/>
    <w:rsid w:val="00E373DF"/>
    <w:rsid w:val="00F50100"/>
    <w:rsid w:val="00F80B40"/>
    <w:rsid w:val="00FA00F2"/>
    <w:rsid w:val="00FC7D01"/>
    <w:rsid w:val="00FE7474"/>
    <w:rsid w:val="01366086"/>
    <w:rsid w:val="0357268F"/>
    <w:rsid w:val="03BE185C"/>
    <w:rsid w:val="04267B2D"/>
    <w:rsid w:val="04BE096F"/>
    <w:rsid w:val="137410DC"/>
    <w:rsid w:val="141D2438"/>
    <w:rsid w:val="157935CD"/>
    <w:rsid w:val="1FDF0762"/>
    <w:rsid w:val="218C0286"/>
    <w:rsid w:val="21E07BD9"/>
    <w:rsid w:val="235660F0"/>
    <w:rsid w:val="235F22BC"/>
    <w:rsid w:val="2C86655C"/>
    <w:rsid w:val="2CD47877"/>
    <w:rsid w:val="2F5729E1"/>
    <w:rsid w:val="3008508B"/>
    <w:rsid w:val="3213519A"/>
    <w:rsid w:val="3764F9CB"/>
    <w:rsid w:val="38DD4377"/>
    <w:rsid w:val="3FD14543"/>
    <w:rsid w:val="40414DCB"/>
    <w:rsid w:val="44D426B2"/>
    <w:rsid w:val="46713F31"/>
    <w:rsid w:val="50E21CB3"/>
    <w:rsid w:val="51EF21BF"/>
    <w:rsid w:val="567D4B5D"/>
    <w:rsid w:val="5C7A5495"/>
    <w:rsid w:val="5C823883"/>
    <w:rsid w:val="624C08B0"/>
    <w:rsid w:val="6853303E"/>
    <w:rsid w:val="6C9A2B24"/>
    <w:rsid w:val="6F114447"/>
    <w:rsid w:val="70DD7610"/>
    <w:rsid w:val="744F1357"/>
    <w:rsid w:val="750152E3"/>
    <w:rsid w:val="7B8F60F0"/>
    <w:rsid w:val="7C8C5452"/>
    <w:rsid w:val="7D6861BE"/>
    <w:rsid w:val="7FAF47B9"/>
    <w:rsid w:val="7FEF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next w:val="1"/>
    <w:qFormat/>
    <w:uiPriority w:val="99"/>
  </w:style>
  <w:style w:type="paragraph" w:styleId="4">
    <w:name w:val="Balloon Text"/>
    <w:basedOn w:val="1"/>
    <w:link w:val="18"/>
    <w:qFormat/>
    <w:uiPriority w:val="0"/>
    <w:rPr>
      <w:sz w:val="18"/>
      <w:szCs w:val="18"/>
    </w:rPr>
  </w:style>
  <w:style w:type="paragraph" w:styleId="5">
    <w:name w:val="footer"/>
    <w:basedOn w:val="1"/>
    <w:link w:val="22"/>
    <w:uiPriority w:val="99"/>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unhideWhenUsed/>
    <w:qFormat/>
    <w:uiPriority w:val="99"/>
    <w:rPr>
      <w:sz w:val="21"/>
      <w:szCs w:val="21"/>
    </w:rPr>
  </w:style>
  <w:style w:type="paragraph" w:customStyle="1" w:styleId="13">
    <w:name w:val="列出段落1"/>
    <w:basedOn w:val="1"/>
    <w:qFormat/>
    <w:uiPriority w:val="34"/>
    <w:pPr>
      <w:adjustRightInd w:val="0"/>
      <w:spacing w:line="400" w:lineRule="exact"/>
      <w:ind w:firstLine="420" w:firstLineChars="200"/>
    </w:pPr>
    <w:rPr>
      <w:rFonts w:ascii="Calibri" w:hAnsi="Calibri"/>
      <w:szCs w:val="21"/>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正文表标题"/>
    <w:next w:val="14"/>
    <w:qFormat/>
    <w:uiPriority w:val="0"/>
    <w:pPr>
      <w:numPr>
        <w:ilvl w:val="0"/>
        <w:numId w:val="1"/>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16">
    <w:name w:val="批注文字 Char"/>
    <w:basedOn w:val="11"/>
    <w:link w:val="2"/>
    <w:semiHidden/>
    <w:qFormat/>
    <w:uiPriority w:val="99"/>
    <w:rPr>
      <w:rFonts w:eastAsia="仿宋_GB2312"/>
      <w:kern w:val="2"/>
      <w:sz w:val="32"/>
    </w:rPr>
  </w:style>
  <w:style w:type="character" w:customStyle="1" w:styleId="17">
    <w:name w:val="批注主题 Char"/>
    <w:basedOn w:val="16"/>
    <w:link w:val="8"/>
    <w:qFormat/>
    <w:uiPriority w:val="0"/>
    <w:rPr>
      <w:rFonts w:eastAsia="仿宋_GB2312"/>
      <w:b/>
      <w:bCs/>
      <w:kern w:val="2"/>
      <w:sz w:val="32"/>
    </w:rPr>
  </w:style>
  <w:style w:type="character" w:customStyle="1" w:styleId="18">
    <w:name w:val="批注框文本 Char"/>
    <w:basedOn w:val="11"/>
    <w:link w:val="4"/>
    <w:qFormat/>
    <w:uiPriority w:val="0"/>
    <w:rPr>
      <w:rFonts w:eastAsia="仿宋_GB2312"/>
      <w:kern w:val="2"/>
      <w:sz w:val="18"/>
      <w:szCs w:val="18"/>
    </w:rPr>
  </w:style>
  <w:style w:type="character" w:customStyle="1" w:styleId="19">
    <w:name w:val="font11"/>
    <w:basedOn w:val="11"/>
    <w:qFormat/>
    <w:uiPriority w:val="0"/>
    <w:rPr>
      <w:rFonts w:hint="eastAsia" w:ascii="等线" w:hAnsi="等线" w:eastAsia="等线" w:cs="等线"/>
      <w:color w:val="000000"/>
      <w:sz w:val="24"/>
      <w:szCs w:val="24"/>
      <w:u w:val="none"/>
    </w:rPr>
  </w:style>
  <w:style w:type="character" w:customStyle="1" w:styleId="20">
    <w:name w:val="font31"/>
    <w:basedOn w:val="11"/>
    <w:uiPriority w:val="0"/>
    <w:rPr>
      <w:rFonts w:hint="eastAsia" w:ascii="等线" w:hAnsi="等线" w:eastAsia="等线" w:cs="等线"/>
      <w:color w:val="000000"/>
      <w:sz w:val="20"/>
      <w:szCs w:val="20"/>
      <w:u w:val="none"/>
    </w:rPr>
  </w:style>
  <w:style w:type="character" w:customStyle="1" w:styleId="21">
    <w:name w:val="页眉 Char"/>
    <w:basedOn w:val="11"/>
    <w:link w:val="6"/>
    <w:qFormat/>
    <w:uiPriority w:val="0"/>
    <w:rPr>
      <w:rFonts w:eastAsia="仿宋_GB2312"/>
      <w:kern w:val="2"/>
      <w:sz w:val="18"/>
      <w:szCs w:val="18"/>
    </w:rPr>
  </w:style>
  <w:style w:type="character" w:customStyle="1" w:styleId="22">
    <w:name w:val="页脚 Char"/>
    <w:basedOn w:val="11"/>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504</Words>
  <Characters>2879</Characters>
  <Lines>23</Lines>
  <Paragraphs>6</Paragraphs>
  <TotalTime>7</TotalTime>
  <ScaleCrop>false</ScaleCrop>
  <LinksUpToDate>false</LinksUpToDate>
  <CharactersWithSpaces>3377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2023-10-19T19:39:00Z</dcterms:created>
  <dc:creator>叶菲</dc:creator>
  <cp:lastModifiedBy>zlx</cp:lastModifiedBy>
  <cp:lastPrinted>2024-09-09T18:12:00Z</cp:lastPrinted>
  <dcterms:modified xsi:type="dcterms:W3CDTF">2025-06-30T14:45:44Z</dcterms:modified>
  <dc:title>附件3</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6344D8E803C8197058A0F466460DD26B</vt:lpwstr>
  </property>
</Properties>
</file>