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val="0"/>
        <w:snapToGrid w:val="0"/>
        <w:spacing w:line="336" w:lineRule="auto"/>
        <w:textAlignment w:val="auto"/>
        <w:rPr>
          <w:rFonts w:hint="eastAsia" w:ascii="黑体" w:eastAsia="黑体"/>
          <w:kern w:val="2"/>
          <w:szCs w:val="32"/>
        </w:rPr>
      </w:pPr>
    </w:p>
    <w:p>
      <w:pPr>
        <w:keepNext w:val="0"/>
        <w:keepLines w:val="0"/>
        <w:pageBreakBefore w:val="0"/>
        <w:widowControl w:val="0"/>
        <w:kinsoku/>
        <w:wordWrap/>
        <w:overflowPunct w:val="0"/>
        <w:topLinePunct w:val="0"/>
        <w:autoSpaceDE/>
        <w:autoSpaceDN/>
        <w:bidi w:val="0"/>
        <w:adjustRightInd w:val="0"/>
        <w:snapToGrid w:val="0"/>
        <w:spacing w:line="336" w:lineRule="auto"/>
        <w:textAlignment w:val="auto"/>
        <w:rPr>
          <w:rFonts w:hint="eastAsia" w:ascii="黑体" w:eastAsia="黑体"/>
          <w:kern w:val="2"/>
          <w:szCs w:val="32"/>
        </w:rPr>
      </w:pPr>
    </w:p>
    <w:p>
      <w:pPr>
        <w:keepNext w:val="0"/>
        <w:keepLines w:val="0"/>
        <w:pageBreakBefore w:val="0"/>
        <w:widowControl w:val="0"/>
        <w:kinsoku/>
        <w:wordWrap/>
        <w:overflowPunct w:val="0"/>
        <w:topLinePunct w:val="0"/>
        <w:autoSpaceDE/>
        <w:autoSpaceDN/>
        <w:bidi w:val="0"/>
        <w:adjustRightInd w:val="0"/>
        <w:snapToGrid w:val="0"/>
        <w:spacing w:line="336" w:lineRule="auto"/>
        <w:textAlignment w:val="auto"/>
        <w:rPr>
          <w:rFonts w:hint="eastAsia" w:ascii="黑体" w:eastAsia="黑体"/>
          <w:kern w:val="2"/>
          <w:szCs w:val="32"/>
        </w:rPr>
      </w:pPr>
    </w:p>
    <w:p>
      <w:pPr>
        <w:keepNext w:val="0"/>
        <w:keepLines w:val="0"/>
        <w:pageBreakBefore w:val="0"/>
        <w:widowControl w:val="0"/>
        <w:kinsoku/>
        <w:wordWrap/>
        <w:overflowPunct w:val="0"/>
        <w:topLinePunct w:val="0"/>
        <w:autoSpaceDE/>
        <w:autoSpaceDN/>
        <w:bidi w:val="0"/>
        <w:adjustRightInd w:val="0"/>
        <w:snapToGrid w:val="0"/>
        <w:spacing w:line="100" w:lineRule="exact"/>
        <w:textAlignment w:val="auto"/>
        <w:rPr>
          <w:rFonts w:hint="eastAsia" w:ascii="黑体" w:eastAsia="黑体"/>
          <w:kern w:val="2"/>
          <w:szCs w:val="32"/>
        </w:rPr>
      </w:pPr>
    </w:p>
    <w:p>
      <w:pPr>
        <w:keepNext w:val="0"/>
        <w:keepLines w:val="0"/>
        <w:pageBreakBefore w:val="0"/>
        <w:widowControl w:val="0"/>
        <w:kinsoku/>
        <w:wordWrap/>
        <w:overflowPunct w:val="0"/>
        <w:topLinePunct w:val="0"/>
        <w:autoSpaceDE/>
        <w:autoSpaceDN/>
        <w:bidi w:val="0"/>
        <w:adjustRightInd w:val="0"/>
        <w:snapToGrid w:val="0"/>
        <w:ind w:left="-57"/>
        <w:jc w:val="center"/>
        <w:textAlignment w:val="auto"/>
        <w:rPr>
          <w:rFonts w:hint="eastAsia" w:ascii="方正小标宋简体" w:hAnsi="宋体" w:eastAsia="方正小标宋简体"/>
          <w:color w:val="FF0000"/>
          <w:kern w:val="2"/>
          <w:sz w:val="72"/>
          <w:szCs w:val="72"/>
        </w:rPr>
      </w:pPr>
      <w:r>
        <w:rPr>
          <w:rFonts w:hint="eastAsia" w:ascii="方正小标宋简体" w:hAnsi="宋体" w:eastAsia="方正小标宋简体"/>
          <w:color w:val="FF0000"/>
          <w:kern w:val="2"/>
          <w:sz w:val="72"/>
          <w:szCs w:val="72"/>
        </w:rPr>
        <w:t>上海市市场监督管理局文件</w:t>
      </w:r>
    </w:p>
    <w:p>
      <w:pPr>
        <w:keepNext w:val="0"/>
        <w:keepLines w:val="0"/>
        <w:pageBreakBefore w:val="0"/>
        <w:widowControl w:val="0"/>
        <w:tabs>
          <w:tab w:val="left" w:pos="790"/>
        </w:tabs>
        <w:kinsoku/>
        <w:wordWrap/>
        <w:overflowPunct w:val="0"/>
        <w:topLinePunct w:val="0"/>
        <w:autoSpaceDE/>
        <w:autoSpaceDN/>
        <w:bidi w:val="0"/>
        <w:adjustRightInd w:val="0"/>
        <w:snapToGrid w:val="0"/>
        <w:spacing w:line="252" w:lineRule="auto"/>
        <w:jc w:val="center"/>
        <w:textAlignment w:val="auto"/>
        <w:rPr>
          <w:rFonts w:hint="eastAsia" w:ascii="黑体" w:eastAsia="黑体"/>
          <w:kern w:val="2"/>
          <w:szCs w:val="32"/>
        </w:rPr>
      </w:pPr>
    </w:p>
    <w:p>
      <w:pPr>
        <w:keepNext w:val="0"/>
        <w:keepLines w:val="0"/>
        <w:pageBreakBefore w:val="0"/>
        <w:widowControl w:val="0"/>
        <w:tabs>
          <w:tab w:val="left" w:pos="790"/>
        </w:tabs>
        <w:kinsoku/>
        <w:wordWrap/>
        <w:overflowPunct w:val="0"/>
        <w:topLinePunct w:val="0"/>
        <w:autoSpaceDE/>
        <w:autoSpaceDN/>
        <w:bidi w:val="0"/>
        <w:adjustRightInd w:val="0"/>
        <w:snapToGrid w:val="0"/>
        <w:spacing w:line="252" w:lineRule="auto"/>
        <w:jc w:val="center"/>
        <w:textAlignment w:val="auto"/>
        <w:rPr>
          <w:rFonts w:hint="eastAsia" w:ascii="黑体" w:eastAsia="黑体"/>
          <w:kern w:val="2"/>
          <w:szCs w:val="32"/>
        </w:rPr>
      </w:pPr>
    </w:p>
    <w:p>
      <w:pPr>
        <w:keepNext w:val="0"/>
        <w:keepLines w:val="0"/>
        <w:pageBreakBefore w:val="0"/>
        <w:widowControl w:val="0"/>
        <w:tabs>
          <w:tab w:val="left" w:pos="790"/>
        </w:tabs>
        <w:kinsoku/>
        <w:wordWrap/>
        <w:overflowPunct w:val="0"/>
        <w:topLinePunct w:val="0"/>
        <w:autoSpaceDE/>
        <w:autoSpaceDN/>
        <w:bidi w:val="0"/>
        <w:adjustRightInd w:val="0"/>
        <w:snapToGrid w:val="0"/>
        <w:spacing w:line="336" w:lineRule="auto"/>
        <w:jc w:val="center"/>
        <w:textAlignment w:val="auto"/>
        <w:rPr>
          <w:rFonts w:hint="eastAsia"/>
          <w:kern w:val="2"/>
          <w:szCs w:val="32"/>
        </w:rPr>
      </w:pPr>
      <w:r>
        <w:rPr>
          <w:rFonts w:hint="eastAsia"/>
          <w:kern w:val="2"/>
          <w:szCs w:val="30"/>
        </w:rPr>
        <mc:AlternateContent>
          <mc:Choice Requires="wps">
            <w:drawing>
              <wp:anchor distT="0" distB="0" distL="114300" distR="114300" simplePos="0" relativeHeight="251658240" behindDoc="0" locked="1" layoutInCell="1" allowOverlap="1">
                <wp:simplePos x="0" y="0"/>
                <wp:positionH relativeFrom="column">
                  <wp:posOffset>635</wp:posOffset>
                </wp:positionH>
                <wp:positionV relativeFrom="paragraph">
                  <wp:posOffset>386080</wp:posOffset>
                </wp:positionV>
                <wp:extent cx="5615940" cy="0"/>
                <wp:effectExtent l="0" t="9525" r="3810" b="9525"/>
                <wp:wrapNone/>
                <wp:docPr id="2" name="直接连接符 2"/>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05pt;margin-top:30.4pt;height:0pt;width:442.2pt;z-index:251658240;mso-width-relative:page;mso-height-relative:page;" filled="f" stroked="t" coordsize="21600,21600" o:gfxdata="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WAAAAZHJzL1BLAQIUABQAAAAI&#10;AIdO4kCIDoLA1AAAAAYBAAAPAAAAAAAAAAEAIAAAADgAAABkcnMvZG93bnJldi54bWxQSwECFAAU&#10;AAAACACHTuJA7yxrV98BAACaAwAADgAAAAAAAAABACAAAAA5AQAAZHJzL2Uyb0RvYy54bWxQSwUG&#10;AAAAAAYABgBZAQAAigUAAAAA&#10;">
                <v:fill on="f" focussize="0,0"/>
                <v:stroke weight="1.5pt" color="#FF0000" joinstyle="round"/>
                <v:imagedata o:title=""/>
                <o:lock v:ext="edit" aspectratio="f"/>
                <w10:anchorlock/>
              </v:line>
            </w:pict>
          </mc:Fallback>
        </mc:AlternateContent>
      </w:r>
      <w:r>
        <w:rPr>
          <w:rFonts w:hint="eastAsia"/>
          <w:kern w:val="2"/>
          <w:szCs w:val="32"/>
        </w:rPr>
        <w:t>沪市监</w:t>
      </w:r>
      <w:r>
        <w:rPr>
          <w:rFonts w:hint="eastAsia"/>
          <w:kern w:val="2"/>
          <w:szCs w:val="32"/>
          <w:lang w:eastAsia="zh-CN"/>
        </w:rPr>
        <w:t>网监</w:t>
      </w:r>
      <w:r>
        <w:rPr>
          <w:rFonts w:hint="eastAsia"/>
          <w:kern w:val="2"/>
          <w:szCs w:val="32"/>
        </w:rPr>
        <w:t>〔202</w:t>
      </w:r>
      <w:r>
        <w:rPr>
          <w:rFonts w:hint="default"/>
          <w:kern w:val="2"/>
          <w:szCs w:val="32"/>
          <w:lang w:val="en"/>
        </w:rPr>
        <w:t>5</w:t>
      </w:r>
      <w:r>
        <w:rPr>
          <w:rFonts w:hint="eastAsia"/>
          <w:kern w:val="2"/>
          <w:szCs w:val="32"/>
        </w:rPr>
        <w:t>〕</w:t>
      </w:r>
      <w:r>
        <w:rPr>
          <w:rFonts w:hint="default"/>
          <w:kern w:val="2"/>
          <w:szCs w:val="32"/>
          <w:lang w:val="en"/>
        </w:rPr>
        <w:t>302</w:t>
      </w:r>
      <w:bookmarkStart w:id="0" w:name="_GoBack"/>
      <w:bookmarkEnd w:id="0"/>
      <w:r>
        <w:rPr>
          <w:rFonts w:hint="eastAsia"/>
          <w:kern w:val="2"/>
          <w:szCs w:val="32"/>
        </w:rPr>
        <w:t>号</w:t>
      </w:r>
    </w:p>
    <w:p>
      <w:pPr>
        <w:keepNext w:val="0"/>
        <w:keepLines w:val="0"/>
        <w:pageBreakBefore w:val="0"/>
        <w:widowControl w:val="0"/>
        <w:tabs>
          <w:tab w:val="left" w:pos="790"/>
        </w:tabs>
        <w:kinsoku/>
        <w:wordWrap/>
        <w:overflowPunct w:val="0"/>
        <w:topLinePunct w:val="0"/>
        <w:autoSpaceDE/>
        <w:autoSpaceDN/>
        <w:bidi w:val="0"/>
        <w:adjustRightInd w:val="0"/>
        <w:snapToGrid w:val="0"/>
        <w:spacing w:line="264" w:lineRule="auto"/>
        <w:jc w:val="center"/>
        <w:textAlignment w:val="auto"/>
        <w:rPr>
          <w:rFonts w:hint="eastAsia"/>
          <w:kern w:val="2"/>
          <w:szCs w:val="30"/>
        </w:rPr>
      </w:pPr>
    </w:p>
    <w:p>
      <w:pPr>
        <w:keepNext w:val="0"/>
        <w:keepLines w:val="0"/>
        <w:pageBreakBefore w:val="0"/>
        <w:widowControl w:val="0"/>
        <w:tabs>
          <w:tab w:val="left" w:pos="790"/>
        </w:tabs>
        <w:kinsoku/>
        <w:wordWrap/>
        <w:overflowPunct w:val="0"/>
        <w:topLinePunct w:val="0"/>
        <w:autoSpaceDE/>
        <w:autoSpaceDN/>
        <w:bidi w:val="0"/>
        <w:adjustRightInd w:val="0"/>
        <w:snapToGrid w:val="0"/>
        <w:spacing w:line="264" w:lineRule="auto"/>
        <w:jc w:val="center"/>
        <w:textAlignment w:val="auto"/>
        <w:rPr>
          <w:rFonts w:hint="eastAsia"/>
          <w:kern w:val="2"/>
          <w:szCs w:val="30"/>
        </w:rPr>
      </w:pPr>
    </w:p>
    <w:p>
      <w:pPr>
        <w:keepNext w:val="0"/>
        <w:keepLines w:val="0"/>
        <w:pageBreakBefore w:val="0"/>
        <w:widowControl w:val="0"/>
        <w:tabs>
          <w:tab w:val="left" w:pos="790"/>
        </w:tabs>
        <w:kinsoku/>
        <w:wordWrap/>
        <w:overflowPunct w:val="0"/>
        <w:topLinePunct w:val="0"/>
        <w:autoSpaceDE/>
        <w:autoSpaceDN/>
        <w:bidi w:val="0"/>
        <w:adjustRightInd w:val="0"/>
        <w:snapToGrid w:val="0"/>
        <w:spacing w:line="560" w:lineRule="exact"/>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上海市市场监督管理局关于印发</w:t>
      </w:r>
    </w:p>
    <w:p>
      <w:pPr>
        <w:keepNext w:val="0"/>
        <w:keepLines w:val="0"/>
        <w:pageBreakBefore w:val="0"/>
        <w:widowControl w:val="0"/>
        <w:tabs>
          <w:tab w:val="left" w:pos="790"/>
        </w:tabs>
        <w:kinsoku/>
        <w:wordWrap/>
        <w:overflowPunct w:val="0"/>
        <w:topLinePunct w:val="0"/>
        <w:autoSpaceDE/>
        <w:autoSpaceDN/>
        <w:bidi w:val="0"/>
        <w:adjustRightInd w:val="0"/>
        <w:snapToGrid w:val="0"/>
        <w:spacing w:line="560" w:lineRule="exact"/>
        <w:ind w:right="170"/>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w:t>
      </w:r>
      <w:r>
        <w:rPr>
          <w:rFonts w:hint="eastAsia" w:ascii="方正小标宋简体" w:hAnsi="宋体" w:eastAsia="方正小标宋简体"/>
          <w:kern w:val="2"/>
          <w:sz w:val="44"/>
          <w:szCs w:val="44"/>
          <w:lang w:val="en" w:eastAsia="zh-CN"/>
        </w:rPr>
        <w:t>上海市</w:t>
      </w:r>
      <w:r>
        <w:rPr>
          <w:rFonts w:hint="eastAsia" w:ascii="方正小标宋简体" w:hAnsi="宋体" w:eastAsia="方正小标宋简体"/>
          <w:kern w:val="2"/>
          <w:sz w:val="44"/>
          <w:szCs w:val="44"/>
          <w:lang w:eastAsia="zh-CN"/>
        </w:rPr>
        <w:t>合同格式条款公示指引</w:t>
      </w:r>
      <w:r>
        <w:rPr>
          <w:rFonts w:hint="eastAsia" w:ascii="方正小标宋简体" w:hAnsi="宋体" w:eastAsia="方正小标宋简体"/>
          <w:kern w:val="2"/>
          <w:sz w:val="44"/>
          <w:szCs w:val="44"/>
        </w:rPr>
        <w:t>》的通知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1" w:lineRule="auto"/>
        <w:ind w:firstLine="624"/>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1" w:lineRule="auto"/>
        <w:jc w:val="both"/>
        <w:textAlignment w:val="auto"/>
        <w:rPr>
          <w:rFonts w:hint="default" w:hAnsi="宋体"/>
          <w:kern w:val="2"/>
          <w:szCs w:val="30"/>
        </w:rPr>
      </w:pPr>
      <w:r>
        <w:rPr>
          <w:rFonts w:hint="default" w:hAnsi="宋体"/>
          <w:kern w:val="2"/>
          <w:szCs w:val="30"/>
        </w:rPr>
        <w:t>各区市场监管局，临港新片区市场监管局，</w:t>
      </w:r>
      <w:r>
        <w:rPr>
          <w:rFonts w:hint="eastAsia" w:hAnsi="宋体"/>
          <w:kern w:val="2"/>
          <w:szCs w:val="30"/>
          <w:lang w:eastAsia="zh-CN"/>
        </w:rPr>
        <w:t>市局</w:t>
      </w:r>
      <w:r>
        <w:rPr>
          <w:rFonts w:hint="default" w:hAnsi="宋体"/>
          <w:kern w:val="2"/>
          <w:szCs w:val="30"/>
        </w:rPr>
        <w:t>机场分局</w:t>
      </w:r>
      <w:r>
        <w:rPr>
          <w:rFonts w:hint="eastAsia" w:hAnsi="宋体"/>
          <w:kern w:val="2"/>
          <w:szCs w:val="30"/>
          <w:lang w:eastAsia="zh-CN"/>
        </w:rPr>
        <w:t>，各有关单位</w:t>
      </w:r>
      <w:r>
        <w:rPr>
          <w:rFonts w:hint="default" w:hAnsi="宋体"/>
          <w:kern w:val="2"/>
          <w:szCs w:val="30"/>
        </w:rPr>
        <w:t>：</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1" w:lineRule="auto"/>
        <w:ind w:firstLine="624"/>
        <w:jc w:val="both"/>
        <w:textAlignment w:val="auto"/>
        <w:rPr>
          <w:rFonts w:hint="eastAsia" w:hAnsi="宋体"/>
          <w:kern w:val="2"/>
          <w:szCs w:val="30"/>
          <w:lang w:eastAsia="zh-CN"/>
        </w:rPr>
      </w:pPr>
      <w:r>
        <w:rPr>
          <w:rFonts w:hint="eastAsia" w:hAnsi="宋体"/>
          <w:kern w:val="2"/>
          <w:szCs w:val="30"/>
          <w:lang w:eastAsia="zh-CN"/>
        </w:rPr>
        <w:t>现将</w:t>
      </w:r>
      <w:r>
        <w:rPr>
          <w:rFonts w:hint="default" w:hAnsi="宋体"/>
          <w:kern w:val="2"/>
          <w:szCs w:val="30"/>
          <w:lang w:eastAsia="zh-CN"/>
        </w:rPr>
        <w:t>《</w:t>
      </w:r>
      <w:r>
        <w:rPr>
          <w:rFonts w:hint="default" w:hAnsi="宋体"/>
          <w:kern w:val="2"/>
          <w:szCs w:val="30"/>
          <w:lang w:val="en" w:eastAsia="zh-CN"/>
        </w:rPr>
        <w:t>上海市</w:t>
      </w:r>
      <w:r>
        <w:rPr>
          <w:rFonts w:hint="eastAsia" w:hAnsi="宋体"/>
          <w:kern w:val="2"/>
          <w:szCs w:val="30"/>
          <w:lang w:val="en" w:eastAsia="zh-CN"/>
        </w:rPr>
        <w:t>合同格式条款公示指引</w:t>
      </w:r>
      <w:r>
        <w:rPr>
          <w:rFonts w:hint="default" w:hAnsi="宋体"/>
          <w:kern w:val="2"/>
          <w:szCs w:val="30"/>
          <w:lang w:eastAsia="zh-CN"/>
        </w:rPr>
        <w:t>》印发给你们</w:t>
      </w:r>
      <w:r>
        <w:rPr>
          <w:rFonts w:hint="eastAsia" w:hAnsi="宋体"/>
          <w:kern w:val="2"/>
          <w:szCs w:val="30"/>
          <w:lang w:eastAsia="zh-CN"/>
        </w:rPr>
        <w:t>，请各单位加强宣传，指导辖区</w:t>
      </w:r>
      <w:r>
        <w:rPr>
          <w:rFonts w:hint="eastAsia" w:hAnsi="宋体"/>
          <w:kern w:val="2"/>
          <w:szCs w:val="30"/>
        </w:rPr>
        <w:t>消费领域重点行业</w:t>
      </w:r>
      <w:r>
        <w:rPr>
          <w:rFonts w:hint="eastAsia" w:hAnsi="宋体"/>
          <w:kern w:val="2"/>
          <w:szCs w:val="30"/>
          <w:lang w:eastAsia="zh-CN"/>
        </w:rPr>
        <w:t>经营者做好格式条款公示工作。</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1" w:lineRule="auto"/>
        <w:ind w:firstLine="624"/>
        <w:jc w:val="both"/>
        <w:textAlignment w:val="auto"/>
        <w:rPr>
          <w:rFonts w:hint="eastAsia" w:hAnsi="宋体"/>
          <w:kern w:val="2"/>
          <w:szCs w:val="30"/>
        </w:rPr>
      </w:pPr>
      <w:r>
        <w:rPr>
          <w:rFonts w:hint="default" w:hAnsi="宋体"/>
          <w:kern w:val="2"/>
          <w:szCs w:val="30"/>
        </w:rPr>
        <w:t>特此通知。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1"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1"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1"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1" w:lineRule="auto"/>
        <w:ind w:right="941" w:firstLine="624"/>
        <w:jc w:val="right"/>
        <w:textAlignment w:val="auto"/>
        <w:rPr>
          <w:rFonts w:hint="eastAsia" w:hAnsi="宋体"/>
          <w:kern w:val="2"/>
          <w:szCs w:val="30"/>
        </w:rPr>
      </w:pPr>
      <w:r>
        <w:rPr>
          <w:rFonts w:hint="eastAsia" w:hAnsi="宋体"/>
          <w:kern w:val="2"/>
          <w:szCs w:val="30"/>
        </w:rPr>
        <w:t>上海市市场监督管理局</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1" w:lineRule="auto"/>
        <w:ind w:right="1247" w:firstLine="624"/>
        <w:jc w:val="right"/>
        <w:textAlignment w:val="auto"/>
        <w:rPr>
          <w:rFonts w:hint="eastAsia" w:hAnsi="宋体"/>
          <w:kern w:val="2"/>
          <w:szCs w:val="30"/>
        </w:rPr>
      </w:pPr>
      <w:r>
        <w:rPr>
          <w:rFonts w:hint="eastAsia" w:hAnsi="宋体"/>
          <w:kern w:val="2"/>
          <w:szCs w:val="30"/>
        </w:rPr>
        <w:t>202</w:t>
      </w:r>
      <w:r>
        <w:rPr>
          <w:rFonts w:hint="default" w:hAnsi="宋体"/>
          <w:kern w:val="2"/>
          <w:szCs w:val="30"/>
          <w:lang w:val="en"/>
        </w:rPr>
        <w:t>5</w:t>
      </w:r>
      <w:r>
        <w:rPr>
          <w:rFonts w:hint="eastAsia" w:hAnsi="宋体"/>
          <w:kern w:val="2"/>
          <w:szCs w:val="30"/>
        </w:rPr>
        <w:t>年</w:t>
      </w:r>
      <w:r>
        <w:rPr>
          <w:rFonts w:hint="eastAsia" w:hAnsi="宋体"/>
          <w:kern w:val="2"/>
          <w:szCs w:val="30"/>
          <w:lang w:val="en-US" w:eastAsia="zh-CN"/>
        </w:rPr>
        <w:t>11</w:t>
      </w:r>
      <w:r>
        <w:rPr>
          <w:rFonts w:hint="eastAsia" w:hAnsi="宋体"/>
          <w:kern w:val="2"/>
          <w:szCs w:val="30"/>
        </w:rPr>
        <w:t>月</w:t>
      </w:r>
      <w:r>
        <w:rPr>
          <w:rFonts w:hint="eastAsia" w:hAnsi="宋体"/>
          <w:kern w:val="2"/>
          <w:szCs w:val="30"/>
          <w:lang w:val="en-US" w:eastAsia="zh-CN"/>
        </w:rPr>
        <w:t>3</w:t>
      </w:r>
      <w:r>
        <w:rPr>
          <w:rFonts w:hint="eastAsia" w:hAnsi="宋体"/>
          <w:kern w:val="2"/>
          <w:szCs w:val="30"/>
        </w:rPr>
        <w:t>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1" w:lineRule="auto"/>
        <w:ind w:firstLine="624"/>
        <w:jc w:val="both"/>
        <w:textAlignment w:val="auto"/>
        <w:rPr>
          <w:rFonts w:hint="eastAsia" w:hAnsi="宋体"/>
          <w:kern w:val="2"/>
          <w:szCs w:val="30"/>
          <w:lang w:val="en-US" w:eastAsia="zh-CN"/>
        </w:rPr>
      </w:pPr>
      <w:r>
        <w:rPr>
          <w:rFonts w:hint="eastAsia" w:hAnsi="宋体"/>
          <w:kern w:val="2"/>
          <w:szCs w:val="30"/>
          <w:lang w:val="en-US" w:eastAsia="zh-CN"/>
        </w:rPr>
        <w:t>（此件公开发布）</w:t>
      </w:r>
    </w:p>
    <w:p>
      <w:pPr>
        <w:keepNext w:val="0"/>
        <w:keepLines w:val="0"/>
        <w:pageBreakBefore w:val="0"/>
        <w:widowControl w:val="0"/>
        <w:tabs>
          <w:tab w:val="left" w:pos="790"/>
        </w:tabs>
        <w:kinsoku/>
        <w:wordWrap/>
        <w:overflowPunct w:val="0"/>
        <w:topLinePunct w:val="0"/>
        <w:autoSpaceDE/>
        <w:autoSpaceDN/>
        <w:bidi w:val="0"/>
        <w:adjustRightInd w:val="0"/>
        <w:snapToGrid w:val="0"/>
        <w:spacing w:line="240" w:lineRule="auto"/>
        <w:jc w:val="center"/>
        <w:textAlignment w:val="auto"/>
        <w:rPr>
          <w:rFonts w:hint="eastAsia" w:ascii="方正小标宋简体" w:hAnsi="宋体" w:eastAsia="方正小标宋简体"/>
          <w:kern w:val="2"/>
          <w:sz w:val="44"/>
          <w:szCs w:val="44"/>
          <w:lang w:eastAsia="zh-CN"/>
        </w:rPr>
      </w:pPr>
      <w:r>
        <w:rPr>
          <w:rFonts w:hint="eastAsia" w:ascii="方正小标宋简体" w:hAnsi="宋体" w:eastAsia="方正小标宋简体"/>
          <w:kern w:val="2"/>
          <w:sz w:val="44"/>
          <w:szCs w:val="44"/>
          <w:lang w:eastAsia="zh-CN"/>
        </w:rPr>
        <w:t>上海市合同格式条款公示指引</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第一条（目的和依据）</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r>
        <w:rPr>
          <w:rFonts w:hint="eastAsia" w:hAnsi="宋体"/>
          <w:kern w:val="2"/>
          <w:szCs w:val="30"/>
        </w:rPr>
        <w:t>为</w:t>
      </w:r>
      <w:r>
        <w:rPr>
          <w:rFonts w:hint="eastAsia" w:hAnsi="宋体"/>
          <w:kern w:val="2"/>
          <w:szCs w:val="30"/>
          <w:lang w:eastAsia="zh-CN"/>
        </w:rPr>
        <w:t>引导本市</w:t>
      </w:r>
      <w:r>
        <w:rPr>
          <w:rFonts w:hint="eastAsia" w:hAnsi="宋体"/>
          <w:kern w:val="2"/>
          <w:szCs w:val="30"/>
        </w:rPr>
        <w:t>消费领域重点行业</w:t>
      </w:r>
      <w:r>
        <w:rPr>
          <w:rFonts w:hint="eastAsia" w:hAnsi="宋体"/>
          <w:kern w:val="2"/>
          <w:szCs w:val="30"/>
          <w:lang w:eastAsia="zh-CN"/>
        </w:rPr>
        <w:t>经营者建立格式条款公示制度，规范经营者格式条款公示行为，保护消费者合法权益，根据《上海市合同格式条款监督条例》《合同行政监督管理办法》等规定，</w:t>
      </w:r>
      <w:r>
        <w:rPr>
          <w:rFonts w:hint="eastAsia" w:hAnsi="宋体"/>
          <w:kern w:val="2"/>
          <w:szCs w:val="30"/>
        </w:rPr>
        <w:t>制定本</w:t>
      </w:r>
      <w:r>
        <w:rPr>
          <w:rFonts w:hint="eastAsia" w:hAnsi="宋体"/>
          <w:kern w:val="2"/>
          <w:szCs w:val="30"/>
          <w:lang w:eastAsia="zh-CN"/>
        </w:rPr>
        <w:t>指引</w:t>
      </w:r>
      <w:r>
        <w:rPr>
          <w:rFonts w:hint="eastAsia" w:hAnsi="宋体"/>
          <w:kern w:val="2"/>
          <w:szCs w:val="30"/>
        </w:rPr>
        <w:t>。</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第二条（定义）</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r>
        <w:rPr>
          <w:rFonts w:hint="eastAsia" w:hAnsi="宋体"/>
          <w:kern w:val="2"/>
          <w:szCs w:val="30"/>
        </w:rPr>
        <w:t>本指引所称格式条款，是指</w:t>
      </w:r>
      <w:r>
        <w:rPr>
          <w:rFonts w:hint="eastAsia" w:hAnsi="宋体"/>
          <w:kern w:val="2"/>
          <w:szCs w:val="30"/>
          <w:lang w:eastAsia="zh-CN"/>
        </w:rPr>
        <w:t>经营者</w:t>
      </w:r>
      <w:r>
        <w:rPr>
          <w:rFonts w:hint="eastAsia" w:hAnsi="宋体"/>
          <w:kern w:val="2"/>
          <w:szCs w:val="30"/>
        </w:rPr>
        <w:t>为了重复使用而预先拟定，并在订立合同时未与消费者协商的条款。</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第三条（适用范围）</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r>
        <w:rPr>
          <w:rFonts w:hint="eastAsia" w:hAnsi="宋体"/>
          <w:kern w:val="2"/>
          <w:szCs w:val="30"/>
          <w:lang w:eastAsia="zh-CN"/>
        </w:rPr>
        <w:t>本市行政区域内，消费领域重点行业经营者与消费者订立合同采用格式条款的公示活动适用本指引。</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第四条（基本原则）</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经营者开展</w:t>
      </w:r>
      <w:r>
        <w:rPr>
          <w:rFonts w:hint="eastAsia" w:hAnsi="宋体"/>
          <w:kern w:val="2"/>
          <w:szCs w:val="30"/>
        </w:rPr>
        <w:t>格式条款公示，应当遵循</w:t>
      </w:r>
      <w:r>
        <w:rPr>
          <w:rFonts w:hint="eastAsia" w:hAnsi="宋体"/>
          <w:kern w:val="2"/>
          <w:szCs w:val="30"/>
          <w:lang w:eastAsia="zh-CN"/>
        </w:rPr>
        <w:t>合法合理、公开透明、便民利民的原则，保障消费者的知情权和选择权。</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经营者应当遵循公平原则确定当事人之间的权利和义务，不得滥用优势地位作出对消费者不公平、不合理的规定。</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第五条（经营者主体责任）</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经营者应当依法落实格式条款公示的主体责任，结合自身经营模式和订约场景，明确公示管理职责，完善公示的内容和方式，努力构建格式条款公示合规管理制度。</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第六条（公示）</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rPr>
        <w:t>下列合同采用格式条款的，</w:t>
      </w:r>
      <w:r>
        <w:rPr>
          <w:rFonts w:hint="eastAsia" w:hAnsi="宋体"/>
          <w:kern w:val="2"/>
          <w:szCs w:val="30"/>
          <w:lang w:eastAsia="zh-CN"/>
        </w:rPr>
        <w:t>市场监督管理部门引导消费领域重点行业经营者</w:t>
      </w:r>
      <w:r>
        <w:rPr>
          <w:rFonts w:hint="eastAsia" w:hAnsi="宋体"/>
          <w:kern w:val="2"/>
          <w:szCs w:val="30"/>
        </w:rPr>
        <w:t>建立格式条款公示等制度</w:t>
      </w:r>
      <w:r>
        <w:rPr>
          <w:rFonts w:hint="eastAsia" w:hAnsi="宋体"/>
          <w:kern w:val="2"/>
          <w:szCs w:val="30"/>
          <w:lang w:eastAsia="zh-CN"/>
        </w:rPr>
        <w:t>：</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r>
        <w:rPr>
          <w:rFonts w:hint="eastAsia" w:hAnsi="宋体"/>
          <w:kern w:val="2"/>
          <w:szCs w:val="30"/>
        </w:rPr>
        <w:t>（一）房屋的买卖、租赁及其中介、委托合同；</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r>
        <w:rPr>
          <w:rFonts w:hint="eastAsia" w:hAnsi="宋体"/>
          <w:kern w:val="2"/>
          <w:szCs w:val="30"/>
        </w:rPr>
        <w:t>（二）物业服务合同、住宅装潢合同；</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r>
        <w:rPr>
          <w:rFonts w:hint="eastAsia" w:hAnsi="宋体"/>
          <w:kern w:val="2"/>
          <w:szCs w:val="30"/>
        </w:rPr>
        <w:t>（三）旅游合同；</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r>
        <w:rPr>
          <w:rFonts w:hint="eastAsia" w:hAnsi="宋体"/>
          <w:kern w:val="2"/>
          <w:szCs w:val="30"/>
        </w:rPr>
        <w:t>（四）供用电、水、气合同；</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r>
        <w:rPr>
          <w:rFonts w:hint="eastAsia" w:hAnsi="宋体"/>
          <w:kern w:val="2"/>
          <w:szCs w:val="30"/>
        </w:rPr>
        <w:t>（五）运输合同；</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r>
        <w:rPr>
          <w:rFonts w:hint="eastAsia" w:hAnsi="宋体"/>
          <w:kern w:val="2"/>
          <w:szCs w:val="30"/>
        </w:rPr>
        <w:t>（六）邮政、电信合同；</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r>
        <w:rPr>
          <w:rFonts w:hint="eastAsia" w:hAnsi="宋体"/>
          <w:kern w:val="2"/>
          <w:szCs w:val="30"/>
        </w:rPr>
        <w:t>（七）其他重点行业合同。</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r>
        <w:rPr>
          <w:rFonts w:hint="eastAsia" w:hAnsi="宋体"/>
          <w:kern w:val="2"/>
          <w:szCs w:val="30"/>
          <w:lang w:eastAsia="zh-CN"/>
        </w:rPr>
        <w:t>采用前款规定以外的格式条款的，鼓励经营者参照建立格式条款公示等制度。</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第七条（公示的时间和内容）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符合前款规定的格式条款，经营者在合同订立前将含有格式条款的合同予以完整公示。</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rPr>
        <w:t>公示</w:t>
      </w:r>
      <w:r>
        <w:rPr>
          <w:rFonts w:hint="eastAsia" w:hAnsi="宋体"/>
          <w:kern w:val="2"/>
          <w:szCs w:val="30"/>
          <w:lang w:eastAsia="zh-CN"/>
        </w:rPr>
        <w:t>的合同</w:t>
      </w:r>
      <w:r>
        <w:rPr>
          <w:rFonts w:hint="eastAsia" w:hAnsi="宋体"/>
          <w:kern w:val="2"/>
          <w:szCs w:val="30"/>
        </w:rPr>
        <w:t>应当真实、准确、完整，</w:t>
      </w:r>
      <w:r>
        <w:rPr>
          <w:rFonts w:hint="eastAsia" w:hAnsi="宋体"/>
          <w:kern w:val="2"/>
          <w:szCs w:val="30"/>
          <w:lang w:eastAsia="zh-CN"/>
        </w:rPr>
        <w:t>一般包括经营者姓名或者名称、住所、标的、</w:t>
      </w:r>
      <w:r>
        <w:rPr>
          <w:rFonts w:hint="eastAsia" w:hAnsi="宋体"/>
          <w:kern w:val="2"/>
          <w:szCs w:val="30"/>
        </w:rPr>
        <w:t>数量和质量、价款或</w:t>
      </w:r>
      <w:r>
        <w:rPr>
          <w:rFonts w:hint="eastAsia" w:hAnsi="宋体"/>
          <w:kern w:val="2"/>
          <w:szCs w:val="30"/>
          <w:lang w:eastAsia="zh-CN"/>
        </w:rPr>
        <w:t>者报酬</w:t>
      </w:r>
      <w:r>
        <w:rPr>
          <w:rFonts w:hint="eastAsia" w:hAnsi="宋体"/>
          <w:kern w:val="2"/>
          <w:szCs w:val="30"/>
        </w:rPr>
        <w:t>、履行期限</w:t>
      </w:r>
      <w:r>
        <w:rPr>
          <w:rFonts w:hint="eastAsia" w:hAnsi="宋体"/>
          <w:kern w:val="2"/>
          <w:szCs w:val="30"/>
          <w:lang w:eastAsia="zh-CN"/>
        </w:rPr>
        <w:t>地点</w:t>
      </w:r>
      <w:r>
        <w:rPr>
          <w:rFonts w:hint="eastAsia" w:hAnsi="宋体"/>
          <w:kern w:val="2"/>
          <w:szCs w:val="30"/>
        </w:rPr>
        <w:t>和方式、违约责任、争议解决</w:t>
      </w:r>
      <w:r>
        <w:rPr>
          <w:rFonts w:hint="eastAsia" w:hAnsi="宋体"/>
          <w:kern w:val="2"/>
          <w:szCs w:val="30"/>
          <w:lang w:eastAsia="zh-CN"/>
        </w:rPr>
        <w:t>的方法等条款。</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第八条（格式条款的提示和说明）</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r>
        <w:rPr>
          <w:rFonts w:hint="eastAsia" w:hAnsi="宋体"/>
          <w:kern w:val="2"/>
          <w:szCs w:val="30"/>
          <w:lang w:eastAsia="zh-CN"/>
        </w:rPr>
        <w:t>符合本指引第六条规定的格式条款，经营者</w:t>
      </w:r>
      <w:r>
        <w:rPr>
          <w:rFonts w:hint="eastAsia" w:hAnsi="宋体"/>
          <w:kern w:val="2"/>
          <w:szCs w:val="30"/>
        </w:rPr>
        <w:t>应当以单独告知、字体加粗、弹窗等显著方式提请消费者注意商品或者服务的数量和质量、价款或者费用、履行期限和方式、安全注意事项和风险警示、售后服务、民事责任等与消费者有重大利害关系的</w:t>
      </w:r>
      <w:r>
        <w:rPr>
          <w:rFonts w:hint="eastAsia" w:hAnsi="宋体"/>
          <w:kern w:val="2"/>
          <w:szCs w:val="30"/>
          <w:lang w:eastAsia="zh-CN"/>
        </w:rPr>
        <w:t>格式条款，</w:t>
      </w:r>
      <w:r>
        <w:rPr>
          <w:rFonts w:hint="eastAsia" w:hAnsi="宋体"/>
          <w:kern w:val="2"/>
          <w:szCs w:val="30"/>
        </w:rPr>
        <w:t>并按照消费者的要求予以说明。</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第九条（公示方式）</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r>
        <w:rPr>
          <w:rFonts w:hint="eastAsia" w:hAnsi="宋体"/>
          <w:kern w:val="2"/>
          <w:szCs w:val="30"/>
        </w:rPr>
        <w:t>经营者</w:t>
      </w:r>
      <w:r>
        <w:rPr>
          <w:rFonts w:hint="eastAsia" w:hAnsi="宋体"/>
          <w:kern w:val="2"/>
          <w:szCs w:val="30"/>
          <w:lang w:eastAsia="zh-CN"/>
        </w:rPr>
        <w:t>可以</w:t>
      </w:r>
      <w:r>
        <w:rPr>
          <w:rFonts w:hint="eastAsia" w:hAnsi="宋体"/>
          <w:kern w:val="2"/>
          <w:szCs w:val="30"/>
        </w:rPr>
        <w:t>根据经营模式</w:t>
      </w:r>
      <w:r>
        <w:rPr>
          <w:rFonts w:hint="eastAsia" w:hAnsi="宋体"/>
          <w:kern w:val="2"/>
          <w:szCs w:val="30"/>
          <w:lang w:eastAsia="zh-CN"/>
        </w:rPr>
        <w:t>和订约场景</w:t>
      </w:r>
      <w:r>
        <w:rPr>
          <w:rFonts w:hint="eastAsia" w:hAnsi="宋体"/>
          <w:kern w:val="2"/>
          <w:szCs w:val="30"/>
        </w:rPr>
        <w:t>，采取</w:t>
      </w:r>
      <w:r>
        <w:rPr>
          <w:rFonts w:hint="eastAsia" w:hAnsi="宋体"/>
          <w:kern w:val="2"/>
          <w:szCs w:val="30"/>
          <w:lang w:eastAsia="zh-CN"/>
        </w:rPr>
        <w:t>下列</w:t>
      </w:r>
      <w:r>
        <w:rPr>
          <w:rFonts w:hint="eastAsia" w:hAnsi="宋体"/>
          <w:kern w:val="2"/>
          <w:szCs w:val="30"/>
        </w:rPr>
        <w:t>方式</w:t>
      </w:r>
      <w:r>
        <w:rPr>
          <w:rFonts w:hint="eastAsia" w:hAnsi="宋体"/>
          <w:kern w:val="2"/>
          <w:szCs w:val="30"/>
          <w:lang w:eastAsia="zh-CN"/>
        </w:rPr>
        <w:t>将含</w:t>
      </w:r>
      <w:r>
        <w:rPr>
          <w:rFonts w:hint="eastAsia" w:hAnsi="宋体"/>
          <w:kern w:val="2"/>
          <w:szCs w:val="30"/>
        </w:rPr>
        <w:t>格式条款</w:t>
      </w:r>
      <w:r>
        <w:rPr>
          <w:rFonts w:hint="eastAsia" w:hAnsi="宋体"/>
          <w:kern w:val="2"/>
          <w:szCs w:val="30"/>
          <w:lang w:eastAsia="zh-CN"/>
        </w:rPr>
        <w:t>的合同</w:t>
      </w:r>
      <w:r>
        <w:rPr>
          <w:rFonts w:hint="eastAsia" w:hAnsi="宋体"/>
          <w:kern w:val="2"/>
          <w:szCs w:val="30"/>
        </w:rPr>
        <w:t>进行公示，确保消费者能够</w:t>
      </w:r>
      <w:r>
        <w:rPr>
          <w:rFonts w:hint="eastAsia" w:hAnsi="宋体"/>
          <w:kern w:val="2"/>
          <w:szCs w:val="30"/>
          <w:lang w:eastAsia="zh-CN"/>
        </w:rPr>
        <w:t>便利</w:t>
      </w:r>
      <w:r>
        <w:rPr>
          <w:rFonts w:hint="eastAsia" w:hAnsi="宋体"/>
          <w:kern w:val="2"/>
          <w:szCs w:val="30"/>
        </w:rPr>
        <w:t>、</w:t>
      </w:r>
      <w:r>
        <w:rPr>
          <w:rFonts w:hint="eastAsia" w:hAnsi="宋体"/>
          <w:kern w:val="2"/>
          <w:szCs w:val="30"/>
          <w:lang w:eastAsia="zh-CN"/>
        </w:rPr>
        <w:t>完整</w:t>
      </w:r>
      <w:r>
        <w:rPr>
          <w:rFonts w:hint="eastAsia" w:hAnsi="宋体"/>
          <w:kern w:val="2"/>
          <w:szCs w:val="30"/>
        </w:rPr>
        <w:t>地</w:t>
      </w:r>
      <w:r>
        <w:rPr>
          <w:rFonts w:hint="eastAsia" w:hAnsi="宋体"/>
          <w:kern w:val="2"/>
          <w:szCs w:val="30"/>
          <w:lang w:eastAsia="zh-CN"/>
        </w:rPr>
        <w:t>阅览和</w:t>
      </w:r>
      <w:r>
        <w:rPr>
          <w:rFonts w:hint="eastAsia" w:hAnsi="宋体"/>
          <w:kern w:val="2"/>
          <w:szCs w:val="30"/>
        </w:rPr>
        <w:t>获取。</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r>
        <w:rPr>
          <w:rFonts w:hint="eastAsia" w:hAnsi="宋体"/>
          <w:kern w:val="2"/>
          <w:szCs w:val="30"/>
          <w:lang w:val="en-US" w:eastAsia="zh-CN"/>
        </w:rPr>
        <w:t>（一）</w:t>
      </w:r>
      <w:r>
        <w:rPr>
          <w:rFonts w:hint="eastAsia" w:hAnsi="宋体"/>
          <w:kern w:val="2"/>
          <w:szCs w:val="30"/>
          <w:lang w:eastAsia="zh-CN"/>
        </w:rPr>
        <w:t>通过</w:t>
      </w:r>
      <w:r>
        <w:rPr>
          <w:rFonts w:hint="eastAsia" w:hAnsi="宋体"/>
          <w:kern w:val="2"/>
          <w:szCs w:val="30"/>
        </w:rPr>
        <w:t>营业场所、服务网点、销售场所</w:t>
      </w:r>
      <w:r>
        <w:rPr>
          <w:rFonts w:hint="eastAsia" w:hAnsi="宋体"/>
          <w:kern w:val="2"/>
          <w:szCs w:val="30"/>
          <w:lang w:eastAsia="zh-CN"/>
        </w:rPr>
        <w:t>等线下经营场所显著位置进行公示</w:t>
      </w:r>
      <w:r>
        <w:rPr>
          <w:rFonts w:hint="eastAsia" w:hAnsi="宋体"/>
          <w:kern w:val="2"/>
          <w:szCs w:val="30"/>
        </w:rPr>
        <w:t>；</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r>
        <w:rPr>
          <w:rFonts w:hint="eastAsia" w:hAnsi="宋体"/>
          <w:kern w:val="2"/>
          <w:szCs w:val="30"/>
          <w:lang w:val="en-US" w:eastAsia="zh-CN"/>
        </w:rPr>
        <w:t>（二）</w:t>
      </w:r>
      <w:r>
        <w:rPr>
          <w:rFonts w:hint="eastAsia" w:hAnsi="宋体"/>
          <w:kern w:val="2"/>
          <w:szCs w:val="30"/>
        </w:rPr>
        <w:t>通过</w:t>
      </w:r>
      <w:r>
        <w:rPr>
          <w:rFonts w:hint="eastAsia" w:hAnsi="宋体"/>
          <w:kern w:val="2"/>
          <w:szCs w:val="30"/>
          <w:lang w:eastAsia="zh-CN"/>
        </w:rPr>
        <w:t>经营者</w:t>
      </w:r>
      <w:r>
        <w:rPr>
          <w:rFonts w:hint="eastAsia" w:hAnsi="宋体"/>
          <w:kern w:val="2"/>
          <w:szCs w:val="30"/>
        </w:rPr>
        <w:t>官方网站、移动客户端（APP）、小程序、公众号等</w:t>
      </w:r>
      <w:r>
        <w:rPr>
          <w:rFonts w:hint="eastAsia" w:hAnsi="宋体"/>
          <w:kern w:val="2"/>
          <w:szCs w:val="30"/>
          <w:lang w:eastAsia="zh-CN"/>
        </w:rPr>
        <w:t>线上渠道</w:t>
      </w:r>
      <w:r>
        <w:rPr>
          <w:rFonts w:hint="eastAsia" w:hAnsi="宋体"/>
          <w:kern w:val="2"/>
          <w:szCs w:val="30"/>
        </w:rPr>
        <w:t>进行公示</w:t>
      </w:r>
      <w:r>
        <w:rPr>
          <w:rFonts w:hint="eastAsia" w:hAnsi="宋体"/>
          <w:kern w:val="2"/>
          <w:szCs w:val="30"/>
          <w:lang w:eastAsia="zh-CN"/>
        </w:rPr>
        <w:t>。</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第十条（变更公示）</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rPr>
        <w:t>格式条款发生变更的，经营者应当</w:t>
      </w:r>
      <w:r>
        <w:rPr>
          <w:rFonts w:hint="eastAsia" w:hAnsi="宋体"/>
          <w:kern w:val="2"/>
          <w:szCs w:val="30"/>
          <w:lang w:eastAsia="zh-CN"/>
        </w:rPr>
        <w:t>及时将含有</w:t>
      </w:r>
      <w:r>
        <w:rPr>
          <w:rFonts w:hint="eastAsia" w:hAnsi="宋体"/>
          <w:kern w:val="2"/>
          <w:szCs w:val="30"/>
        </w:rPr>
        <w:t>变更</w:t>
      </w:r>
      <w:r>
        <w:rPr>
          <w:rFonts w:hint="eastAsia" w:hAnsi="宋体"/>
          <w:kern w:val="2"/>
          <w:szCs w:val="30"/>
          <w:lang w:eastAsia="zh-CN"/>
        </w:rPr>
        <w:t>后的格式条款合同，按照本指引第六条、第七条、第八条规定予以公示。</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r>
        <w:rPr>
          <w:rFonts w:hint="eastAsia" w:hAnsi="宋体"/>
          <w:kern w:val="2"/>
          <w:szCs w:val="30"/>
          <w:lang w:eastAsia="zh-CN"/>
        </w:rPr>
        <w:t>经营者应当完整保存变更后的合同版本投入使用之日前三年的全部历史版本，并保证消费者能够便利、完整地阅览和获取。</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第十一条（合同示范文本的使用）</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r>
        <w:rPr>
          <w:rFonts w:hint="eastAsia" w:hAnsi="宋体"/>
          <w:kern w:val="2"/>
          <w:szCs w:val="30"/>
          <w:lang w:val="en-US" w:eastAsia="zh-CN"/>
        </w:rPr>
        <w:t>鼓励经营者使用合同示范文本或者参照合同示范文本制定合同格式条款。</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val="en-US" w:eastAsia="zh-CN"/>
        </w:rPr>
        <w:t>第十二条（合同示范文本的制定主体）</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val="en-US" w:eastAsia="zh-CN"/>
        </w:rPr>
      </w:pPr>
      <w:r>
        <w:rPr>
          <w:rFonts w:hint="eastAsia" w:hAnsi="宋体"/>
          <w:kern w:val="2"/>
          <w:szCs w:val="30"/>
          <w:lang w:val="en-US" w:eastAsia="zh-CN"/>
        </w:rPr>
        <w:t>合同示范文本由有关行政主管部门或者行业组织制定。市市场监督管理部门可以参与合同示范文本的制定。</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val="en-US" w:eastAsia="zh-CN"/>
        </w:rPr>
      </w:pPr>
      <w:r>
        <w:rPr>
          <w:rFonts w:hint="eastAsia" w:ascii="黑体" w:hAnsi="黑体" w:eastAsia="黑体" w:cs="黑体"/>
          <w:kern w:val="2"/>
          <w:szCs w:val="30"/>
          <w:lang w:val="en-US" w:eastAsia="zh-CN"/>
        </w:rPr>
        <w:t>第十三条（合同示范文本的制定、宣传和推广）</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val="en" w:eastAsia="zh-CN"/>
        </w:rPr>
      </w:pPr>
      <w:r>
        <w:rPr>
          <w:rFonts w:hint="eastAsia" w:hAnsi="宋体"/>
          <w:kern w:val="2"/>
          <w:szCs w:val="30"/>
          <w:lang w:val="en-US" w:eastAsia="zh-CN"/>
        </w:rPr>
        <w:t>市市场监督管理部门参与制定合同示范文本一般应当经过调研、立项、起草、讨论</w:t>
      </w:r>
      <w:r>
        <w:rPr>
          <w:rFonts w:hint="default" w:hAnsi="宋体"/>
          <w:kern w:val="2"/>
          <w:szCs w:val="30"/>
          <w:lang w:val="en" w:eastAsia="zh-CN"/>
        </w:rPr>
        <w:t>、</w:t>
      </w:r>
      <w:r>
        <w:rPr>
          <w:rFonts w:hint="eastAsia" w:hAnsi="宋体"/>
          <w:kern w:val="2"/>
          <w:szCs w:val="30"/>
          <w:lang w:val="en-US" w:eastAsia="zh-CN"/>
        </w:rPr>
        <w:t>论证、向社会公开</w:t>
      </w:r>
      <w:r>
        <w:rPr>
          <w:rFonts w:hint="eastAsia" w:hAnsi="宋体"/>
          <w:kern w:val="2"/>
          <w:szCs w:val="30"/>
          <w:lang w:val="en" w:eastAsia="zh-CN"/>
        </w:rPr>
        <w:t>征求意见等程序，经审定以正式文件形式发布，并向社会公开。</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val="en-US" w:eastAsia="zh-CN"/>
        </w:rPr>
      </w:pPr>
      <w:r>
        <w:rPr>
          <w:rFonts w:hint="eastAsia" w:hAnsi="宋体"/>
          <w:kern w:val="2"/>
          <w:szCs w:val="30"/>
          <w:lang w:val="en-US" w:eastAsia="zh-CN"/>
        </w:rPr>
        <w:t>市场监督管理部门、有关行政主管部门和行业协会应当加强合同示范文本的宣传、推广工作。</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val="en-US" w:eastAsia="zh-CN"/>
        </w:rPr>
      </w:pPr>
      <w:r>
        <w:rPr>
          <w:rFonts w:hint="eastAsia" w:ascii="黑体" w:hAnsi="黑体" w:eastAsia="黑体" w:cs="黑体"/>
          <w:kern w:val="2"/>
          <w:szCs w:val="30"/>
          <w:lang w:val="en-US" w:eastAsia="zh-CN"/>
        </w:rPr>
        <w:t>第十</w:t>
      </w:r>
      <w:r>
        <w:rPr>
          <w:rFonts w:hint="default" w:ascii="黑体" w:hAnsi="黑体" w:eastAsia="黑体" w:cs="黑体"/>
          <w:kern w:val="2"/>
          <w:szCs w:val="30"/>
          <w:lang w:val="en" w:eastAsia="zh-CN"/>
        </w:rPr>
        <w:t>四</w:t>
      </w:r>
      <w:r>
        <w:rPr>
          <w:rFonts w:hint="eastAsia" w:ascii="黑体" w:hAnsi="黑体" w:eastAsia="黑体" w:cs="黑体"/>
          <w:kern w:val="2"/>
          <w:szCs w:val="30"/>
          <w:lang w:val="en-US" w:eastAsia="zh-CN"/>
        </w:rPr>
        <w:t>条（行业指导）</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val="en-US" w:eastAsia="zh-CN"/>
        </w:rPr>
      </w:pPr>
      <w:r>
        <w:rPr>
          <w:rFonts w:hint="eastAsia" w:hAnsi="宋体"/>
          <w:kern w:val="2"/>
          <w:szCs w:val="30"/>
          <w:lang w:val="en-US" w:eastAsia="zh-CN"/>
        </w:rPr>
        <w:t>鼓励有关行政主管部门、行业组织参与格式条款公示的指导，引导经营者规范使用格式条款，鼓励经营者</w:t>
      </w:r>
      <w:r>
        <w:rPr>
          <w:rFonts w:hint="default" w:hAnsi="宋体"/>
          <w:kern w:val="2"/>
          <w:szCs w:val="30"/>
          <w:lang w:val="en" w:eastAsia="zh-CN"/>
        </w:rPr>
        <w:t>参与守合同重信用公示活动</w:t>
      </w:r>
      <w:r>
        <w:rPr>
          <w:rFonts w:hint="eastAsia" w:hAnsi="宋体"/>
          <w:kern w:val="2"/>
          <w:szCs w:val="30"/>
          <w:lang w:val="en" w:eastAsia="zh-CN"/>
        </w:rPr>
        <w:t>，</w:t>
      </w:r>
      <w:r>
        <w:rPr>
          <w:rFonts w:hint="eastAsia" w:hAnsi="宋体"/>
          <w:kern w:val="2"/>
          <w:szCs w:val="30"/>
          <w:lang w:val="en-US" w:eastAsia="zh-CN"/>
        </w:rPr>
        <w:t>推动行业规范发展。</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val="en-US" w:eastAsia="zh-CN"/>
        </w:rPr>
      </w:pPr>
      <w:r>
        <w:rPr>
          <w:rFonts w:hint="eastAsia" w:ascii="黑体" w:hAnsi="黑体" w:eastAsia="黑体" w:cs="黑体"/>
          <w:kern w:val="2"/>
          <w:szCs w:val="30"/>
          <w:lang w:val="en-US" w:eastAsia="zh-CN"/>
        </w:rPr>
        <w:t>第十</w:t>
      </w:r>
      <w:r>
        <w:rPr>
          <w:rFonts w:hint="default" w:ascii="黑体" w:hAnsi="黑体" w:eastAsia="黑体" w:cs="黑体"/>
          <w:kern w:val="2"/>
          <w:szCs w:val="30"/>
          <w:lang w:val="en" w:eastAsia="zh-CN"/>
        </w:rPr>
        <w:t>五</w:t>
      </w:r>
      <w:r>
        <w:rPr>
          <w:rFonts w:hint="eastAsia" w:ascii="黑体" w:hAnsi="黑体" w:eastAsia="黑体" w:cs="黑体"/>
          <w:kern w:val="2"/>
          <w:szCs w:val="30"/>
          <w:lang w:val="en-US" w:eastAsia="zh-CN"/>
        </w:rPr>
        <w:t>条（社会监督）</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val="en-US" w:eastAsia="zh-CN"/>
        </w:rPr>
        <w:t>鼓励社会组织和个人</w:t>
      </w:r>
      <w:r>
        <w:rPr>
          <w:rFonts w:hint="eastAsia" w:hAnsi="宋体"/>
          <w:kern w:val="2"/>
          <w:szCs w:val="30"/>
        </w:rPr>
        <w:t>对经营者</w:t>
      </w:r>
      <w:r>
        <w:rPr>
          <w:rFonts w:hint="eastAsia" w:hAnsi="宋体"/>
          <w:kern w:val="2"/>
          <w:szCs w:val="30"/>
          <w:lang w:eastAsia="zh-CN"/>
        </w:rPr>
        <w:t>公示的</w:t>
      </w:r>
      <w:r>
        <w:rPr>
          <w:rFonts w:hint="eastAsia" w:hAnsi="宋体"/>
          <w:kern w:val="2"/>
          <w:szCs w:val="30"/>
        </w:rPr>
        <w:t>格式条款</w:t>
      </w:r>
      <w:r>
        <w:rPr>
          <w:rFonts w:hint="eastAsia" w:hAnsi="宋体"/>
          <w:kern w:val="2"/>
          <w:szCs w:val="30"/>
          <w:lang w:eastAsia="zh-CN"/>
        </w:rPr>
        <w:t>进</w:t>
      </w:r>
      <w:r>
        <w:rPr>
          <w:rFonts w:hint="eastAsia" w:hAnsi="宋体"/>
          <w:kern w:val="2"/>
          <w:szCs w:val="30"/>
        </w:rPr>
        <w:t>行</w:t>
      </w:r>
      <w:r>
        <w:rPr>
          <w:rFonts w:hint="eastAsia" w:hAnsi="宋体"/>
          <w:kern w:val="2"/>
          <w:szCs w:val="30"/>
          <w:lang w:eastAsia="zh-CN"/>
        </w:rPr>
        <w:t>社会</w:t>
      </w:r>
      <w:r>
        <w:rPr>
          <w:rFonts w:hint="eastAsia" w:hAnsi="宋体"/>
          <w:kern w:val="2"/>
          <w:szCs w:val="30"/>
        </w:rPr>
        <w:t>监督。</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第十</w:t>
      </w:r>
      <w:r>
        <w:rPr>
          <w:rFonts w:hint="default" w:ascii="黑体" w:hAnsi="黑体" w:eastAsia="黑体" w:cs="黑体"/>
          <w:kern w:val="2"/>
          <w:szCs w:val="30"/>
          <w:lang w:val="en" w:eastAsia="zh-CN"/>
        </w:rPr>
        <w:t>六</w:t>
      </w:r>
      <w:r>
        <w:rPr>
          <w:rFonts w:hint="eastAsia" w:ascii="黑体" w:hAnsi="黑体" w:eastAsia="黑体" w:cs="黑体"/>
          <w:kern w:val="2"/>
          <w:szCs w:val="30"/>
          <w:lang w:eastAsia="zh-CN"/>
        </w:rPr>
        <w:t>条（责任承担）</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val="en-US" w:eastAsia="zh-CN"/>
        </w:rPr>
      </w:pPr>
      <w:r>
        <w:rPr>
          <w:rFonts w:hint="eastAsia" w:hAnsi="宋体"/>
          <w:kern w:val="2"/>
          <w:szCs w:val="30"/>
          <w:lang w:eastAsia="zh-CN"/>
        </w:rPr>
        <w:t>经公示的格式条款，不排除经营者因格式条款损害消费者权益应当承担的民事责任。</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val="en" w:eastAsia="zh-CN"/>
        </w:rPr>
      </w:pPr>
      <w:r>
        <w:rPr>
          <w:rFonts w:hint="eastAsia" w:ascii="黑体" w:hAnsi="黑体" w:eastAsia="黑体" w:cs="黑体"/>
          <w:kern w:val="2"/>
          <w:szCs w:val="30"/>
          <w:lang w:val="en-US" w:eastAsia="zh-CN"/>
        </w:rPr>
        <w:t>第十</w:t>
      </w:r>
      <w:r>
        <w:rPr>
          <w:rFonts w:hint="default" w:ascii="黑体" w:hAnsi="黑体" w:eastAsia="黑体" w:cs="黑体"/>
          <w:kern w:val="2"/>
          <w:szCs w:val="30"/>
          <w:lang w:val="en" w:eastAsia="zh-CN"/>
        </w:rPr>
        <w:t>七</w:t>
      </w:r>
      <w:r>
        <w:rPr>
          <w:rFonts w:hint="eastAsia" w:ascii="黑体" w:hAnsi="黑体" w:eastAsia="黑体" w:cs="黑体"/>
          <w:kern w:val="2"/>
          <w:szCs w:val="30"/>
          <w:lang w:val="en-US" w:eastAsia="zh-CN"/>
        </w:rPr>
        <w:t>条</w:t>
      </w:r>
      <w:r>
        <w:rPr>
          <w:rFonts w:hint="eastAsia" w:ascii="黑体" w:hAnsi="黑体" w:eastAsia="黑体" w:cs="黑体"/>
          <w:kern w:val="2"/>
          <w:szCs w:val="30"/>
          <w:lang w:val="en" w:eastAsia="zh-CN"/>
        </w:rPr>
        <w:t>（特别规定）</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val="en" w:eastAsia="zh-CN"/>
        </w:rPr>
      </w:pPr>
      <w:r>
        <w:rPr>
          <w:rFonts w:hint="eastAsia" w:hAnsi="宋体"/>
          <w:kern w:val="2"/>
          <w:szCs w:val="30"/>
          <w:lang w:val="en" w:eastAsia="zh-CN"/>
        </w:rPr>
        <w:t>法律、法规、规章对消费领域重点行业经营者格式条款公示另有规定的，依照其规定。</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第十</w:t>
      </w:r>
      <w:r>
        <w:rPr>
          <w:rFonts w:hint="eastAsia" w:ascii="黑体" w:hAnsi="黑体" w:eastAsia="黑体" w:cs="黑体"/>
          <w:kern w:val="2"/>
          <w:szCs w:val="30"/>
          <w:lang w:val="en" w:eastAsia="zh-CN"/>
        </w:rPr>
        <w:t>八</w:t>
      </w:r>
      <w:r>
        <w:rPr>
          <w:rFonts w:hint="eastAsia" w:ascii="黑体" w:hAnsi="黑体" w:eastAsia="黑体" w:cs="黑体"/>
          <w:kern w:val="2"/>
          <w:szCs w:val="30"/>
          <w:lang w:eastAsia="zh-CN"/>
        </w:rPr>
        <w:t>条（指引实施）</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val="en-US" w:eastAsia="zh-CN"/>
        </w:rPr>
      </w:pPr>
      <w:r>
        <w:rPr>
          <w:rFonts w:hint="eastAsia" w:hAnsi="宋体"/>
          <w:kern w:val="2"/>
          <w:szCs w:val="30"/>
          <w:lang w:eastAsia="zh-CN"/>
        </w:rPr>
        <w:t>本指引自发布之日起实施。</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lang w:val="en-US" w:eastAsia="zh-CN"/>
        </w:rPr>
        <w:sectPr>
          <w:footerReference r:id="rId3" w:type="default"/>
          <w:footerReference r:id="rId4" w:type="even"/>
          <w:pgSz w:w="11906" w:h="16838"/>
          <w:pgMar w:top="2098" w:right="1474" w:bottom="1984" w:left="1587" w:header="851" w:footer="1417" w:gutter="0"/>
          <w:cols w:space="0" w:num="1"/>
          <w:rtlGutter w:val="0"/>
          <w:docGrid w:type="linesAndChars" w:linePitch="579" w:charSpace="-842"/>
        </w:sect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lang w:val="en-US" w:eastAsia="zh-CN"/>
        </w:rPr>
      </w:pPr>
    </w:p>
    <w:p>
      <w:pPr>
        <w:rPr>
          <w:rFonts w:hint="eastAsia" w:hAnsi="宋体"/>
          <w:kern w:val="2"/>
          <w:szCs w:val="30"/>
        </w:rPr>
      </w:pPr>
      <w:r>
        <w:rPr>
          <w:rFonts w:hint="eastAsia" w:hAnsi="宋体"/>
          <w:kern w:val="2"/>
          <w:szCs w:val="30"/>
        </w:rPr>
        <w:br w:type="page"/>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rPr>
          <w:rFonts w:hint="eastAsia" w:hAnsi="宋体"/>
          <w:kern w:val="2"/>
          <w:szCs w:val="30"/>
        </w:rPr>
      </w:pPr>
      <w:r>
        <w:rPr>
          <w:rFonts w:hint="eastAsia" w:hAnsi="宋体"/>
          <w:kern w:val="2"/>
          <w:szCs w:val="30"/>
        </w:rPr>
        <w:br w:type="page"/>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after="120" w:line="336" w:lineRule="auto"/>
        <w:ind w:firstLine="624"/>
        <w:textAlignment w:val="auto"/>
        <w:rPr>
          <w:rFonts w:hint="eastAsia" w:hAnsi="宋体"/>
          <w:kern w:val="2"/>
          <w:szCs w:val="30"/>
        </w:rPr>
      </w:pPr>
    </w:p>
    <w:p>
      <w:pPr>
        <w:keepNext w:val="0"/>
        <w:keepLines w:val="0"/>
        <w:pageBreakBefore w:val="0"/>
        <w:widowControl w:val="0"/>
        <w:kinsoku/>
        <w:wordWrap/>
        <w:overflowPunct w:val="0"/>
        <w:topLinePunct w:val="0"/>
        <w:autoSpaceDE/>
        <w:autoSpaceDN/>
        <w:bidi w:val="0"/>
        <w:adjustRightInd w:val="0"/>
        <w:snapToGrid w:val="0"/>
        <w:spacing w:line="336" w:lineRule="auto"/>
        <w:ind w:firstLine="284"/>
        <w:textAlignment w:val="auto"/>
        <w:rPr>
          <w:rFonts w:hint="eastAsia" w:hAnsi="宋体"/>
          <w:kern w:val="2"/>
          <w:sz w:val="28"/>
          <w:szCs w:val="28"/>
        </w:rPr>
      </w:pPr>
      <w:r>
        <w:rPr>
          <w:rFonts w:hint="eastAsia"/>
          <w:kern w:val="2"/>
          <w:sz w:val="28"/>
          <w:szCs w:val="28"/>
        </w:rPr>
        <mc:AlternateContent>
          <mc:Choice Requires="wps">
            <w:drawing>
              <wp:anchor distT="0" distB="0" distL="114300" distR="114300" simplePos="0" relativeHeight="251667456" behindDoc="0" locked="1" layoutInCell="1" allowOverlap="1">
                <wp:simplePos x="0" y="0"/>
                <wp:positionH relativeFrom="column">
                  <wp:posOffset>0</wp:posOffset>
                </wp:positionH>
                <wp:positionV relativeFrom="paragraph">
                  <wp:posOffset>272415</wp:posOffset>
                </wp:positionV>
                <wp:extent cx="5615940"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pt;margin-top:21.45pt;height:0pt;width:442.2pt;z-index:251667456;mso-width-relative:page;mso-height-relative:page;" filled="f" stroked="t" coordsize="21600,21600" o:gfxdata="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I5/ey7VAAAABgEAAA8AAAAAAAAAAQAgAAAAOAAAAGRycy9kb3ducmV2LnhtbFBLAQIUABQA&#10;AAAIAIdO4kCPb9iN3QEAAJoDAAAOAAAAAAAAAAEAIAAAADoBAABkcnMvZTJvRG9jLnhtbFBLBQYA&#10;AAAABgAGAFkBAACJBQAAAAA=&#10;">
                <v:fill on="f" focussize="0,0"/>
                <v:stroke weight="1pt" color="#000000" joinstyle="round"/>
                <v:imagedata o:title=""/>
                <o:lock v:ext="edit" aspectratio="f"/>
                <w10:anchorlock/>
              </v:line>
            </w:pict>
          </mc:Fallback>
        </mc:AlternateContent>
      </w:r>
      <w:r>
        <w:rPr>
          <w:rFonts w:hint="eastAsia"/>
          <w:kern w:val="2"/>
          <w:sz w:val="28"/>
          <w:szCs w:val="28"/>
        </w:rPr>
        <mc:AlternateContent>
          <mc:Choice Requires="wps">
            <w:drawing>
              <wp:anchor distT="0" distB="0" distL="114300" distR="114300" simplePos="0" relativeHeight="251666432" behindDoc="0" locked="1" layoutInCell="1" allowOverlap="1">
                <wp:simplePos x="0" y="0"/>
                <wp:positionH relativeFrom="column">
                  <wp:posOffset>0</wp:posOffset>
                </wp:positionH>
                <wp:positionV relativeFrom="paragraph">
                  <wp:posOffset>-40640</wp:posOffset>
                </wp:positionV>
                <wp:extent cx="561594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pt;margin-top:-3.2pt;height:0pt;width:442.2pt;z-index:251666432;mso-width-relative:page;mso-height-relative:page;" filled="f" stroked="t" coordsize="21600,21600" o:gfxdata="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GYD+ZrVAAAABgEAAA8AAAAAAAAAAQAgAAAAOAAAAGRycy9kb3ducmV2LnhtbFBLAQIUABQA&#10;AAAIAIdO4kB+FzLi3QEAAJoDAAAOAAAAAAAAAAEAIAAAADoBAABkcnMvZTJvRG9jLnhtbFBLBQYA&#10;AAAABgAGAFkBAACJBQAAAAA=&#10;">
                <v:fill on="f" focussize="0,0"/>
                <v:stroke weight="1pt" color="#000000" joinstyle="round"/>
                <v:imagedata o:title=""/>
                <o:lock v:ext="edit" aspectratio="f"/>
                <w10:anchorlock/>
              </v:line>
            </w:pict>
          </mc:Fallback>
        </mc:AlternateContent>
      </w:r>
      <w:r>
        <w:rPr>
          <w:rFonts w:hint="eastAsia" w:hAnsi="宋体"/>
          <w:kern w:val="2"/>
          <w:sz w:val="28"/>
          <w:szCs w:val="28"/>
        </w:rPr>
        <w:t>上海市市场监督管理局办公室</w:t>
      </w:r>
      <w:r>
        <w:rPr>
          <w:rFonts w:hint="eastAsia" w:hAnsi="宋体"/>
          <w:spacing w:val="-2"/>
          <w:kern w:val="2"/>
          <w:sz w:val="28"/>
          <w:szCs w:val="28"/>
        </w:rPr>
        <w:t xml:space="preserve">               </w:t>
      </w:r>
      <w:r>
        <w:rPr>
          <w:rFonts w:hint="eastAsia" w:hAnsi="宋体"/>
          <w:kern w:val="2"/>
          <w:sz w:val="28"/>
          <w:szCs w:val="28"/>
        </w:rPr>
        <w:t>202</w:t>
      </w:r>
      <w:r>
        <w:rPr>
          <w:rFonts w:hint="default" w:hAnsi="宋体"/>
          <w:kern w:val="2"/>
          <w:sz w:val="28"/>
          <w:szCs w:val="28"/>
          <w:lang w:val="en"/>
        </w:rPr>
        <w:t>5</w:t>
      </w:r>
      <w:r>
        <w:rPr>
          <w:rFonts w:hint="eastAsia" w:hAnsi="宋体"/>
          <w:kern w:val="2"/>
          <w:sz w:val="28"/>
          <w:szCs w:val="28"/>
        </w:rPr>
        <w:t>年</w:t>
      </w:r>
      <w:r>
        <w:rPr>
          <w:rFonts w:hint="eastAsia" w:hAnsi="宋体"/>
          <w:kern w:val="2"/>
          <w:sz w:val="28"/>
          <w:szCs w:val="28"/>
          <w:lang w:val="en-US" w:eastAsia="zh-CN"/>
        </w:rPr>
        <w:t>11</w:t>
      </w:r>
      <w:r>
        <w:rPr>
          <w:rFonts w:hint="eastAsia" w:hAnsi="宋体"/>
          <w:kern w:val="2"/>
          <w:sz w:val="28"/>
          <w:szCs w:val="28"/>
        </w:rPr>
        <w:t>月</w:t>
      </w:r>
      <w:r>
        <w:rPr>
          <w:rFonts w:hint="eastAsia" w:hAnsi="宋体"/>
          <w:kern w:val="2"/>
          <w:sz w:val="28"/>
          <w:szCs w:val="28"/>
          <w:lang w:val="en-US" w:eastAsia="zh-CN"/>
        </w:rPr>
        <w:t>4</w:t>
      </w:r>
      <w:r>
        <w:rPr>
          <w:rFonts w:hint="eastAsia" w:hAnsi="宋体"/>
          <w:kern w:val="2"/>
          <w:sz w:val="28"/>
          <w:szCs w:val="28"/>
        </w:rPr>
        <w:t xml:space="preserve">日印发  </w:t>
      </w:r>
    </w:p>
    <w:sectPr>
      <w:footerReference r:id="rId5" w:type="default"/>
      <w:footerReference r:id="rId6" w:type="even"/>
      <w:pgSz w:w="11906" w:h="16838"/>
      <w:pgMar w:top="2098" w:right="1474" w:bottom="1984" w:left="1587" w:header="851" w:footer="1417" w:gutter="0"/>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val="0"/>
      <w:kinsoku/>
      <w:wordWrap/>
      <w:overflowPunct w:val="0"/>
      <w:topLinePunct w:val="0"/>
      <w:autoSpaceDE/>
      <w:autoSpaceDN/>
      <w:bidi w:val="0"/>
      <w:snapToGrid w:val="0"/>
      <w:ind w:left="312" w:right="312"/>
      <w:jc w:val="right"/>
      <w:textAlignment w:val="auto"/>
      <w:rPr>
        <w:rFonts w:hint="eastAsia" w:ascii="宋体" w:hAnsi="宋体" w:eastAsia="宋体"/>
        <w:kern w:val="2"/>
        <w:sz w:val="28"/>
        <w:szCs w:val="28"/>
      </w:rPr>
    </w:pPr>
    <w:r>
      <w:rPr>
        <w:rFonts w:hint="eastAsia" w:ascii="宋体" w:hAnsi="宋体" w:eastAsia="宋体"/>
        <w:kern w:val="2"/>
        <w:sz w:val="28"/>
        <w:szCs w:val="28"/>
      </w:rPr>
      <w:t xml:space="preserve">— </w:t>
    </w:r>
    <w:r>
      <w:rPr>
        <w:rFonts w:hint="eastAsia" w:ascii="宋体" w:hAnsi="宋体" w:eastAsia="宋体"/>
        <w:kern w:val="2"/>
        <w:sz w:val="28"/>
        <w:szCs w:val="28"/>
      </w:rPr>
      <w:fldChar w:fldCharType="begin"/>
    </w:r>
    <w:r>
      <w:rPr>
        <w:rFonts w:hint="eastAsia" w:ascii="宋体" w:hAnsi="宋体" w:eastAsia="宋体"/>
        <w:kern w:val="2"/>
        <w:sz w:val="28"/>
        <w:szCs w:val="28"/>
      </w:rPr>
      <w:instrText xml:space="preserve"> PAGE </w:instrText>
    </w:r>
    <w:r>
      <w:rPr>
        <w:rFonts w:hint="eastAsia" w:ascii="宋体" w:hAnsi="宋体" w:eastAsia="宋体"/>
        <w:kern w:val="2"/>
        <w:sz w:val="28"/>
        <w:szCs w:val="28"/>
      </w:rPr>
      <w:fldChar w:fldCharType="separate"/>
    </w:r>
    <w:r>
      <w:rPr>
        <w:rFonts w:hint="eastAsia" w:ascii="宋体" w:hAnsi="宋体" w:eastAsia="宋体"/>
        <w:kern w:val="2"/>
        <w:sz w:val="28"/>
        <w:szCs w:val="28"/>
      </w:rPr>
      <w:t>1</w:t>
    </w:r>
    <w:r>
      <w:rPr>
        <w:rFonts w:hint="eastAsia" w:ascii="宋体" w:hAnsi="宋体" w:eastAsia="宋体"/>
        <w:kern w:val="2"/>
        <w:sz w:val="28"/>
        <w:szCs w:val="28"/>
      </w:rPr>
      <w:fldChar w:fldCharType="end"/>
    </w:r>
    <w:r>
      <w:rPr>
        <w:rFonts w:hint="eastAsia" w:ascii="宋体" w:hAnsi="宋体" w:eastAsia="宋体"/>
        <w:kern w:val="2"/>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val="0"/>
      <w:kinsoku/>
      <w:wordWrap/>
      <w:overflowPunct w:val="0"/>
      <w:topLinePunct w:val="0"/>
      <w:autoSpaceDE/>
      <w:autoSpaceDN/>
      <w:bidi w:val="0"/>
      <w:snapToGrid w:val="0"/>
      <w:ind w:left="312" w:right="312"/>
      <w:jc w:val="both"/>
      <w:textAlignment w:val="auto"/>
      <w:rPr>
        <w:rFonts w:hint="eastAsia" w:ascii="宋体" w:hAnsi="宋体" w:eastAsia="宋体"/>
        <w:kern w:val="2"/>
        <w:sz w:val="28"/>
        <w:szCs w:val="28"/>
      </w:rPr>
    </w:pPr>
    <w:r>
      <w:rPr>
        <w:rFonts w:hint="eastAsia" w:ascii="宋体" w:hAnsi="宋体" w:eastAsia="宋体"/>
        <w:kern w:val="2"/>
        <w:sz w:val="28"/>
        <w:szCs w:val="28"/>
      </w:rPr>
      <w:t xml:space="preserve">— </w:t>
    </w:r>
    <w:r>
      <w:rPr>
        <w:rFonts w:hint="eastAsia" w:ascii="宋体" w:hAnsi="宋体" w:eastAsia="宋体"/>
        <w:kern w:val="2"/>
        <w:sz w:val="28"/>
        <w:szCs w:val="28"/>
      </w:rPr>
      <w:fldChar w:fldCharType="begin"/>
    </w:r>
    <w:r>
      <w:rPr>
        <w:rFonts w:hint="eastAsia" w:ascii="宋体" w:hAnsi="宋体" w:eastAsia="宋体"/>
        <w:kern w:val="2"/>
        <w:sz w:val="28"/>
        <w:szCs w:val="28"/>
      </w:rPr>
      <w:instrText xml:space="preserve"> PAGE </w:instrText>
    </w:r>
    <w:r>
      <w:rPr>
        <w:rFonts w:hint="eastAsia" w:ascii="宋体" w:hAnsi="宋体" w:eastAsia="宋体"/>
        <w:kern w:val="2"/>
        <w:sz w:val="28"/>
        <w:szCs w:val="28"/>
      </w:rPr>
      <w:fldChar w:fldCharType="separate"/>
    </w:r>
    <w:r>
      <w:rPr>
        <w:rFonts w:hint="eastAsia" w:ascii="宋体" w:hAnsi="宋体" w:eastAsia="宋体"/>
        <w:kern w:val="2"/>
        <w:sz w:val="28"/>
        <w:szCs w:val="28"/>
      </w:rPr>
      <w:t>1</w:t>
    </w:r>
    <w:r>
      <w:rPr>
        <w:rFonts w:hint="eastAsia" w:ascii="宋体" w:hAnsi="宋体" w:eastAsia="宋体"/>
        <w:kern w:val="2"/>
        <w:sz w:val="28"/>
        <w:szCs w:val="28"/>
      </w:rPr>
      <w:fldChar w:fldCharType="end"/>
    </w:r>
    <w:r>
      <w:rPr>
        <w:rFonts w:hint="eastAsia" w:ascii="宋体" w:hAnsi="宋体" w:eastAsia="宋体"/>
        <w:kern w:val="2"/>
        <w:sz w:val="28"/>
        <w:szCs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val="0"/>
      <w:kinsoku/>
      <w:wordWrap/>
      <w:overflowPunct w:val="0"/>
      <w:topLinePunct w:val="0"/>
      <w:autoSpaceDE/>
      <w:autoSpaceDN/>
      <w:bidi w:val="0"/>
      <w:snapToGrid w:val="0"/>
      <w:ind w:left="312" w:right="312"/>
      <w:jc w:val="right"/>
      <w:textAlignment w:val="auto"/>
      <w:rPr>
        <w:rFonts w:hint="eastAsia" w:ascii="宋体" w:hAnsi="宋体" w:eastAsia="宋体"/>
        <w:kern w:val="2"/>
        <w:sz w:val="28"/>
        <w:szCs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val="0"/>
      <w:kinsoku/>
      <w:wordWrap/>
      <w:overflowPunct w:val="0"/>
      <w:topLinePunct w:val="0"/>
      <w:autoSpaceDE/>
      <w:autoSpaceDN/>
      <w:bidi w:val="0"/>
      <w:snapToGrid w:val="0"/>
      <w:ind w:left="312" w:right="312"/>
      <w:jc w:val="both"/>
      <w:textAlignment w:val="auto"/>
      <w:rPr>
        <w:rFonts w:hint="eastAsia" w:ascii="宋体" w:hAnsi="宋体" w:eastAsia="宋体"/>
        <w:kern w:val="2"/>
        <w:sz w:val="28"/>
        <w:szCs w:val="28"/>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evenAndOddHeaders w:val="true"/>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EFB0F4"/>
    <w:rsid w:val="1BC693D6"/>
    <w:rsid w:val="2F3F1F8E"/>
    <w:rsid w:val="3BF67B01"/>
    <w:rsid w:val="3CFF7733"/>
    <w:rsid w:val="3F7E1699"/>
    <w:rsid w:val="3FAC1387"/>
    <w:rsid w:val="52FEADAB"/>
    <w:rsid w:val="55FFEE32"/>
    <w:rsid w:val="57FF39D8"/>
    <w:rsid w:val="5FF5A91D"/>
    <w:rsid w:val="5FFF175F"/>
    <w:rsid w:val="62DC1D1E"/>
    <w:rsid w:val="68815A67"/>
    <w:rsid w:val="6BDB614C"/>
    <w:rsid w:val="6FBEEE48"/>
    <w:rsid w:val="6FF36247"/>
    <w:rsid w:val="76FFBC40"/>
    <w:rsid w:val="77A57A70"/>
    <w:rsid w:val="77FBE561"/>
    <w:rsid w:val="7A7DC936"/>
    <w:rsid w:val="7ADF6BC4"/>
    <w:rsid w:val="7ADFB98D"/>
    <w:rsid w:val="7B7FDBEB"/>
    <w:rsid w:val="7B9D7540"/>
    <w:rsid w:val="7BDF2A95"/>
    <w:rsid w:val="7BEF6929"/>
    <w:rsid w:val="7DBBD992"/>
    <w:rsid w:val="7DFEA360"/>
    <w:rsid w:val="7EFBC095"/>
    <w:rsid w:val="7F75D9DA"/>
    <w:rsid w:val="7F7BAFD8"/>
    <w:rsid w:val="7F7F8A76"/>
    <w:rsid w:val="7FBF7447"/>
    <w:rsid w:val="7FF3F2C7"/>
    <w:rsid w:val="7FF776D3"/>
    <w:rsid w:val="9B57B81A"/>
    <w:rsid w:val="9EFDAD4A"/>
    <w:rsid w:val="AAF3FACF"/>
    <w:rsid w:val="AFF6B697"/>
    <w:rsid w:val="B7FF8A9B"/>
    <w:rsid w:val="BC7ADF33"/>
    <w:rsid w:val="BE1DB2A4"/>
    <w:rsid w:val="BEBC321F"/>
    <w:rsid w:val="BEFF110C"/>
    <w:rsid w:val="BEFF5F49"/>
    <w:rsid w:val="BF6FAE7D"/>
    <w:rsid w:val="BFBA8862"/>
    <w:rsid w:val="CFD9C180"/>
    <w:rsid w:val="CFFFA37A"/>
    <w:rsid w:val="E6FFB3E6"/>
    <w:rsid w:val="E76F5E6F"/>
    <w:rsid w:val="E7DEFAA3"/>
    <w:rsid w:val="EAFFA90E"/>
    <w:rsid w:val="ED7FF3DE"/>
    <w:rsid w:val="F0E5E957"/>
    <w:rsid w:val="F27FC5F0"/>
    <w:rsid w:val="F2AFDE6E"/>
    <w:rsid w:val="F37B2C73"/>
    <w:rsid w:val="F3B94BBE"/>
    <w:rsid w:val="F55FB87B"/>
    <w:rsid w:val="F5DFE829"/>
    <w:rsid w:val="F777491C"/>
    <w:rsid w:val="F8D7C87F"/>
    <w:rsid w:val="F9DC4B6D"/>
    <w:rsid w:val="FAF7555F"/>
    <w:rsid w:val="FB8E136B"/>
    <w:rsid w:val="FBFE9DCF"/>
    <w:rsid w:val="FDC118D4"/>
    <w:rsid w:val="FE75385E"/>
    <w:rsid w:val="FFEEB2FB"/>
    <w:rsid w:val="FFEFADB0"/>
    <w:rsid w:val="FFF7B1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jc w:val="both"/>
    </w:pPr>
    <w:rPr>
      <w:rFonts w:ascii="仿宋_GB2312" w:hAnsi="仿宋_GB2312" w:eastAsia="仿宋_GB2312" w:cstheme="minorBidi"/>
      <w:kern w:val="2"/>
      <w:sz w:val="32"/>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1425</Words>
  <Characters>1427</Characters>
  <Lines>0</Lines>
  <Paragraphs>0</Paragraphs>
  <TotalTime>1</TotalTime>
  <ScaleCrop>false</ScaleCrop>
  <LinksUpToDate>false</LinksUpToDate>
  <CharactersWithSpaces>1542</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2025-08-19T05:08:00Z</dcterms:created>
  <dc:creator>sywg</dc:creator>
  <cp:lastModifiedBy>scjuser</cp:lastModifiedBy>
  <dcterms:modified xsi:type="dcterms:W3CDTF">2025-11-04T14:27:00Z</dcterms:modified>
  <dc:title>上海市市场监督管理局关于印发</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KSOTemplateDocerSaveRecord">
    <vt:lpwstr>eyJoZGlkIjoiYjBiYzA4Yjg5ZjQzYmEzYTNlMjJmZTI5MTU2Y2JjMTYiLCJ1c2VySWQiOiIzODA2MjI2MTAifQ==</vt:lpwstr>
  </property>
  <property fmtid="{D5CDD505-2E9C-101B-9397-08002B2CF9AE}" pid="4" name="ICV">
    <vt:lpwstr>B543455DD84BB1AF58DAF968D629BC7A</vt:lpwstr>
  </property>
</Properties>
</file>