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val="0"/>
        <w:topLinePunct w:val="0"/>
        <w:autoSpaceDE/>
        <w:autoSpaceDN/>
        <w:bidi w:val="0"/>
        <w:adjustRightInd w:val="0"/>
        <w:snapToGrid w:val="0"/>
        <w:spacing w:line="336" w:lineRule="auto"/>
        <w:textAlignment w:val="auto"/>
        <w:rPr>
          <w:rFonts w:hint="eastAsia" w:ascii="黑体" w:eastAsia="黑体"/>
          <w:kern w:val="2"/>
          <w:szCs w:val="32"/>
        </w:rPr>
      </w:pPr>
    </w:p>
    <w:p>
      <w:pPr>
        <w:keepNext w:val="0"/>
        <w:keepLines w:val="0"/>
        <w:pageBreakBefore w:val="0"/>
        <w:widowControl w:val="0"/>
        <w:kinsoku/>
        <w:wordWrap/>
        <w:overflowPunct w:val="0"/>
        <w:topLinePunct w:val="0"/>
        <w:autoSpaceDE/>
        <w:autoSpaceDN/>
        <w:bidi w:val="0"/>
        <w:adjustRightInd w:val="0"/>
        <w:snapToGrid w:val="0"/>
        <w:spacing w:line="336" w:lineRule="auto"/>
        <w:textAlignment w:val="auto"/>
        <w:rPr>
          <w:rFonts w:hint="eastAsia" w:ascii="黑体" w:eastAsia="黑体"/>
          <w:kern w:val="2"/>
          <w:szCs w:val="32"/>
        </w:rPr>
      </w:pPr>
    </w:p>
    <w:p>
      <w:pPr>
        <w:keepNext w:val="0"/>
        <w:keepLines w:val="0"/>
        <w:pageBreakBefore w:val="0"/>
        <w:widowControl w:val="0"/>
        <w:kinsoku/>
        <w:wordWrap/>
        <w:overflowPunct w:val="0"/>
        <w:topLinePunct w:val="0"/>
        <w:autoSpaceDE/>
        <w:autoSpaceDN/>
        <w:bidi w:val="0"/>
        <w:adjustRightInd w:val="0"/>
        <w:snapToGrid w:val="0"/>
        <w:spacing w:line="336" w:lineRule="auto"/>
        <w:textAlignment w:val="auto"/>
        <w:rPr>
          <w:rFonts w:hint="eastAsia" w:ascii="黑体" w:eastAsia="黑体"/>
          <w:kern w:val="2"/>
          <w:szCs w:val="32"/>
        </w:rPr>
      </w:pPr>
    </w:p>
    <w:p>
      <w:pPr>
        <w:keepNext w:val="0"/>
        <w:keepLines w:val="0"/>
        <w:pageBreakBefore w:val="0"/>
        <w:widowControl w:val="0"/>
        <w:kinsoku/>
        <w:wordWrap/>
        <w:overflowPunct w:val="0"/>
        <w:topLinePunct w:val="0"/>
        <w:autoSpaceDE/>
        <w:autoSpaceDN/>
        <w:bidi w:val="0"/>
        <w:adjustRightInd w:val="0"/>
        <w:snapToGrid w:val="0"/>
        <w:spacing w:line="100" w:lineRule="exact"/>
        <w:textAlignment w:val="auto"/>
        <w:rPr>
          <w:rFonts w:hint="eastAsia" w:ascii="黑体" w:eastAsia="黑体"/>
          <w:kern w:val="2"/>
          <w:szCs w:val="32"/>
        </w:rPr>
      </w:pPr>
    </w:p>
    <w:p>
      <w:pPr>
        <w:keepNext w:val="0"/>
        <w:keepLines w:val="0"/>
        <w:pageBreakBefore w:val="0"/>
        <w:widowControl w:val="0"/>
        <w:kinsoku/>
        <w:wordWrap/>
        <w:overflowPunct w:val="0"/>
        <w:topLinePunct w:val="0"/>
        <w:autoSpaceDE/>
        <w:autoSpaceDN/>
        <w:bidi w:val="0"/>
        <w:adjustRightInd w:val="0"/>
        <w:snapToGrid w:val="0"/>
        <w:ind w:left="-57"/>
        <w:jc w:val="center"/>
        <w:textAlignment w:val="auto"/>
        <w:rPr>
          <w:rFonts w:hint="eastAsia" w:ascii="方正小标宋简体" w:hAnsi="宋体" w:eastAsia="方正小标宋简体"/>
          <w:color w:val="FF0000"/>
          <w:kern w:val="2"/>
          <w:sz w:val="72"/>
          <w:szCs w:val="72"/>
        </w:rPr>
      </w:pPr>
      <w:r>
        <w:rPr>
          <w:rFonts w:hint="eastAsia" w:ascii="方正小标宋简体" w:hAnsi="宋体" w:eastAsia="方正小标宋简体"/>
          <w:color w:val="FF0000"/>
          <w:kern w:val="2"/>
          <w:sz w:val="72"/>
          <w:szCs w:val="72"/>
        </w:rPr>
        <w:t>上海市市场监督管理局文件</w:t>
      </w:r>
    </w:p>
    <w:p>
      <w:pPr>
        <w:keepNext w:val="0"/>
        <w:keepLines w:val="0"/>
        <w:pageBreakBefore w:val="0"/>
        <w:widowControl w:val="0"/>
        <w:tabs>
          <w:tab w:val="left" w:pos="790"/>
        </w:tabs>
        <w:kinsoku/>
        <w:wordWrap/>
        <w:overflowPunct w:val="0"/>
        <w:topLinePunct w:val="0"/>
        <w:autoSpaceDE/>
        <w:autoSpaceDN/>
        <w:bidi w:val="0"/>
        <w:adjustRightInd w:val="0"/>
        <w:snapToGrid w:val="0"/>
        <w:spacing w:line="252" w:lineRule="auto"/>
        <w:jc w:val="center"/>
        <w:textAlignment w:val="auto"/>
        <w:rPr>
          <w:rFonts w:hint="eastAsia" w:ascii="黑体" w:eastAsia="黑体"/>
          <w:kern w:val="2"/>
          <w:szCs w:val="32"/>
        </w:rPr>
      </w:pPr>
    </w:p>
    <w:p>
      <w:pPr>
        <w:keepNext w:val="0"/>
        <w:keepLines w:val="0"/>
        <w:pageBreakBefore w:val="0"/>
        <w:widowControl w:val="0"/>
        <w:tabs>
          <w:tab w:val="left" w:pos="790"/>
        </w:tabs>
        <w:kinsoku/>
        <w:wordWrap/>
        <w:overflowPunct w:val="0"/>
        <w:topLinePunct w:val="0"/>
        <w:autoSpaceDE/>
        <w:autoSpaceDN/>
        <w:bidi w:val="0"/>
        <w:adjustRightInd w:val="0"/>
        <w:snapToGrid w:val="0"/>
        <w:spacing w:line="252" w:lineRule="auto"/>
        <w:jc w:val="center"/>
        <w:textAlignment w:val="auto"/>
        <w:rPr>
          <w:rFonts w:hint="eastAsia" w:ascii="黑体" w:eastAsia="黑体"/>
          <w:kern w:val="2"/>
          <w:szCs w:val="32"/>
        </w:rPr>
      </w:pPr>
    </w:p>
    <w:p>
      <w:pPr>
        <w:keepNext w:val="0"/>
        <w:keepLines w:val="0"/>
        <w:pageBreakBefore w:val="0"/>
        <w:widowControl w:val="0"/>
        <w:tabs>
          <w:tab w:val="left" w:pos="790"/>
        </w:tabs>
        <w:kinsoku/>
        <w:wordWrap/>
        <w:overflowPunct w:val="0"/>
        <w:topLinePunct w:val="0"/>
        <w:autoSpaceDE/>
        <w:autoSpaceDN/>
        <w:bidi w:val="0"/>
        <w:adjustRightInd w:val="0"/>
        <w:snapToGrid w:val="0"/>
        <w:spacing w:line="336" w:lineRule="auto"/>
        <w:jc w:val="center"/>
        <w:textAlignment w:val="auto"/>
        <w:rPr>
          <w:rFonts w:hint="eastAsia"/>
          <w:kern w:val="2"/>
          <w:szCs w:val="32"/>
        </w:rPr>
      </w:pPr>
      <w:r>
        <w:rPr>
          <w:rFonts w:hint="eastAsia"/>
          <w:kern w:val="2"/>
          <w:szCs w:val="30"/>
        </w:rPr>
        <mc:AlternateContent>
          <mc:Choice Requires="wps">
            <w:drawing>
              <wp:anchor distT="0" distB="0" distL="114300" distR="114300" simplePos="0" relativeHeight="251658240" behindDoc="0" locked="1" layoutInCell="1" allowOverlap="1">
                <wp:simplePos x="0" y="0"/>
                <wp:positionH relativeFrom="column">
                  <wp:posOffset>635</wp:posOffset>
                </wp:positionH>
                <wp:positionV relativeFrom="paragraph">
                  <wp:posOffset>386080</wp:posOffset>
                </wp:positionV>
                <wp:extent cx="5615940" cy="0"/>
                <wp:effectExtent l="0" t="9525" r="3810" b="9525"/>
                <wp:wrapNone/>
                <wp:docPr id="1" name="直接连接符 1"/>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wps:spPr>
                      <wps:bodyPr upright="true"/>
                    </wps:wsp>
                  </a:graphicData>
                </a:graphic>
              </wp:anchor>
            </w:drawing>
          </mc:Choice>
          <mc:Fallback>
            <w:pict>
              <v:line id="_x0000_s1026" o:spid="_x0000_s1026" o:spt="20" style="position:absolute;left:0pt;margin-left:0.05pt;margin-top:30.4pt;height:0pt;width:442.2pt;z-index:251658240;mso-width-relative:page;mso-height-relative:page;" filled="f" stroked="t" coordsize="21600,21600" o:gfxdata="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BYAAABkcnMvUEsBAhQAFAAAAAgA&#10;h07iQIgOgsDUAAAABgEAAA8AAAAAAAAAAQAgAAAAOAAAAGRycy9kb3ducmV2LnhtbFBLAQIUABQA&#10;AAAIAIdO4kApw8Qv3gEAAJoDAAAOAAAAAAAAAAEAIAAAADkBAABkcnMvZTJvRG9jLnhtbFBLBQYA&#10;AAAABgAGAFkBAACJBQAAAAA=&#10;">
                <v:fill on="f" focussize="0,0"/>
                <v:stroke weight="1.5pt" color="#FF0000" joinstyle="round"/>
                <v:imagedata o:title=""/>
                <o:lock v:ext="edit" aspectratio="f"/>
                <w10:anchorlock/>
              </v:line>
            </w:pict>
          </mc:Fallback>
        </mc:AlternateContent>
      </w:r>
      <w:r>
        <w:rPr>
          <w:rFonts w:hint="eastAsia"/>
          <w:kern w:val="2"/>
          <w:szCs w:val="32"/>
        </w:rPr>
        <w:t>沪市监</w:t>
      </w:r>
      <w:r>
        <w:rPr>
          <w:rFonts w:hint="eastAsia"/>
          <w:kern w:val="2"/>
          <w:szCs w:val="32"/>
          <w:lang w:eastAsia="zh-CN"/>
        </w:rPr>
        <w:t>广告</w:t>
      </w:r>
      <w:r>
        <w:rPr>
          <w:rFonts w:hint="eastAsia"/>
          <w:kern w:val="2"/>
          <w:szCs w:val="32"/>
        </w:rPr>
        <w:t>〔202</w:t>
      </w:r>
      <w:r>
        <w:rPr>
          <w:rFonts w:hint="default"/>
          <w:kern w:val="2"/>
          <w:szCs w:val="32"/>
          <w:lang w:val="en"/>
        </w:rPr>
        <w:t>5</w:t>
      </w:r>
      <w:r>
        <w:rPr>
          <w:rFonts w:hint="eastAsia"/>
          <w:kern w:val="2"/>
          <w:szCs w:val="32"/>
        </w:rPr>
        <w:t>〕</w:t>
      </w:r>
      <w:r>
        <w:rPr>
          <w:rFonts w:hint="default"/>
          <w:kern w:val="2"/>
          <w:szCs w:val="32"/>
          <w:lang w:val="en"/>
        </w:rPr>
        <w:t>308</w:t>
      </w:r>
      <w:r>
        <w:rPr>
          <w:rFonts w:hint="eastAsia"/>
          <w:kern w:val="2"/>
          <w:szCs w:val="32"/>
        </w:rPr>
        <w:t>号</w:t>
      </w:r>
    </w:p>
    <w:p>
      <w:pPr>
        <w:keepNext w:val="0"/>
        <w:keepLines w:val="0"/>
        <w:pageBreakBefore w:val="0"/>
        <w:widowControl w:val="0"/>
        <w:tabs>
          <w:tab w:val="left" w:pos="790"/>
        </w:tabs>
        <w:kinsoku/>
        <w:wordWrap/>
        <w:overflowPunct w:val="0"/>
        <w:topLinePunct w:val="0"/>
        <w:autoSpaceDE/>
        <w:autoSpaceDN/>
        <w:bidi w:val="0"/>
        <w:adjustRightInd w:val="0"/>
        <w:snapToGrid w:val="0"/>
        <w:spacing w:line="336" w:lineRule="auto"/>
        <w:jc w:val="center"/>
        <w:textAlignment w:val="auto"/>
        <w:rPr>
          <w:rFonts w:hint="eastAsia"/>
          <w:kern w:val="2"/>
          <w:szCs w:val="30"/>
        </w:rPr>
      </w:pPr>
    </w:p>
    <w:p>
      <w:pPr>
        <w:keepNext w:val="0"/>
        <w:keepLines w:val="0"/>
        <w:pageBreakBefore w:val="0"/>
        <w:widowControl w:val="0"/>
        <w:tabs>
          <w:tab w:val="left" w:pos="790"/>
        </w:tabs>
        <w:kinsoku/>
        <w:wordWrap/>
        <w:overflowPunct w:val="0"/>
        <w:topLinePunct w:val="0"/>
        <w:autoSpaceDE/>
        <w:autoSpaceDN/>
        <w:bidi w:val="0"/>
        <w:adjustRightInd w:val="0"/>
        <w:snapToGrid w:val="0"/>
        <w:spacing w:line="336" w:lineRule="auto"/>
        <w:jc w:val="center"/>
        <w:textAlignment w:val="auto"/>
        <w:rPr>
          <w:rFonts w:hint="eastAsia"/>
          <w:kern w:val="2"/>
          <w:szCs w:val="30"/>
        </w:rPr>
      </w:pPr>
    </w:p>
    <w:p>
      <w:pPr>
        <w:keepNext w:val="0"/>
        <w:keepLines w:val="0"/>
        <w:pageBreakBefore w:val="0"/>
        <w:widowControl w:val="0"/>
        <w:tabs>
          <w:tab w:val="left" w:pos="790"/>
        </w:tabs>
        <w:kinsoku/>
        <w:wordWrap/>
        <w:overflowPunct w:val="0"/>
        <w:topLinePunct w:val="0"/>
        <w:autoSpaceDE/>
        <w:autoSpaceDN/>
        <w:bidi w:val="0"/>
        <w:adjustRightInd w:val="0"/>
        <w:snapToGrid w:val="0"/>
        <w:spacing w:line="221" w:lineRule="auto"/>
        <w:jc w:val="center"/>
        <w:textAlignment w:val="auto"/>
        <w:rPr>
          <w:rFonts w:hint="eastAsia" w:ascii="方正小标宋简体" w:hAnsi="宋体" w:eastAsia="方正小标宋简体"/>
          <w:kern w:val="2"/>
          <w:sz w:val="44"/>
          <w:szCs w:val="44"/>
          <w:lang w:eastAsia="zh-CN"/>
        </w:rPr>
      </w:pPr>
      <w:r>
        <w:rPr>
          <w:rFonts w:hint="eastAsia" w:ascii="方正小标宋简体" w:hAnsi="宋体" w:eastAsia="方正小标宋简体"/>
          <w:kern w:val="2"/>
          <w:sz w:val="44"/>
          <w:szCs w:val="44"/>
          <w:lang w:eastAsia="zh-CN"/>
        </w:rPr>
        <w:t>上海市市场监督管理局关于印发</w:t>
      </w:r>
    </w:p>
    <w:p>
      <w:pPr>
        <w:keepNext w:val="0"/>
        <w:keepLines w:val="0"/>
        <w:pageBreakBefore w:val="0"/>
        <w:widowControl w:val="0"/>
        <w:tabs>
          <w:tab w:val="left" w:pos="790"/>
        </w:tabs>
        <w:kinsoku/>
        <w:wordWrap/>
        <w:overflowPunct w:val="0"/>
        <w:topLinePunct w:val="0"/>
        <w:autoSpaceDE/>
        <w:autoSpaceDN/>
        <w:bidi w:val="0"/>
        <w:adjustRightInd w:val="0"/>
        <w:snapToGrid w:val="0"/>
        <w:spacing w:line="221" w:lineRule="auto"/>
        <w:jc w:val="center"/>
        <w:textAlignment w:val="auto"/>
        <w:rPr>
          <w:rFonts w:hint="eastAsia" w:ascii="方正小标宋简体" w:hAnsi="宋体" w:eastAsia="方正小标宋简体"/>
          <w:kern w:val="2"/>
          <w:sz w:val="44"/>
          <w:szCs w:val="44"/>
          <w:lang w:eastAsia="zh-CN"/>
        </w:rPr>
      </w:pPr>
      <w:r>
        <w:rPr>
          <w:rFonts w:hint="eastAsia" w:ascii="方正小标宋简体" w:hAnsi="宋体" w:eastAsia="方正小标宋简体"/>
          <w:kern w:val="2"/>
          <w:sz w:val="44"/>
          <w:szCs w:val="44"/>
          <w:lang w:eastAsia="zh-CN"/>
        </w:rPr>
        <w:t>《上海市药品、医疗器械、保健食品、</w:t>
      </w:r>
    </w:p>
    <w:p>
      <w:pPr>
        <w:keepNext w:val="0"/>
        <w:keepLines w:val="0"/>
        <w:pageBreakBefore w:val="0"/>
        <w:widowControl w:val="0"/>
        <w:tabs>
          <w:tab w:val="left" w:pos="790"/>
        </w:tabs>
        <w:kinsoku/>
        <w:wordWrap/>
        <w:overflowPunct w:val="0"/>
        <w:topLinePunct w:val="0"/>
        <w:autoSpaceDE/>
        <w:autoSpaceDN/>
        <w:bidi w:val="0"/>
        <w:adjustRightInd w:val="0"/>
        <w:snapToGrid w:val="0"/>
        <w:spacing w:line="221" w:lineRule="auto"/>
        <w:jc w:val="center"/>
        <w:textAlignment w:val="auto"/>
        <w:rPr>
          <w:rFonts w:hint="eastAsia" w:ascii="方正小标宋简体" w:hAnsi="宋体" w:eastAsia="方正小标宋简体"/>
          <w:kern w:val="2"/>
          <w:sz w:val="44"/>
          <w:szCs w:val="44"/>
          <w:lang w:eastAsia="zh-CN"/>
        </w:rPr>
      </w:pPr>
      <w:r>
        <w:rPr>
          <w:rFonts w:hint="eastAsia" w:ascii="方正小标宋简体" w:hAnsi="宋体" w:eastAsia="方正小标宋简体"/>
          <w:kern w:val="2"/>
          <w:sz w:val="44"/>
          <w:szCs w:val="44"/>
          <w:lang w:eastAsia="zh-CN"/>
        </w:rPr>
        <w:t>特殊医学用途配方食品广告活动</w:t>
      </w:r>
    </w:p>
    <w:p>
      <w:pPr>
        <w:keepNext w:val="0"/>
        <w:keepLines w:val="0"/>
        <w:pageBreakBefore w:val="0"/>
        <w:widowControl w:val="0"/>
        <w:tabs>
          <w:tab w:val="left" w:pos="790"/>
        </w:tabs>
        <w:kinsoku/>
        <w:wordWrap/>
        <w:overflowPunct w:val="0"/>
        <w:topLinePunct w:val="0"/>
        <w:autoSpaceDE/>
        <w:autoSpaceDN/>
        <w:bidi w:val="0"/>
        <w:adjustRightInd w:val="0"/>
        <w:snapToGrid w:val="0"/>
        <w:spacing w:line="221" w:lineRule="auto"/>
        <w:jc w:val="center"/>
        <w:textAlignment w:val="auto"/>
        <w:rPr>
          <w:rFonts w:hint="eastAsia" w:ascii="方正小标宋简体" w:hAnsi="宋体" w:eastAsia="方正小标宋简体"/>
          <w:kern w:val="2"/>
          <w:sz w:val="44"/>
          <w:szCs w:val="44"/>
        </w:rPr>
      </w:pPr>
      <w:r>
        <w:rPr>
          <w:rFonts w:hint="eastAsia" w:ascii="方正小标宋简体" w:hAnsi="宋体" w:eastAsia="方正小标宋简体"/>
          <w:kern w:val="2"/>
          <w:sz w:val="44"/>
          <w:szCs w:val="44"/>
          <w:lang w:eastAsia="zh-CN"/>
        </w:rPr>
        <w:t>合规指引》的通知</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jc w:val="both"/>
        <w:textAlignment w:val="auto"/>
        <w:rPr>
          <w:rFonts w:hint="eastAsia" w:hAnsi="宋体"/>
          <w:kern w:val="2"/>
          <w:szCs w:val="30"/>
          <w:lang w:eastAsia="zh-CN"/>
        </w:rPr>
      </w:pPr>
      <w:r>
        <w:rPr>
          <w:rFonts w:hint="eastAsia" w:hAnsi="宋体"/>
          <w:kern w:val="2"/>
          <w:szCs w:val="30"/>
          <w:lang w:eastAsia="zh-CN"/>
        </w:rPr>
        <w:t>各区市场监管局，临港新片区市场监管局，市局有关处室、执法总队、机场分局，市药品监管局，市局行政服务中心、监测评价中心，各有关单位：</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为进一步规范上海市药品、医疗器械、保健食品、特殊医学用途配方食品广告审查申请及发布行为，加强对广告申请人的合规指导，维护良好的广告市场秩序，市局制定了《上海市药品、医疗器械、保健食品、特殊医学用途配方食品广告活动合规指引》，现印发给你们，请结合实际抓好贯彻落实。</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特此通知。</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88"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88"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88"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right="1003" w:firstLine="624"/>
        <w:jc w:val="right"/>
        <w:textAlignment w:val="auto"/>
        <w:rPr>
          <w:rFonts w:hint="eastAsia" w:hAnsi="宋体"/>
          <w:kern w:val="2"/>
          <w:szCs w:val="30"/>
        </w:rPr>
      </w:pPr>
      <w:r>
        <w:rPr>
          <w:rFonts w:hint="eastAsia" w:hAnsi="宋体"/>
          <w:kern w:val="2"/>
          <w:szCs w:val="30"/>
        </w:rPr>
        <w:t>上海市市场监督管理局</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right="1247" w:firstLine="624"/>
        <w:jc w:val="right"/>
        <w:textAlignment w:val="auto"/>
        <w:rPr>
          <w:rFonts w:hint="eastAsia" w:hAnsi="宋体"/>
          <w:kern w:val="2"/>
          <w:szCs w:val="30"/>
        </w:rPr>
      </w:pPr>
      <w:r>
        <w:rPr>
          <w:rFonts w:hint="eastAsia" w:hAnsi="宋体"/>
          <w:kern w:val="2"/>
          <w:szCs w:val="30"/>
        </w:rPr>
        <w:t>202</w:t>
      </w:r>
      <w:r>
        <w:rPr>
          <w:rFonts w:hint="default" w:hAnsi="宋体"/>
          <w:kern w:val="2"/>
          <w:szCs w:val="30"/>
          <w:lang w:val="en"/>
        </w:rPr>
        <w:t>5</w:t>
      </w:r>
      <w:r>
        <w:rPr>
          <w:rFonts w:hint="eastAsia" w:hAnsi="宋体"/>
          <w:kern w:val="2"/>
          <w:szCs w:val="30"/>
        </w:rPr>
        <w:t>年</w:t>
      </w:r>
      <w:r>
        <w:rPr>
          <w:rFonts w:hint="eastAsia" w:hAnsi="宋体"/>
          <w:kern w:val="2"/>
          <w:szCs w:val="30"/>
          <w:lang w:val="en-US" w:eastAsia="zh-CN"/>
        </w:rPr>
        <w:t>11</w:t>
      </w:r>
      <w:r>
        <w:rPr>
          <w:rFonts w:hint="eastAsia" w:hAnsi="宋体"/>
          <w:kern w:val="2"/>
          <w:szCs w:val="30"/>
        </w:rPr>
        <w:t>月</w:t>
      </w:r>
      <w:r>
        <w:rPr>
          <w:rFonts w:hint="eastAsia" w:hAnsi="宋体"/>
          <w:kern w:val="2"/>
          <w:szCs w:val="30"/>
          <w:lang w:val="en-US" w:eastAsia="zh-CN"/>
        </w:rPr>
        <w:t>13</w:t>
      </w:r>
      <w:r>
        <w:rPr>
          <w:rFonts w:hint="eastAsia" w:hAnsi="宋体"/>
          <w:kern w:val="2"/>
          <w:szCs w:val="30"/>
        </w:rPr>
        <w:t>日</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（此件公开发布）</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rPr>
      </w:pPr>
    </w:p>
    <w:p>
      <w:pPr>
        <w:rPr>
          <w:rFonts w:hint="eastAsia" w:ascii="方正小标宋简体" w:hAnsi="宋体" w:eastAsia="方正小标宋简体"/>
          <w:kern w:val="2"/>
          <w:sz w:val="44"/>
          <w:szCs w:val="44"/>
          <w:lang w:eastAsia="zh-CN"/>
        </w:rPr>
      </w:pPr>
      <w:r>
        <w:rPr>
          <w:rFonts w:hint="eastAsia" w:ascii="方正小标宋简体" w:hAnsi="宋体" w:eastAsia="方正小标宋简体"/>
          <w:kern w:val="2"/>
          <w:sz w:val="44"/>
          <w:szCs w:val="44"/>
          <w:lang w:eastAsia="zh-CN"/>
        </w:rPr>
        <w:br w:type="page"/>
      </w:r>
    </w:p>
    <w:p>
      <w:pPr>
        <w:keepNext w:val="0"/>
        <w:keepLines w:val="0"/>
        <w:pageBreakBefore w:val="0"/>
        <w:widowControl w:val="0"/>
        <w:tabs>
          <w:tab w:val="left" w:pos="790"/>
        </w:tabs>
        <w:kinsoku/>
        <w:wordWrap/>
        <w:overflowPunct w:val="0"/>
        <w:topLinePunct w:val="0"/>
        <w:autoSpaceDE/>
        <w:autoSpaceDN/>
        <w:bidi w:val="0"/>
        <w:adjustRightInd w:val="0"/>
        <w:snapToGrid w:val="0"/>
        <w:spacing w:line="600" w:lineRule="exact"/>
        <w:ind w:left="170"/>
        <w:jc w:val="center"/>
        <w:textAlignment w:val="auto"/>
        <w:rPr>
          <w:rFonts w:hint="eastAsia" w:ascii="方正小标宋简体" w:hAnsi="宋体" w:eastAsia="方正小标宋简体"/>
          <w:kern w:val="2"/>
          <w:sz w:val="44"/>
          <w:szCs w:val="44"/>
          <w:lang w:eastAsia="zh-CN"/>
        </w:rPr>
      </w:pPr>
      <w:r>
        <w:rPr>
          <w:rFonts w:hint="eastAsia" w:ascii="方正小标宋简体" w:hAnsi="宋体" w:eastAsia="方正小标宋简体"/>
          <w:kern w:val="2"/>
          <w:sz w:val="44"/>
          <w:szCs w:val="44"/>
          <w:lang w:eastAsia="zh-CN"/>
        </w:rPr>
        <w:t>上海市药品、医疗器械、保健食品、</w:t>
      </w:r>
    </w:p>
    <w:p>
      <w:pPr>
        <w:keepNext w:val="0"/>
        <w:keepLines w:val="0"/>
        <w:pageBreakBefore w:val="0"/>
        <w:widowControl w:val="0"/>
        <w:tabs>
          <w:tab w:val="left" w:pos="790"/>
        </w:tabs>
        <w:kinsoku/>
        <w:wordWrap/>
        <w:overflowPunct w:val="0"/>
        <w:topLinePunct w:val="0"/>
        <w:autoSpaceDE/>
        <w:autoSpaceDN/>
        <w:bidi w:val="0"/>
        <w:adjustRightInd w:val="0"/>
        <w:snapToGrid w:val="0"/>
        <w:spacing w:line="600" w:lineRule="exact"/>
        <w:jc w:val="center"/>
        <w:textAlignment w:val="auto"/>
        <w:rPr>
          <w:rFonts w:hint="eastAsia" w:ascii="方正小标宋简体" w:hAnsi="宋体" w:eastAsia="方正小标宋简体"/>
          <w:kern w:val="2"/>
          <w:sz w:val="44"/>
          <w:szCs w:val="44"/>
        </w:rPr>
      </w:pPr>
      <w:r>
        <w:rPr>
          <w:rFonts w:hint="eastAsia" w:ascii="方正小标宋简体" w:hAnsi="宋体" w:eastAsia="方正小标宋简体"/>
          <w:kern w:val="2"/>
          <w:sz w:val="44"/>
          <w:szCs w:val="44"/>
          <w:lang w:eastAsia="zh-CN"/>
        </w:rPr>
        <w:t>特殊医学用途配方食品广告活动合规指引</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before="180" w:after="120" w:line="336" w:lineRule="auto"/>
        <w:jc w:val="center"/>
        <w:textAlignment w:val="auto"/>
        <w:rPr>
          <w:rFonts w:hint="eastAsia" w:ascii="方正小标宋简体" w:hAnsi="宋体" w:eastAsia="方正小标宋简体"/>
          <w:kern w:val="2"/>
          <w:sz w:val="36"/>
          <w:szCs w:val="36"/>
          <w:lang w:eastAsia="zh-CN"/>
        </w:rPr>
      </w:pPr>
      <w:r>
        <w:rPr>
          <w:rFonts w:hint="eastAsia" w:ascii="方正小标宋简体" w:hAnsi="宋体" w:eastAsia="方正小标宋简体"/>
          <w:kern w:val="2"/>
          <w:sz w:val="36"/>
          <w:szCs w:val="36"/>
          <w:lang w:eastAsia="zh-CN"/>
        </w:rPr>
        <w:t>第一章　总　则</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第一条（目的与依据）</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为进一步规范上海市药品、医疗器械、保健食品、特殊医学用途配方食品（以下简称“三品一械”）广告审查申请及发布行为，维护广告市场秩序，保障消费者合法权益，根据《中华人民共和国广告法》《药品、医疗器械、保健食品、特殊医学用途配方食品广告审查管理暂行办法》等法律法规，结合本市实际，制定本指引。</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第二条（适用范围）</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广告主、广告经营者、广告发布者及其他广告活动主体在本市行政区域内从事“三品一械”广告活动，适用本指引。</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第三条（主体责任）</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广告主应当对“三品一械”广告内容的真实性负责，并对审查申请、发布广告行为承担法律责任。</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广告经营者、广告发布者应当依据法律、行政法规查验《广告审查准予许可决定书》等有关证明文件，核对“三品一械”广告内容与审查通过的广告样件是否一致，对内容不符或者证明文件不全的广告，广告经营者不得提供设计、制作、代理服务，广告发布者不得发布。</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公共场所的管理者、电信业务经营者、互联网信息服务提供者对其明知或者应知的利用其场所或者信息传输、发布平台发送、发布违法广告的，应当予以制止。</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互联网平台经营者在提供互联网信息服务过程中应当对利用其信息服务发布的广告内容进行监测、排查，发现违法广告的，应当采取通知改正、删除、屏蔽、断开发布链接等措施予以制止。</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广告行业组织应当加强行业自律，推动诚信建设，促进行业健康发展。</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before="180" w:after="120" w:line="336" w:lineRule="auto"/>
        <w:jc w:val="center"/>
        <w:textAlignment w:val="auto"/>
        <w:rPr>
          <w:rFonts w:hint="eastAsia" w:ascii="方正小标宋简体" w:hAnsi="宋体" w:eastAsia="方正小标宋简体"/>
          <w:kern w:val="2"/>
          <w:sz w:val="36"/>
          <w:szCs w:val="36"/>
          <w:lang w:eastAsia="zh-CN"/>
        </w:rPr>
      </w:pPr>
      <w:r>
        <w:rPr>
          <w:rFonts w:hint="eastAsia" w:ascii="方正小标宋简体" w:hAnsi="宋体" w:eastAsia="方正小标宋简体"/>
          <w:kern w:val="2"/>
          <w:sz w:val="36"/>
          <w:szCs w:val="36"/>
          <w:lang w:eastAsia="zh-CN"/>
        </w:rPr>
        <w:t>第二章　广告审查合规要求</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第四条（广告审查申请人）</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“三品一械”注册证明文件或者备案凭证持有人及其授权的生产、经营企业为广告审查申请人。</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广告审查申请人可以委托代理人办理“三品一械”广告审查申请。</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第五条（广告审查机关）</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本市广告审查机关受理生产企业、进口代理人在上海的“三品一械”广告审查申请。</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第六条（广告认定）</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“三品一械”广告系利用一定的媒介和形式直接或者间接介绍“三品一械”产品，相关广告应当同时具备营销性、媒介性、受众不特定性、非强制性等特性。</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以下情形一般不属于商业广告，且无需申请广告审查：</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一）在企业经营场所及其他法定控制地带，或者在其自建网站（页）、拥有合法使用权的互联网空间发布企业名称、简称、商标、标识、经营范围、成立时间、发展历程、企业简介等信息，且未直接或者间接推销商品或者服务的；</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（二）发布法律、行政法规、部门规章、强制性国家标准以及国家有关规定强制性要求展示、标示、告知的信息的；</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（三）为保障消费者知情权、选择权，以实物或者图片、视频等形式对“三品一械”产品或者产品的最小包装、说明书、标签、安装（使用）教程进行展示的；</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（四）以临床试验研究为目的，经过伦理审查委员会批准后发布药品、医疗器械、特殊医学用途配方食品临床试验受试者招募信息的；</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（五）以人体试食评价为目的，经过伦理审查委员会批准后发布保健食品人体试食试验受试者招募信息的；</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（六）开展医药知识介绍、科普宣传且不涉及具体产品信息的；</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（七）通过展览会、博览会、交易会、洽谈会、展示会、展销会、订货会、新品发布会、宣讲会、推介会等各类现场展览、展销和展示活动，对“三品一械”产品进行面对面推销的；</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（八）通过线下会议或者以现场讲座、培训等形式，对“三品一械”产品进行面对面推销的；</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（九）借助电话、短信息、传真、互联网即时通信工具进行点对点即时信息交流的；</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（十）在互联网聊天群内推销产品的；</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（十一）医务人员在互联网诊疗平台接受咨询过程中，为患者提供相关产品使用建议的；</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（十二）其他不属于商业广告的情形。</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第七条（申请行为）</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申请人申请广告审查，应当如实提交有关材料，规范申请行为，并符合下列要求：</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（一）申请事项填报应准确完整，如实填报申请类别、广告媒介等；</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（二）同一广告样件在受理审查阶段内不得重复申请；</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（三）申请人收到补正通知后，应当按要求在10个工作日内一次性、完整提交补正材料，逾期未提交的，视为自动放弃广告审查申请；</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（四）广告审查机关依据《广告法》第五十五条、第五十七条、第五十八条、第六十四条等规定，依法在一定期限内不予受理特定申请人的广告审查申请的，相关申请人不得提出申请。</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第八条（材料要求）</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申请人提交与“三品一械”广告相关的证明材料应当真实、合法、有效，并符合下列要求：</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（一）提供真实有效的产品注册或者备案证明文件，产品注册或者备案文件发生变更的，应当提交最新的有效证明文件；</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（二）提交的证明文件使用外国语言文字的，应当提交与原文意思一致的中文翻译版本，申请人对翻译版的真实性和完整性负责；</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（三）宣传注册商标、专利的，应当提供商标注册证明、专利证明；</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（四）广告中使用的商标不得侵犯他人注册商标权益，标注的注册商标、专利应当在权利有效期限内；</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（五）宣传“中华老字号”“古代经典名方”“XX年传承”“拥有XX万用户”等内容的，应当提供有效的证明材料；</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（六）广告中使用的人物形象、特定IP、音乐词曲等应当获得合法有效的使用权。</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第九条（无需审查）</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“三品一械”广告涉及以下情形无需申请广告审查：</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（一）仅宣传产品名称（含药品通用名称和药品商品名称）的；</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（二）仅介绍生产、经营者的企业形象的；</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（三）仅客观说明价格变动情况的；</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（四）其他依法无需申请广告审查的情形。</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before="180" w:after="120" w:line="336" w:lineRule="auto"/>
        <w:jc w:val="center"/>
        <w:textAlignment w:val="auto"/>
        <w:rPr>
          <w:rFonts w:hint="eastAsia" w:ascii="方正小标宋简体" w:hAnsi="宋体" w:eastAsia="方正小标宋简体"/>
          <w:kern w:val="2"/>
          <w:sz w:val="36"/>
          <w:szCs w:val="36"/>
          <w:lang w:eastAsia="zh-CN"/>
        </w:rPr>
      </w:pPr>
      <w:r>
        <w:rPr>
          <w:rFonts w:hint="eastAsia" w:ascii="方正小标宋简体" w:hAnsi="宋体" w:eastAsia="方正小标宋简体"/>
          <w:kern w:val="2"/>
          <w:sz w:val="36"/>
          <w:szCs w:val="36"/>
          <w:lang w:eastAsia="zh-CN"/>
        </w:rPr>
        <w:t>第三章</w:t>
      </w:r>
      <w:r>
        <w:rPr>
          <w:rFonts w:hint="eastAsia" w:ascii="方正小标宋简体" w:hAnsi="宋体" w:eastAsia="方正小标宋简体"/>
          <w:kern w:val="2"/>
          <w:sz w:val="36"/>
          <w:szCs w:val="36"/>
          <w:lang w:val="en-US" w:eastAsia="zh-CN"/>
        </w:rPr>
        <w:t>　</w:t>
      </w:r>
      <w:r>
        <w:rPr>
          <w:rFonts w:hint="eastAsia" w:ascii="方正小标宋简体" w:hAnsi="宋体" w:eastAsia="方正小标宋简体"/>
          <w:kern w:val="2"/>
          <w:sz w:val="36"/>
          <w:szCs w:val="36"/>
          <w:lang w:eastAsia="zh-CN"/>
        </w:rPr>
        <w:t>广告内容合规要求</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第十条（基本要求）</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“三品一械”广告应当真实、合法，以健康的表现形式表达广告内容，不得含有虚假或者引人误解的内容。</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第十一条（禁止内容）</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“三品一械”广告中不得出现下列情形：</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（一）违反科学规律，明示或者暗示可以治疗所有疾病、适应所有症状、适应所有人群，或者正常生活和治疗病症所必需；</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（二）含有引起公众对所处健康状况和所患疾病产生不必要的担忧和恐惧，或者使公众误解不使用该产品会患某种疾病或者加重病情的内容；</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（三）含有怂恿消费者任意、过量使用药品、保健食品和特殊医学用途配方食品的内容；</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（四）含有明示或暗示使用或服用该产品能应付现代紧张生活，满足升学、考试等需要，能够帮助提高成绩、使精力旺盛、增强竞争力、增高益智等内容；</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（五）含有“安全”“安全无毒副作用”“毒副作用小”；明示或者暗示成分为“天然”，因而安全性有保证等内容；</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（六）含有“热销、抢购、试用”“家庭必备、免费治疗、免费赠送”“抽奖销售、盲盒销售、先到先得”等诱导性内容；</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（七）含有“评比、排序、推荐、指定、选用、获奖”“销量第一、市场占有率第一、销量遥遥领先”等综合性评价内容；</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（八）含有“无效退款、保险公司保险”等保证性内容；</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（九）含有医疗机构的名称、地址、联系方式、诊疗项目、诊疗方法以及有关义诊、医疗咨询电话、开设特约门诊等医疗服务的内容；</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（十）含有涉及公共信息、公共事件或其他与公共利益相关联的内容，如各类疾病信息、经济社会发展成果或医疗科学以外的科技成果；</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（十一）制造容貌焦虑，将容貌不佳与“低能、懒惰、贫穷”等负面评价因素作不当关联，或者将容貌出众与“高素质、勤奋、成功”等积极评价因素作不当关联；</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（十二）单独出现外国语言文字（商标、专业术语缩写除外）；</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（十三）法律、行政法规规定不得含有的其他内容。</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第十二条（未成年人保护）</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“三品一械”广告不得出现以下情形：</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（一）在针对未成年的大众传播媒介上发布广告；</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（二）无依据随意宣称产品为未成年人专属专用的；</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（三）含有劝诱未成年人要求家长购买广告产品内容的；</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（四）含有自行服用药品、使用医疗器械等可能引发未成年人模仿的不安全行为的；</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（五）法律、行政法规规定不得含有的其他内容。</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第十三条（人物形象的使用要求）</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“三品一械”广告不得利用广告代言人做推荐、证明。广告中涉及人物形象的，区分下列不同情形认定：</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（一）在广告中将姓名、职业等身份信息予以明确标示，对消费者表达自己对产品的推荐、证明，影响消费者购买选择的，属于以自己的名义或形象进行广告代言；</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（二）明星、网红以及专家、学者等公众人物对产品作推荐、证明，即使在广告中未标明姓名、职业等身份信息，也属于广告代言；明星、网红等公众人物的虚拟数字人或声音视同为明星、网红本人；</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（三）广告主及其工作人员对推销的商品或者服务进行推荐、证明，一般不认定为广告代言；</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（四）广告人物没有标明身份，公众也难以辨别其身份，其演示产品的使用，一般认定为广告表演。</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第十四条（商标使用要求）</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“三品一械”广告中不得出现以下情形：</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（一）用“驰名商标”字样作广告宣传；</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（二）在核定使用范围之外的商品上使用注册商标；</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（三）改变注册商标的标志使用；</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（四）使用含有表示功效、安全性的断言或者保证等内容的商标；</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（五）使用含有说明治愈率或者有效率等内容的商标；</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（六）保健食品广告中使用涉及疾病预防、治疗功能的商标；</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（七）使用易使公众对商品质量、特点、产地等产生误解的商标；</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（八）法律、行政法规规定不得含有的其他内容。</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第十五条（地图使用要求）</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“三品一械”广告中涉及中国地图的，应当符合相关规定，完整、准确地展示中国地图界限，并标明审图号。</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第十六条（链接标识使用要求）</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“三品一械”广告中含有网络链接、二维码等链接标识的，广告主应当对链接内容的真实性和合法性负责。</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链接内容属于法律法规规定应当进行审查的，应当单独申请广告审查。</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第十七条（药品广告要求）</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药品广告应当显著标明药品通用名称、禁忌、不良反应。处方药广告还应当显著标明“本广告仅供医学药学专业人士阅读”，非处方药广告还应当显著标明非处方药标识（OTC）和“请按药品说明书或者在药师指导下购买和使用”。</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药品广告内容应当以国务院药品监督管理部门核准的说明书为准，并符合下列要求：</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（一）药品商品名称不得单独进行广告宣传，使用药品商品名称的，必须同时出现药品通用名称；不得以产品注册商标代替药品名称进行宣传（经批准作为药品商品名称使用的文字型注册商标除外）；</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（二）药品选择应当符合疾病临床诊断和治疗原则，不得使用“高性价比”等表述对药品进行评价；</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（三）不得将药理作用变相宣传为药品功效；</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（四）不得借助宣传产品中某些成分的作用明示或暗示该产品具有超出说明书以外的功能主治、适应症等内容；</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（五）非处方药广告不得使用公众难以理解和容易引起混淆的医学、药学术语，造成公众对药品功效与安全性的误解；</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（六）中药说明书中没有明确表明的，中西医病症又不能对应的，不得使用西医的病症或者用语宣传中药功效；</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（七）处方药遴选为非处方药后，属于非双跨品种的，原处方药说明书不得作为药品广告的依据；属于双跨品种的，在大众媒介做广告时不得以处方药说明书作为药品广告的依据；</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（八）药品说明书统一修订后，原说明书不得作为药品广告的依据；</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（九）按照药品管理的体外诊断试剂，广告中需显著标明“本广告仅供医学药学专业人士阅读”和“注意事项详见说明书”；</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（十）按照处方药管理的疫苗类生物制品，广告中需显著标明禁忌、不良反应和“本广告仅供医学药学专业人士阅读”；</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（十一）禁忌、不良反应不能全部标明的，应当标明其主要内容并注明“详见药品说明书”。</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第十八条（医疗器械广告要求）</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医疗器械广告应当显著标明产品名称。医疗器械产品注册证明文件中有禁忌内容、注意事项的，还应当显著标明“禁忌内容或者注意事项详见说明书”。推荐给个人自用的医疗器械广告，还应当显著标明“请仔细阅读产品说明书或者在医务人员的指导下购买和使用”。</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医疗器械广告内容应当以药品监督管理部门批准的注册证书或者备案凭证、注册或者备案的产品说明书为准，并符合下列要求：</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（一）广告中医疗器械实物展示应当与注册证、备案凭证中的结构组成一致；</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（二）有关适用范围、预期用途、作用机理或者结构及组成等内容的，不得超出注册证、备案凭证、说明书范围；注册证或者备案凭证与产品说明书内容不一致时，以注册证或者备案凭证为准；</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（三）不得将作用机理变相宣传为预期用途；</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（四）不得借助适用人群夸大宣传产品预期用途、适用范围；</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（五）向个人推荐使用的医疗器械广告中不得使用超出产品注册证明文件以外的专业化术语或者不科学的用语描述产品特征或者作用机理；</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（六）医用分子筛制氧设备产品广告不得出现“具有保健作用”“用于治疗呼吸系统疾病”“脑力工作者大脑供氧”等通过使用该设备吸氧带来临床功效的内容；</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（七）血糖仪和血压计产品广告不得出现“可以确诊糖尿病或者高血压”“降低糖尿病或者高血压并发症的发生率”等有关糖尿病和高血压病的治疗、控制和预防等内容；</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（八）贴敷类医疗器械广告不得含有纯天然提取物、天然植物提取物及药品疗效的内容；以物理作用为主的含药医疗器械所含成分无论药典是否收载，不得宣传超出说明书以外的有关药品功能主治的内容；</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（九）隐形眼镜广告中宣传产品适用范围的内容，应当以产品注册证标明的矫正视力范围为依据，不得含有突出宣传美容概念等内容。</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第十九条（保健食品广告要求）</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保健食品广告应当显著标明产品名称、保健食品标志、适宜人群和不适宜人群，并显著标明“保健食品不是药物，不能代替药物治疗疾病”。</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保健食品广告内容应当以市场监督管理部门批准的注册证书或者备案凭证、注册或者备案的产品说明书为准，并符合下列要求：</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（一）不得借助宣传保健食品中某些成分的作用，明示或者暗示该保健食品具有超出说明书以外的保健功能；</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（二）营养素补充剂类保健食品可以使用保健功能释义中相应的一条或者多条营养成分功能声称标准用语做广告宣传，但不得对功能声称用语进行任何形式的删改、添加或者合并；</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（三）保健食品注册证书或者备案凭证中未标注不适宜人群或者不适宜人群标注为“无”的，广告中可以不标注；</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（四）不得将保健食品变相宣传为日常营养品；</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（五）不得声称或者暗示保健食品为日常生活或者保证健康所必需</w:t>
      </w:r>
      <w:bookmarkStart w:id="0" w:name="_GoBack"/>
      <w:bookmarkEnd w:id="0"/>
      <w:r>
        <w:rPr>
          <w:rFonts w:hint="eastAsia" w:hAnsi="宋体"/>
          <w:kern w:val="2"/>
          <w:szCs w:val="30"/>
          <w:lang w:eastAsia="zh-CN"/>
        </w:rPr>
        <w:t>。</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第二十条（特殊医学用途配方食品广告要求）</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特殊医学用途配方食品广告应当显著标明产品通用名称、特殊医学用途配方食品专属标志、适用人群，并显著标明“不适用于非目标人群使用”“请在医生或者临床营养师指导下使用”。</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特殊医学用途配方食品广告内容应当以国家市场监督管理总局批准的注册证书、产品标签、产品说明书为准，并符合下列要求：</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（一）不得以商标代替特殊医学用途配方食品名称，经批准的作为特殊医学用途配方食品商品名称使用的文字型注册商标除外；</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（二）商品名称不得单独进行广告宣传；在广告中使用商品名称的，必须同时使用通用名称，通用名称的字体和颜色必须清晰可辨；</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（三）不得将特殊医学用途配方食品变相宣传为日常营养品。</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before="180" w:after="120" w:line="336" w:lineRule="auto"/>
        <w:jc w:val="center"/>
        <w:textAlignment w:val="auto"/>
        <w:rPr>
          <w:rFonts w:hint="eastAsia" w:ascii="方正小标宋简体" w:hAnsi="宋体" w:eastAsia="方正小标宋简体"/>
          <w:kern w:val="2"/>
          <w:sz w:val="36"/>
          <w:szCs w:val="36"/>
          <w:lang w:eastAsia="zh-CN"/>
        </w:rPr>
      </w:pPr>
      <w:r>
        <w:rPr>
          <w:rFonts w:hint="eastAsia" w:ascii="方正小标宋简体" w:hAnsi="宋体" w:eastAsia="方正小标宋简体"/>
          <w:kern w:val="2"/>
          <w:sz w:val="36"/>
          <w:szCs w:val="36"/>
          <w:lang w:eastAsia="zh-CN"/>
        </w:rPr>
        <w:t>第四章</w:t>
      </w:r>
      <w:r>
        <w:rPr>
          <w:rFonts w:hint="eastAsia" w:ascii="方正小标宋简体" w:hAnsi="宋体" w:eastAsia="方正小标宋简体"/>
          <w:kern w:val="2"/>
          <w:sz w:val="36"/>
          <w:szCs w:val="36"/>
          <w:lang w:val="en-US" w:eastAsia="zh-CN"/>
        </w:rPr>
        <w:t>　</w:t>
      </w:r>
      <w:r>
        <w:rPr>
          <w:rFonts w:hint="eastAsia" w:ascii="方正小标宋简体" w:hAnsi="宋体" w:eastAsia="方正小标宋简体"/>
          <w:kern w:val="2"/>
          <w:sz w:val="36"/>
          <w:szCs w:val="36"/>
          <w:lang w:eastAsia="zh-CN"/>
        </w:rPr>
        <w:t>广告发布合规要求</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第二十一条（改动广告内容）</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广告主、广告经营者、广告发布者应当严格按照审查通过的内容发布“三品一械”广告。已经审查通过的广告改动内容，符合下列情形之一的，无需重新申请广告审查：</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（一）调整广告背景颜色，且不影响应当显著标明或者清晰展示内容视觉效果的；</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（二）改变广告字体或者颜色，且不影响应当显著标明或者清晰展示内容视觉效果的；</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（三）调整广告图片长宽比，或者横版与竖版之间切换，且不改变广告内容表达的；</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（四）增加或者更改了产品价格、门店名称、地址、联系电话、配送方式等内容，且上述内容真实、准确的。</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第二十二条（发布媒介要求）</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“三品一械”广告的发布媒介应当符合下列要求：</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（一）不得在针对未成年人的大众传播媒介上发布“三品一械”广告；</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（二）在广播、电视上发布“三品一械”广告时长应当符合广电部门关于时长的要求；</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（三）禁止在广播、电视上发布治疗恶性肿瘤、肝病、性病或者提高性功能的广告；</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（四）禁止在户外发布涉及性生理卫生、性传播疾病治疗、性功能改善和增强的广告（品牌形象宣传广告除外）；</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（五）禁止在户外发布过度暴露人体的广告；</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（六）不得在中小学校、幼儿园内开展广告活动，不得利用中小学生和幼儿的教材、教辅材料、练习册、文具、教具、校服、校车等发布或者变相发布广告；</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七）不得在国务院卫生行政部门和国务院药品监督管理部门共同指定的医学、药学专业刊物以外的其他大众传播媒介或者公共场所发布处方药、按照处方药管理的疫苗类生物制品、特殊医学用途配方食品中的特定全营养配方食品广告；</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（八）其他发布媒介规定按照现行法律、行政法规执行。</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第二十三条（发布形式要求）</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广告应当具有可识别性，能够使消费者辨明其为广告。“三品一械”广告的发布形式应当遵守下列要求：</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（一）不得以介绍健康、养生知识等形式变相发布“三品一械”广告；介绍健康、养生知识的，不得在同一页面或者同时出现相关“三品一械”产品生产、经营者的地址、联系方式、购物链接等内容；</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（二）不得以新闻采访、新闻热线、新闻报道等形式变相发布广告；</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（三）不得使用明星、网红、专家、患者等的名义或形象，以消费测评、体验分享、探店、知识介绍等形式作“三品一械”广告的推荐、证明；</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（四）不宜以网络直播形式</w:t>
      </w:r>
      <w:r>
        <w:rPr>
          <w:rFonts w:hint="default" w:hAnsi="宋体"/>
          <w:kern w:val="2"/>
          <w:szCs w:val="30"/>
          <w:lang w:val="en-US" w:eastAsia="zh-CN"/>
        </w:rPr>
        <w:t>营销</w:t>
      </w:r>
      <w:r>
        <w:rPr>
          <w:rFonts w:hint="eastAsia" w:hAnsi="宋体"/>
          <w:kern w:val="2"/>
          <w:szCs w:val="30"/>
          <w:lang w:eastAsia="zh-CN"/>
        </w:rPr>
        <w:t>“三品一械”产品。</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第二十四条（禁止发布广告情形）</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下列“三品一械”不得发布广告：</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（一）麻醉药品、精神药品、医疗用毒性药品、放射性药品、药品类易制毒化学品，以及戒毒治疗的药品、医疗器械；</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（二）军队特需药品、军队医疗机构配制的制剂；</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（三）医疗机构配制的制剂；</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（四）依法停止或者禁止生产、销售或者使用的药品、医疗器械、保健食品和特殊医学用途配方食品；</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（五）法律、行政法规禁止发布广告的情形。</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第二十五条（广告注销情形）</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有下列情形之一的，申请人不得继续发布已经审查批准的广告，并应当主动申请注销广告批准文号：</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（一）主体资格证照被吊销、撤销、注销的；</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（二）产品注册证明文件、备案凭证或者生产许可文件被撤销、注销的；</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（三）法律、行政法规规定应当注销的其他情形。</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before="180" w:after="120" w:line="336" w:lineRule="auto"/>
        <w:jc w:val="center"/>
        <w:textAlignment w:val="auto"/>
        <w:rPr>
          <w:rFonts w:hint="eastAsia" w:ascii="方正小标宋简体" w:hAnsi="宋体" w:eastAsia="方正小标宋简体"/>
          <w:kern w:val="2"/>
          <w:sz w:val="36"/>
          <w:szCs w:val="36"/>
          <w:lang w:eastAsia="zh-CN"/>
        </w:rPr>
      </w:pPr>
      <w:r>
        <w:rPr>
          <w:rFonts w:hint="eastAsia" w:ascii="方正小标宋简体" w:hAnsi="宋体" w:eastAsia="方正小标宋简体"/>
          <w:kern w:val="2"/>
          <w:sz w:val="36"/>
          <w:szCs w:val="36"/>
          <w:lang w:eastAsia="zh-CN"/>
        </w:rPr>
        <w:t>第五章　附　则</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第二十六条（监督管理）</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广告主、广告经营者、广告发布者及其他广告活动主体违反法律、行政法规等规定的，由有关部门依法查处。</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ascii="黑体" w:hAnsi="黑体" w:eastAsia="黑体" w:cs="黑体"/>
          <w:kern w:val="2"/>
          <w:szCs w:val="30"/>
          <w:lang w:eastAsia="zh-CN"/>
        </w:rPr>
      </w:pPr>
      <w:r>
        <w:rPr>
          <w:rFonts w:hint="eastAsia" w:ascii="黑体" w:hAnsi="黑体" w:eastAsia="黑体" w:cs="黑体"/>
          <w:kern w:val="2"/>
          <w:szCs w:val="30"/>
          <w:lang w:eastAsia="zh-CN"/>
        </w:rPr>
        <w:t>第二十七条（指引实施）</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r>
        <w:rPr>
          <w:rFonts w:hint="eastAsia" w:hAnsi="宋体"/>
          <w:kern w:val="2"/>
          <w:szCs w:val="30"/>
          <w:lang w:eastAsia="zh-CN"/>
        </w:rPr>
        <w:t>本指引由上海市市场监督管理局负责解释，自发布之日起实施。</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p>
    <w:p>
      <w:pPr>
        <w:rPr>
          <w:rFonts w:hint="eastAsia" w:hAnsi="宋体"/>
          <w:kern w:val="2"/>
          <w:szCs w:val="30"/>
          <w:lang w:eastAsia="zh-CN"/>
        </w:rPr>
      </w:pPr>
      <w:r>
        <w:rPr>
          <w:rFonts w:hint="eastAsia" w:hAnsi="宋体"/>
          <w:kern w:val="2"/>
          <w:szCs w:val="30"/>
          <w:lang w:eastAsia="zh-CN"/>
        </w:rPr>
        <w:br w:type="page"/>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firstLine="624"/>
        <w:jc w:val="both"/>
        <w:textAlignment w:val="auto"/>
        <w:rPr>
          <w:rFonts w:hint="eastAsia" w:hAnsi="宋体"/>
          <w:kern w:val="2"/>
          <w:szCs w:val="30"/>
          <w:lang w:eastAsia="zh-CN"/>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after="120" w:line="336" w:lineRule="auto"/>
        <w:ind w:firstLine="624"/>
        <w:jc w:val="both"/>
        <w:textAlignment w:val="auto"/>
        <w:rPr>
          <w:rFonts w:hint="eastAsia" w:hAnsi="宋体"/>
          <w:kern w:val="2"/>
          <w:szCs w:val="30"/>
          <w:lang w:eastAsia="zh-CN"/>
        </w:rPr>
      </w:pPr>
    </w:p>
    <w:p>
      <w:pPr>
        <w:keepNext w:val="0"/>
        <w:keepLines w:val="0"/>
        <w:pageBreakBefore w:val="0"/>
        <w:widowControl w:val="0"/>
        <w:kinsoku/>
        <w:wordWrap/>
        <w:overflowPunct w:val="0"/>
        <w:topLinePunct w:val="0"/>
        <w:autoSpaceDE/>
        <w:autoSpaceDN/>
        <w:bidi w:val="0"/>
        <w:adjustRightInd w:val="0"/>
        <w:snapToGrid w:val="0"/>
        <w:spacing w:line="336" w:lineRule="auto"/>
        <w:ind w:firstLine="284"/>
        <w:textAlignment w:val="auto"/>
        <w:rPr>
          <w:rFonts w:hint="eastAsia" w:hAnsi="宋体"/>
          <w:kern w:val="2"/>
          <w:sz w:val="28"/>
          <w:szCs w:val="28"/>
          <w:lang w:eastAsia="zh-CN"/>
        </w:rPr>
      </w:pPr>
      <w:r>
        <w:rPr>
          <w:rFonts w:hint="eastAsia"/>
          <w:kern w:val="2"/>
          <w:sz w:val="28"/>
          <w:szCs w:val="28"/>
        </w:rPr>
        <mc:AlternateContent>
          <mc:Choice Requires="wps">
            <w:drawing>
              <wp:anchor distT="0" distB="0" distL="114300" distR="114300" simplePos="0" relativeHeight="251667456" behindDoc="0" locked="1" layoutInCell="1" allowOverlap="1">
                <wp:simplePos x="0" y="0"/>
                <wp:positionH relativeFrom="column">
                  <wp:posOffset>0</wp:posOffset>
                </wp:positionH>
                <wp:positionV relativeFrom="paragraph">
                  <wp:posOffset>272415</wp:posOffset>
                </wp:positionV>
                <wp:extent cx="5615940" cy="0"/>
                <wp:effectExtent l="0" t="0" r="0" b="0"/>
                <wp:wrapNone/>
                <wp:docPr id="3" name="直接连接符 3"/>
                <wp:cNvGraphicFramePr/>
                <a:graphic xmlns:a="http://schemas.openxmlformats.org/drawingml/2006/main">
                  <a:graphicData uri="http://schemas.microsoft.com/office/word/2010/wordprocessingShape">
                    <wps:wsp>
                      <wps:cNvCnPr/>
                      <wps:spPr>
                        <a:xfrm>
                          <a:off x="0" y="0"/>
                          <a:ext cx="5615940" cy="0"/>
                        </a:xfrm>
                        <a:prstGeom prst="line">
                          <a:avLst/>
                        </a:prstGeom>
                        <a:ln w="12700" cap="flat" cmpd="sng">
                          <a:solidFill>
                            <a:srgbClr val="000000"/>
                          </a:solidFill>
                          <a:prstDash val="solid"/>
                          <a:headEnd type="none" w="med" len="med"/>
                          <a:tailEnd type="none" w="med" len="med"/>
                        </a:ln>
                      </wps:spPr>
                      <wps:bodyPr upright="true"/>
                    </wps:wsp>
                  </a:graphicData>
                </a:graphic>
              </wp:anchor>
            </w:drawing>
          </mc:Choice>
          <mc:Fallback>
            <w:pict>
              <v:line id="_x0000_s1026" o:spid="_x0000_s1026" o:spt="20" style="position:absolute;left:0pt;margin-left:0pt;margin-top:21.45pt;height:0pt;width:442.2pt;z-index:251667456;mso-width-relative:page;mso-height-relative:page;" filled="f" stroked="t" coordsize="21600,21600" o:gfxdata="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BYAAABkcnMvUEsBAhQAFAAAAAgA&#10;h07iQI5/ey7VAAAABgEAAA8AAAAAAAAAAQAgAAAAOAAAAGRycy9kb3ducmV2LnhtbFBLAQIUABQA&#10;AAAIAIdO4kCPb9iN3QEAAJoDAAAOAAAAAAAAAAEAIAAAADoBAABkcnMvZTJvRG9jLnhtbFBLBQYA&#10;AAAABgAGAFkBAACJBQAAAAA=&#10;">
                <v:fill on="f" focussize="0,0"/>
                <v:stroke weight="1pt" color="#000000" joinstyle="round"/>
                <v:imagedata o:title=""/>
                <o:lock v:ext="edit" aspectratio="f"/>
                <w10:anchorlock/>
              </v:line>
            </w:pict>
          </mc:Fallback>
        </mc:AlternateContent>
      </w:r>
      <w:r>
        <w:rPr>
          <w:rFonts w:hint="eastAsia"/>
          <w:kern w:val="2"/>
          <w:sz w:val="28"/>
          <w:szCs w:val="28"/>
        </w:rPr>
        <mc:AlternateContent>
          <mc:Choice Requires="wps">
            <w:drawing>
              <wp:anchor distT="0" distB="0" distL="114300" distR="114300" simplePos="0" relativeHeight="251666432" behindDoc="0" locked="1" layoutInCell="1" allowOverlap="1">
                <wp:simplePos x="0" y="0"/>
                <wp:positionH relativeFrom="column">
                  <wp:posOffset>0</wp:posOffset>
                </wp:positionH>
                <wp:positionV relativeFrom="paragraph">
                  <wp:posOffset>-40640</wp:posOffset>
                </wp:positionV>
                <wp:extent cx="5615940" cy="0"/>
                <wp:effectExtent l="0" t="0" r="0" b="0"/>
                <wp:wrapNone/>
                <wp:docPr id="2" name="直接连接符 2"/>
                <wp:cNvGraphicFramePr/>
                <a:graphic xmlns:a="http://schemas.openxmlformats.org/drawingml/2006/main">
                  <a:graphicData uri="http://schemas.microsoft.com/office/word/2010/wordprocessingShape">
                    <wps:wsp>
                      <wps:cNvCnPr/>
                      <wps:spPr>
                        <a:xfrm>
                          <a:off x="0" y="0"/>
                          <a:ext cx="5615940" cy="0"/>
                        </a:xfrm>
                        <a:prstGeom prst="line">
                          <a:avLst/>
                        </a:prstGeom>
                        <a:ln w="12700" cap="flat" cmpd="sng">
                          <a:solidFill>
                            <a:srgbClr val="000000"/>
                          </a:solidFill>
                          <a:prstDash val="solid"/>
                          <a:headEnd type="none" w="med" len="med"/>
                          <a:tailEnd type="none" w="med" len="med"/>
                        </a:ln>
                      </wps:spPr>
                      <wps:bodyPr upright="true"/>
                    </wps:wsp>
                  </a:graphicData>
                </a:graphic>
              </wp:anchor>
            </w:drawing>
          </mc:Choice>
          <mc:Fallback>
            <w:pict>
              <v:line id="_x0000_s1026" o:spid="_x0000_s1026" o:spt="20" style="position:absolute;left:0pt;margin-left:0pt;margin-top:-3.2pt;height:0pt;width:442.2pt;z-index:251666432;mso-width-relative:page;mso-height-relative:page;" filled="f" stroked="t" coordsize="21600,21600" o:gfxdata="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BYAAABkcnMvUEsBAhQAFAAAAAgA&#10;h07iQGYD+ZrVAAAABgEAAA8AAAAAAAAAAQAgAAAAOAAAAGRycy9kb3ducmV2LnhtbFBLAQIUABQA&#10;AAAIAIdO4kDyyG0T3QEAAJoDAAAOAAAAAAAAAAEAIAAAADoBAABkcnMvZTJvRG9jLnhtbFBLBQYA&#10;AAAABgAGAFkBAACJBQAAAAA=&#10;">
                <v:fill on="f" focussize="0,0"/>
                <v:stroke weight="1pt" color="#000000" joinstyle="round"/>
                <v:imagedata o:title=""/>
                <o:lock v:ext="edit" aspectratio="f"/>
                <w10:anchorlock/>
              </v:line>
            </w:pict>
          </mc:Fallback>
        </mc:AlternateContent>
      </w:r>
      <w:r>
        <w:rPr>
          <w:rFonts w:hint="eastAsia" w:hAnsi="宋体"/>
          <w:kern w:val="2"/>
          <w:sz w:val="28"/>
          <w:szCs w:val="28"/>
        </w:rPr>
        <w:t>上海市市场监督管理局办公室</w:t>
      </w:r>
      <w:r>
        <w:rPr>
          <w:rFonts w:hint="eastAsia" w:hAnsi="宋体"/>
          <w:spacing w:val="-2"/>
          <w:kern w:val="2"/>
          <w:sz w:val="28"/>
          <w:szCs w:val="28"/>
        </w:rPr>
        <w:t xml:space="preserve">              </w:t>
      </w:r>
      <w:r>
        <w:rPr>
          <w:rFonts w:hint="eastAsia" w:hAnsi="宋体"/>
          <w:kern w:val="2"/>
          <w:sz w:val="28"/>
          <w:szCs w:val="28"/>
        </w:rPr>
        <w:t>202</w:t>
      </w:r>
      <w:r>
        <w:rPr>
          <w:rFonts w:hint="default" w:hAnsi="宋体"/>
          <w:kern w:val="2"/>
          <w:sz w:val="28"/>
          <w:szCs w:val="28"/>
          <w:lang w:val="en"/>
        </w:rPr>
        <w:t>5</w:t>
      </w:r>
      <w:r>
        <w:rPr>
          <w:rFonts w:hint="eastAsia" w:hAnsi="宋体"/>
          <w:kern w:val="2"/>
          <w:sz w:val="28"/>
          <w:szCs w:val="28"/>
        </w:rPr>
        <w:t>年</w:t>
      </w:r>
      <w:r>
        <w:rPr>
          <w:rFonts w:hint="eastAsia" w:hAnsi="宋体"/>
          <w:kern w:val="2"/>
          <w:sz w:val="28"/>
          <w:szCs w:val="28"/>
          <w:lang w:val="en-US" w:eastAsia="zh-CN"/>
        </w:rPr>
        <w:t>11</w:t>
      </w:r>
      <w:r>
        <w:rPr>
          <w:rFonts w:hint="eastAsia" w:hAnsi="宋体"/>
          <w:kern w:val="2"/>
          <w:sz w:val="28"/>
          <w:szCs w:val="28"/>
        </w:rPr>
        <w:t>月</w:t>
      </w:r>
      <w:r>
        <w:rPr>
          <w:rFonts w:hint="eastAsia" w:hAnsi="宋体"/>
          <w:kern w:val="2"/>
          <w:sz w:val="28"/>
          <w:szCs w:val="28"/>
          <w:lang w:val="en-US" w:eastAsia="zh-CN"/>
        </w:rPr>
        <w:t>13</w:t>
      </w:r>
      <w:r>
        <w:rPr>
          <w:rFonts w:hint="eastAsia" w:hAnsi="宋体"/>
          <w:kern w:val="2"/>
          <w:sz w:val="28"/>
          <w:szCs w:val="28"/>
        </w:rPr>
        <w:t xml:space="preserve">日印发  </w:t>
      </w:r>
    </w:p>
    <w:sectPr>
      <w:footerReference r:id="rId3" w:type="default"/>
      <w:footerReference r:id="rId4" w:type="even"/>
      <w:pgSz w:w="11906" w:h="16838"/>
      <w:pgMar w:top="2098" w:right="1474" w:bottom="1984" w:left="1588" w:header="851" w:footer="1417" w:gutter="0"/>
      <w:pgNumType w:fmt="decimal"/>
      <w:cols w:space="0" w:num="1"/>
      <w:rtlGutter w:val="0"/>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书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keepNext w:val="0"/>
      <w:keepLines w:val="0"/>
      <w:pageBreakBefore w:val="0"/>
      <w:widowControl w:val="0"/>
      <w:kinsoku/>
      <w:wordWrap/>
      <w:overflowPunct w:val="0"/>
      <w:topLinePunct w:val="0"/>
      <w:autoSpaceDE/>
      <w:autoSpaceDN/>
      <w:bidi w:val="0"/>
      <w:snapToGrid w:val="0"/>
      <w:ind w:left="312" w:right="312"/>
      <w:jc w:val="right"/>
      <w:textAlignment w:val="auto"/>
      <w:rPr>
        <w:rFonts w:hint="eastAsia" w:ascii="宋体" w:hAnsi="宋体" w:eastAsia="宋体"/>
        <w:kern w:val="2"/>
        <w:sz w:val="28"/>
        <w:szCs w:val="28"/>
      </w:rPr>
    </w:pPr>
    <w:r>
      <w:rPr>
        <w:rFonts w:hint="eastAsia" w:ascii="宋体" w:hAnsi="宋体" w:eastAsia="宋体"/>
        <w:kern w:val="2"/>
        <w:sz w:val="28"/>
        <w:szCs w:val="28"/>
      </w:rPr>
      <w:t xml:space="preserve">— </w:t>
    </w:r>
    <w:r>
      <w:rPr>
        <w:rFonts w:hint="eastAsia" w:ascii="宋体" w:hAnsi="宋体" w:eastAsia="宋体"/>
        <w:kern w:val="2"/>
        <w:sz w:val="28"/>
        <w:szCs w:val="28"/>
      </w:rPr>
      <w:fldChar w:fldCharType="begin"/>
    </w:r>
    <w:r>
      <w:rPr>
        <w:rFonts w:hint="eastAsia" w:ascii="宋体" w:hAnsi="宋体" w:eastAsia="宋体"/>
        <w:kern w:val="2"/>
        <w:sz w:val="28"/>
        <w:szCs w:val="28"/>
      </w:rPr>
      <w:instrText xml:space="preserve"> PAGE </w:instrText>
    </w:r>
    <w:r>
      <w:rPr>
        <w:rFonts w:hint="eastAsia" w:ascii="宋体" w:hAnsi="宋体" w:eastAsia="宋体"/>
        <w:kern w:val="2"/>
        <w:sz w:val="28"/>
        <w:szCs w:val="28"/>
      </w:rPr>
      <w:fldChar w:fldCharType="separate"/>
    </w:r>
    <w:r>
      <w:rPr>
        <w:rFonts w:hint="eastAsia" w:ascii="宋体" w:hAnsi="宋体" w:eastAsia="宋体"/>
        <w:kern w:val="2"/>
        <w:sz w:val="28"/>
        <w:szCs w:val="28"/>
      </w:rPr>
      <w:t>1</w:t>
    </w:r>
    <w:r>
      <w:rPr>
        <w:rFonts w:hint="eastAsia" w:ascii="宋体" w:hAnsi="宋体" w:eastAsia="宋体"/>
        <w:kern w:val="2"/>
        <w:sz w:val="28"/>
        <w:szCs w:val="28"/>
      </w:rPr>
      <w:fldChar w:fldCharType="end"/>
    </w:r>
    <w:r>
      <w:rPr>
        <w:rFonts w:hint="eastAsia" w:ascii="宋体" w:hAnsi="宋体" w:eastAsia="宋体"/>
        <w:kern w:val="2"/>
        <w:sz w:val="28"/>
        <w:szCs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keepNext w:val="0"/>
      <w:keepLines w:val="0"/>
      <w:pageBreakBefore w:val="0"/>
      <w:widowControl w:val="0"/>
      <w:kinsoku/>
      <w:wordWrap/>
      <w:overflowPunct w:val="0"/>
      <w:topLinePunct w:val="0"/>
      <w:autoSpaceDE/>
      <w:autoSpaceDN/>
      <w:bidi w:val="0"/>
      <w:snapToGrid w:val="0"/>
      <w:ind w:left="312" w:right="312"/>
      <w:jc w:val="both"/>
      <w:textAlignment w:val="auto"/>
      <w:rPr>
        <w:rFonts w:hint="eastAsia" w:ascii="宋体" w:hAnsi="宋体" w:eastAsia="宋体"/>
        <w:kern w:val="2"/>
        <w:sz w:val="28"/>
        <w:szCs w:val="28"/>
      </w:rPr>
    </w:pPr>
    <w:r>
      <w:rPr>
        <w:rFonts w:hint="eastAsia" w:ascii="宋体" w:hAnsi="宋体" w:eastAsia="宋体"/>
        <w:kern w:val="2"/>
        <w:sz w:val="28"/>
        <w:szCs w:val="28"/>
      </w:rPr>
      <w:t xml:space="preserve">— </w:t>
    </w:r>
    <w:r>
      <w:rPr>
        <w:rFonts w:hint="eastAsia" w:ascii="宋体" w:hAnsi="宋体" w:eastAsia="宋体"/>
        <w:kern w:val="2"/>
        <w:sz w:val="28"/>
        <w:szCs w:val="28"/>
      </w:rPr>
      <w:fldChar w:fldCharType="begin"/>
    </w:r>
    <w:r>
      <w:rPr>
        <w:rFonts w:hint="eastAsia" w:ascii="宋体" w:hAnsi="宋体" w:eastAsia="宋体"/>
        <w:kern w:val="2"/>
        <w:sz w:val="28"/>
        <w:szCs w:val="28"/>
      </w:rPr>
      <w:instrText xml:space="preserve"> PAGE </w:instrText>
    </w:r>
    <w:r>
      <w:rPr>
        <w:rFonts w:hint="eastAsia" w:ascii="宋体" w:hAnsi="宋体" w:eastAsia="宋体"/>
        <w:kern w:val="2"/>
        <w:sz w:val="28"/>
        <w:szCs w:val="28"/>
      </w:rPr>
      <w:fldChar w:fldCharType="separate"/>
    </w:r>
    <w:r>
      <w:rPr>
        <w:rFonts w:hint="eastAsia" w:ascii="宋体" w:hAnsi="宋体" w:eastAsia="宋体"/>
        <w:kern w:val="2"/>
        <w:sz w:val="28"/>
        <w:szCs w:val="28"/>
      </w:rPr>
      <w:t>1</w:t>
    </w:r>
    <w:r>
      <w:rPr>
        <w:rFonts w:hint="eastAsia" w:ascii="宋体" w:hAnsi="宋体" w:eastAsia="宋体"/>
        <w:kern w:val="2"/>
        <w:sz w:val="28"/>
        <w:szCs w:val="28"/>
      </w:rPr>
      <w:fldChar w:fldCharType="end"/>
    </w:r>
    <w:r>
      <w:rPr>
        <w:rFonts w:hint="eastAsia" w:ascii="宋体" w:hAnsi="宋体" w:eastAsia="宋体"/>
        <w:kern w:val="2"/>
        <w:sz w:val="28"/>
        <w:szCs w:val="28"/>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true"/>
  <w:bordersDoNotSurroundHeader w:val="true"/>
  <w:bordersDoNotSurroundFooter w:val="tru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true"/>
  <w:drawingGridHorizontalSpacing w:val="158"/>
  <w:drawingGridVerticalSpacing w:val="579"/>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CCC"/>
    <w:rsid w:val="000037DF"/>
    <w:rsid w:val="00003F1C"/>
    <w:rsid w:val="00006B4D"/>
    <w:rsid w:val="00011268"/>
    <w:rsid w:val="00014A0C"/>
    <w:rsid w:val="00030972"/>
    <w:rsid w:val="00031636"/>
    <w:rsid w:val="00031AA6"/>
    <w:rsid w:val="00035F86"/>
    <w:rsid w:val="00052DEB"/>
    <w:rsid w:val="000536AF"/>
    <w:rsid w:val="000569FE"/>
    <w:rsid w:val="00060550"/>
    <w:rsid w:val="00066108"/>
    <w:rsid w:val="0006703C"/>
    <w:rsid w:val="00071995"/>
    <w:rsid w:val="00074AF1"/>
    <w:rsid w:val="00074DD5"/>
    <w:rsid w:val="00074F8E"/>
    <w:rsid w:val="0008375D"/>
    <w:rsid w:val="0008691A"/>
    <w:rsid w:val="00090AA3"/>
    <w:rsid w:val="000A4426"/>
    <w:rsid w:val="000A4A00"/>
    <w:rsid w:val="000B3528"/>
    <w:rsid w:val="000B68BA"/>
    <w:rsid w:val="000C4A57"/>
    <w:rsid w:val="000D2717"/>
    <w:rsid w:val="000F7AC1"/>
    <w:rsid w:val="0011450D"/>
    <w:rsid w:val="00114720"/>
    <w:rsid w:val="0012410A"/>
    <w:rsid w:val="00124E00"/>
    <w:rsid w:val="001375FE"/>
    <w:rsid w:val="0017314E"/>
    <w:rsid w:val="001742A5"/>
    <w:rsid w:val="00180A03"/>
    <w:rsid w:val="00180CC4"/>
    <w:rsid w:val="00185050"/>
    <w:rsid w:val="0019412D"/>
    <w:rsid w:val="001A251B"/>
    <w:rsid w:val="001A4006"/>
    <w:rsid w:val="001B0B38"/>
    <w:rsid w:val="001B53D6"/>
    <w:rsid w:val="001B77F4"/>
    <w:rsid w:val="001C0295"/>
    <w:rsid w:val="001C08CB"/>
    <w:rsid w:val="001C15F2"/>
    <w:rsid w:val="001C167D"/>
    <w:rsid w:val="001C2F9A"/>
    <w:rsid w:val="001C3AF8"/>
    <w:rsid w:val="001C6023"/>
    <w:rsid w:val="001D0738"/>
    <w:rsid w:val="001D2BA5"/>
    <w:rsid w:val="001D7390"/>
    <w:rsid w:val="001D7AD3"/>
    <w:rsid w:val="001E5DD4"/>
    <w:rsid w:val="001F04CF"/>
    <w:rsid w:val="001F307D"/>
    <w:rsid w:val="001F7380"/>
    <w:rsid w:val="00200403"/>
    <w:rsid w:val="002023C2"/>
    <w:rsid w:val="00205891"/>
    <w:rsid w:val="00216CF5"/>
    <w:rsid w:val="00217EE2"/>
    <w:rsid w:val="00220260"/>
    <w:rsid w:val="002205AD"/>
    <w:rsid w:val="00226C64"/>
    <w:rsid w:val="00240971"/>
    <w:rsid w:val="00240BEB"/>
    <w:rsid w:val="00241F8D"/>
    <w:rsid w:val="00246A89"/>
    <w:rsid w:val="002471DF"/>
    <w:rsid w:val="0026241D"/>
    <w:rsid w:val="002634D0"/>
    <w:rsid w:val="0027415A"/>
    <w:rsid w:val="002804AB"/>
    <w:rsid w:val="002A36DA"/>
    <w:rsid w:val="002B11F2"/>
    <w:rsid w:val="002B3FA7"/>
    <w:rsid w:val="002B5940"/>
    <w:rsid w:val="002C549D"/>
    <w:rsid w:val="002C614E"/>
    <w:rsid w:val="002D0240"/>
    <w:rsid w:val="002D14C8"/>
    <w:rsid w:val="002E2DC3"/>
    <w:rsid w:val="002E3497"/>
    <w:rsid w:val="002E555B"/>
    <w:rsid w:val="002E5826"/>
    <w:rsid w:val="002F65FA"/>
    <w:rsid w:val="00302509"/>
    <w:rsid w:val="00306F64"/>
    <w:rsid w:val="00312CE4"/>
    <w:rsid w:val="00312FE4"/>
    <w:rsid w:val="003153F9"/>
    <w:rsid w:val="00320D4E"/>
    <w:rsid w:val="00321A8C"/>
    <w:rsid w:val="00327BA9"/>
    <w:rsid w:val="00331CBD"/>
    <w:rsid w:val="00340580"/>
    <w:rsid w:val="0035565B"/>
    <w:rsid w:val="003642CD"/>
    <w:rsid w:val="0036610F"/>
    <w:rsid w:val="0036613B"/>
    <w:rsid w:val="00370A12"/>
    <w:rsid w:val="0037212F"/>
    <w:rsid w:val="00373283"/>
    <w:rsid w:val="00374D95"/>
    <w:rsid w:val="00374F7B"/>
    <w:rsid w:val="003812CC"/>
    <w:rsid w:val="00384A25"/>
    <w:rsid w:val="0039078F"/>
    <w:rsid w:val="0039079A"/>
    <w:rsid w:val="00392C7D"/>
    <w:rsid w:val="00393772"/>
    <w:rsid w:val="003B1AAD"/>
    <w:rsid w:val="003C1B92"/>
    <w:rsid w:val="003C3957"/>
    <w:rsid w:val="003C3C39"/>
    <w:rsid w:val="003D4D08"/>
    <w:rsid w:val="003D615F"/>
    <w:rsid w:val="003E2CAE"/>
    <w:rsid w:val="003F46AC"/>
    <w:rsid w:val="003F7684"/>
    <w:rsid w:val="00401ED8"/>
    <w:rsid w:val="00405E07"/>
    <w:rsid w:val="00421651"/>
    <w:rsid w:val="00421FDE"/>
    <w:rsid w:val="00435E4D"/>
    <w:rsid w:val="0044207B"/>
    <w:rsid w:val="00464291"/>
    <w:rsid w:val="00464947"/>
    <w:rsid w:val="00467574"/>
    <w:rsid w:val="00481AD5"/>
    <w:rsid w:val="00491998"/>
    <w:rsid w:val="00493C35"/>
    <w:rsid w:val="00497B1E"/>
    <w:rsid w:val="004A5163"/>
    <w:rsid w:val="004B718F"/>
    <w:rsid w:val="004C1358"/>
    <w:rsid w:val="004C17CE"/>
    <w:rsid w:val="004C3012"/>
    <w:rsid w:val="004C5959"/>
    <w:rsid w:val="004C61F9"/>
    <w:rsid w:val="004D04BB"/>
    <w:rsid w:val="004D62EF"/>
    <w:rsid w:val="004D7BFF"/>
    <w:rsid w:val="004F150C"/>
    <w:rsid w:val="005039D6"/>
    <w:rsid w:val="00504F82"/>
    <w:rsid w:val="005122C7"/>
    <w:rsid w:val="00517CCC"/>
    <w:rsid w:val="0053314B"/>
    <w:rsid w:val="0053413C"/>
    <w:rsid w:val="00535E7C"/>
    <w:rsid w:val="00540829"/>
    <w:rsid w:val="00540DA8"/>
    <w:rsid w:val="0054403D"/>
    <w:rsid w:val="00546D43"/>
    <w:rsid w:val="00550A36"/>
    <w:rsid w:val="005531EE"/>
    <w:rsid w:val="005561DC"/>
    <w:rsid w:val="00556FB7"/>
    <w:rsid w:val="005625C4"/>
    <w:rsid w:val="00573D14"/>
    <w:rsid w:val="00574A4D"/>
    <w:rsid w:val="00580CFB"/>
    <w:rsid w:val="00583A3C"/>
    <w:rsid w:val="005A1551"/>
    <w:rsid w:val="005A6525"/>
    <w:rsid w:val="005A660E"/>
    <w:rsid w:val="005B0213"/>
    <w:rsid w:val="005C36B4"/>
    <w:rsid w:val="005C455A"/>
    <w:rsid w:val="005D70DE"/>
    <w:rsid w:val="005E3514"/>
    <w:rsid w:val="005E5AC7"/>
    <w:rsid w:val="005F38A6"/>
    <w:rsid w:val="006005AA"/>
    <w:rsid w:val="00601AF2"/>
    <w:rsid w:val="00604097"/>
    <w:rsid w:val="00605490"/>
    <w:rsid w:val="00606041"/>
    <w:rsid w:val="006069D2"/>
    <w:rsid w:val="006177F2"/>
    <w:rsid w:val="0062639E"/>
    <w:rsid w:val="00634410"/>
    <w:rsid w:val="006352CD"/>
    <w:rsid w:val="006402C4"/>
    <w:rsid w:val="006410AD"/>
    <w:rsid w:val="00642674"/>
    <w:rsid w:val="0064538F"/>
    <w:rsid w:val="006501D6"/>
    <w:rsid w:val="006513F5"/>
    <w:rsid w:val="006564D1"/>
    <w:rsid w:val="00665253"/>
    <w:rsid w:val="00665615"/>
    <w:rsid w:val="00672142"/>
    <w:rsid w:val="0067515A"/>
    <w:rsid w:val="0068129B"/>
    <w:rsid w:val="006946CE"/>
    <w:rsid w:val="006A189A"/>
    <w:rsid w:val="006A1F78"/>
    <w:rsid w:val="006A7D22"/>
    <w:rsid w:val="006B6CA9"/>
    <w:rsid w:val="006C0D95"/>
    <w:rsid w:val="006C38A8"/>
    <w:rsid w:val="006C6AA2"/>
    <w:rsid w:val="006E0965"/>
    <w:rsid w:val="0070181A"/>
    <w:rsid w:val="00703643"/>
    <w:rsid w:val="007073C7"/>
    <w:rsid w:val="0071198C"/>
    <w:rsid w:val="00717251"/>
    <w:rsid w:val="00722DC0"/>
    <w:rsid w:val="007255B0"/>
    <w:rsid w:val="00732A2A"/>
    <w:rsid w:val="00735658"/>
    <w:rsid w:val="007377B2"/>
    <w:rsid w:val="007504F5"/>
    <w:rsid w:val="007536F4"/>
    <w:rsid w:val="0076205E"/>
    <w:rsid w:val="007646CE"/>
    <w:rsid w:val="007701F4"/>
    <w:rsid w:val="00770531"/>
    <w:rsid w:val="00773678"/>
    <w:rsid w:val="00783AD8"/>
    <w:rsid w:val="00785B48"/>
    <w:rsid w:val="00786D89"/>
    <w:rsid w:val="007913E3"/>
    <w:rsid w:val="007925A0"/>
    <w:rsid w:val="007928B1"/>
    <w:rsid w:val="007A089B"/>
    <w:rsid w:val="007A1125"/>
    <w:rsid w:val="007A2DFE"/>
    <w:rsid w:val="007A4090"/>
    <w:rsid w:val="007C0843"/>
    <w:rsid w:val="007C0B4C"/>
    <w:rsid w:val="007C0CCF"/>
    <w:rsid w:val="007D378C"/>
    <w:rsid w:val="007D56E6"/>
    <w:rsid w:val="007E6B08"/>
    <w:rsid w:val="007F456D"/>
    <w:rsid w:val="0080003D"/>
    <w:rsid w:val="00800E0E"/>
    <w:rsid w:val="00800EC1"/>
    <w:rsid w:val="00804D8D"/>
    <w:rsid w:val="008148EA"/>
    <w:rsid w:val="00816177"/>
    <w:rsid w:val="00826996"/>
    <w:rsid w:val="00836BE9"/>
    <w:rsid w:val="00837D15"/>
    <w:rsid w:val="0084607B"/>
    <w:rsid w:val="00847A25"/>
    <w:rsid w:val="008601CF"/>
    <w:rsid w:val="00873442"/>
    <w:rsid w:val="00873F26"/>
    <w:rsid w:val="00874A10"/>
    <w:rsid w:val="00875748"/>
    <w:rsid w:val="008836BA"/>
    <w:rsid w:val="00895D8A"/>
    <w:rsid w:val="008B62DB"/>
    <w:rsid w:val="008C2993"/>
    <w:rsid w:val="008C32A0"/>
    <w:rsid w:val="008C6D89"/>
    <w:rsid w:val="008D0658"/>
    <w:rsid w:val="008D2D96"/>
    <w:rsid w:val="008D59C2"/>
    <w:rsid w:val="008E0796"/>
    <w:rsid w:val="008E0B0D"/>
    <w:rsid w:val="008E247D"/>
    <w:rsid w:val="008E3863"/>
    <w:rsid w:val="008E7696"/>
    <w:rsid w:val="008F36D9"/>
    <w:rsid w:val="008F69C6"/>
    <w:rsid w:val="008F7262"/>
    <w:rsid w:val="0090702F"/>
    <w:rsid w:val="00907D49"/>
    <w:rsid w:val="009113C3"/>
    <w:rsid w:val="00911B98"/>
    <w:rsid w:val="00912591"/>
    <w:rsid w:val="00916FDB"/>
    <w:rsid w:val="00922258"/>
    <w:rsid w:val="00931B5E"/>
    <w:rsid w:val="00944FA1"/>
    <w:rsid w:val="009459E1"/>
    <w:rsid w:val="00945DB8"/>
    <w:rsid w:val="009466EB"/>
    <w:rsid w:val="00952395"/>
    <w:rsid w:val="00954F32"/>
    <w:rsid w:val="00956A7A"/>
    <w:rsid w:val="009577B3"/>
    <w:rsid w:val="009612FC"/>
    <w:rsid w:val="009625E5"/>
    <w:rsid w:val="00964ED7"/>
    <w:rsid w:val="00971B47"/>
    <w:rsid w:val="0097398E"/>
    <w:rsid w:val="0097454E"/>
    <w:rsid w:val="00976F4F"/>
    <w:rsid w:val="00977C01"/>
    <w:rsid w:val="00981E99"/>
    <w:rsid w:val="00982548"/>
    <w:rsid w:val="00984455"/>
    <w:rsid w:val="00985AF9"/>
    <w:rsid w:val="00990C04"/>
    <w:rsid w:val="00994B96"/>
    <w:rsid w:val="009C14DF"/>
    <w:rsid w:val="009C2B67"/>
    <w:rsid w:val="009C4518"/>
    <w:rsid w:val="009C5232"/>
    <w:rsid w:val="009C727F"/>
    <w:rsid w:val="009D127E"/>
    <w:rsid w:val="009D294C"/>
    <w:rsid w:val="009D5651"/>
    <w:rsid w:val="009F3567"/>
    <w:rsid w:val="00A04195"/>
    <w:rsid w:val="00A12AA1"/>
    <w:rsid w:val="00A17CCC"/>
    <w:rsid w:val="00A2011D"/>
    <w:rsid w:val="00A204A6"/>
    <w:rsid w:val="00A23E4E"/>
    <w:rsid w:val="00A30FC2"/>
    <w:rsid w:val="00A31E8D"/>
    <w:rsid w:val="00A34D53"/>
    <w:rsid w:val="00A36DCC"/>
    <w:rsid w:val="00A36ECE"/>
    <w:rsid w:val="00A452CA"/>
    <w:rsid w:val="00A45351"/>
    <w:rsid w:val="00A502CB"/>
    <w:rsid w:val="00A51943"/>
    <w:rsid w:val="00A52BEA"/>
    <w:rsid w:val="00A55B35"/>
    <w:rsid w:val="00A56DE0"/>
    <w:rsid w:val="00A64A05"/>
    <w:rsid w:val="00A655EB"/>
    <w:rsid w:val="00A67E9C"/>
    <w:rsid w:val="00A73EF3"/>
    <w:rsid w:val="00A9006E"/>
    <w:rsid w:val="00A93417"/>
    <w:rsid w:val="00A942EB"/>
    <w:rsid w:val="00A95FEB"/>
    <w:rsid w:val="00AA2E40"/>
    <w:rsid w:val="00AA35EA"/>
    <w:rsid w:val="00AC0B03"/>
    <w:rsid w:val="00AC489A"/>
    <w:rsid w:val="00AC6249"/>
    <w:rsid w:val="00AC7242"/>
    <w:rsid w:val="00AD009D"/>
    <w:rsid w:val="00AD1F33"/>
    <w:rsid w:val="00AD1F58"/>
    <w:rsid w:val="00AE4AAA"/>
    <w:rsid w:val="00AE4E9B"/>
    <w:rsid w:val="00AE6E14"/>
    <w:rsid w:val="00AF538A"/>
    <w:rsid w:val="00B04C28"/>
    <w:rsid w:val="00B07A93"/>
    <w:rsid w:val="00B07D13"/>
    <w:rsid w:val="00B22E67"/>
    <w:rsid w:val="00B24EF4"/>
    <w:rsid w:val="00B3656D"/>
    <w:rsid w:val="00B36EB3"/>
    <w:rsid w:val="00B372C3"/>
    <w:rsid w:val="00B42846"/>
    <w:rsid w:val="00B55D53"/>
    <w:rsid w:val="00B57C45"/>
    <w:rsid w:val="00B63E2E"/>
    <w:rsid w:val="00B701E6"/>
    <w:rsid w:val="00B71277"/>
    <w:rsid w:val="00B73FBA"/>
    <w:rsid w:val="00B74AF8"/>
    <w:rsid w:val="00B77C06"/>
    <w:rsid w:val="00B812C2"/>
    <w:rsid w:val="00B861B5"/>
    <w:rsid w:val="00B87D7E"/>
    <w:rsid w:val="00B91E64"/>
    <w:rsid w:val="00B939AA"/>
    <w:rsid w:val="00B94007"/>
    <w:rsid w:val="00BA05EA"/>
    <w:rsid w:val="00BB1A59"/>
    <w:rsid w:val="00BB27B1"/>
    <w:rsid w:val="00BB57E9"/>
    <w:rsid w:val="00BB6EAC"/>
    <w:rsid w:val="00BC6A66"/>
    <w:rsid w:val="00BD0B48"/>
    <w:rsid w:val="00BD3499"/>
    <w:rsid w:val="00BD4289"/>
    <w:rsid w:val="00BD5BA6"/>
    <w:rsid w:val="00BE2767"/>
    <w:rsid w:val="00BE34CA"/>
    <w:rsid w:val="00BF0393"/>
    <w:rsid w:val="00BF14F7"/>
    <w:rsid w:val="00BF4B01"/>
    <w:rsid w:val="00C0378E"/>
    <w:rsid w:val="00C03A16"/>
    <w:rsid w:val="00C17D03"/>
    <w:rsid w:val="00C20560"/>
    <w:rsid w:val="00C206B1"/>
    <w:rsid w:val="00C2497F"/>
    <w:rsid w:val="00C24D97"/>
    <w:rsid w:val="00C3530A"/>
    <w:rsid w:val="00C368D3"/>
    <w:rsid w:val="00C440B9"/>
    <w:rsid w:val="00C46B09"/>
    <w:rsid w:val="00C50E1F"/>
    <w:rsid w:val="00C5281A"/>
    <w:rsid w:val="00C52E6E"/>
    <w:rsid w:val="00C55CDC"/>
    <w:rsid w:val="00C57291"/>
    <w:rsid w:val="00C60611"/>
    <w:rsid w:val="00C663C0"/>
    <w:rsid w:val="00C66B01"/>
    <w:rsid w:val="00C66D4B"/>
    <w:rsid w:val="00C74EAC"/>
    <w:rsid w:val="00C76556"/>
    <w:rsid w:val="00C83F18"/>
    <w:rsid w:val="00C86010"/>
    <w:rsid w:val="00C8754B"/>
    <w:rsid w:val="00C92B10"/>
    <w:rsid w:val="00C96564"/>
    <w:rsid w:val="00C96C81"/>
    <w:rsid w:val="00C97969"/>
    <w:rsid w:val="00CA1606"/>
    <w:rsid w:val="00CA37EE"/>
    <w:rsid w:val="00CA3F2C"/>
    <w:rsid w:val="00CA7900"/>
    <w:rsid w:val="00CB0DEE"/>
    <w:rsid w:val="00CB3767"/>
    <w:rsid w:val="00CB3A0F"/>
    <w:rsid w:val="00CB7417"/>
    <w:rsid w:val="00CB7733"/>
    <w:rsid w:val="00CC01B9"/>
    <w:rsid w:val="00CC3EAD"/>
    <w:rsid w:val="00CC58E6"/>
    <w:rsid w:val="00CC7CC6"/>
    <w:rsid w:val="00CD1511"/>
    <w:rsid w:val="00CD25FD"/>
    <w:rsid w:val="00CD5CFD"/>
    <w:rsid w:val="00CE033E"/>
    <w:rsid w:val="00CE0ED4"/>
    <w:rsid w:val="00CE39A9"/>
    <w:rsid w:val="00CF1783"/>
    <w:rsid w:val="00D03CF0"/>
    <w:rsid w:val="00D04431"/>
    <w:rsid w:val="00D113A9"/>
    <w:rsid w:val="00D13A3C"/>
    <w:rsid w:val="00D16063"/>
    <w:rsid w:val="00D17838"/>
    <w:rsid w:val="00D27DE3"/>
    <w:rsid w:val="00D31096"/>
    <w:rsid w:val="00D40599"/>
    <w:rsid w:val="00D43305"/>
    <w:rsid w:val="00D45625"/>
    <w:rsid w:val="00D5115D"/>
    <w:rsid w:val="00D51B0C"/>
    <w:rsid w:val="00D538DA"/>
    <w:rsid w:val="00D61249"/>
    <w:rsid w:val="00D6613A"/>
    <w:rsid w:val="00D67EA5"/>
    <w:rsid w:val="00D70579"/>
    <w:rsid w:val="00D842BA"/>
    <w:rsid w:val="00D94590"/>
    <w:rsid w:val="00D95009"/>
    <w:rsid w:val="00DA058C"/>
    <w:rsid w:val="00DB048F"/>
    <w:rsid w:val="00DB09FE"/>
    <w:rsid w:val="00DB2B74"/>
    <w:rsid w:val="00DB3641"/>
    <w:rsid w:val="00DB6714"/>
    <w:rsid w:val="00DB6FAA"/>
    <w:rsid w:val="00DC088E"/>
    <w:rsid w:val="00DC1DB7"/>
    <w:rsid w:val="00DD1B09"/>
    <w:rsid w:val="00DD2009"/>
    <w:rsid w:val="00DE0DE5"/>
    <w:rsid w:val="00DE16E7"/>
    <w:rsid w:val="00DE2187"/>
    <w:rsid w:val="00DE6791"/>
    <w:rsid w:val="00DE7AB8"/>
    <w:rsid w:val="00DF225C"/>
    <w:rsid w:val="00E00251"/>
    <w:rsid w:val="00E0170D"/>
    <w:rsid w:val="00E059CF"/>
    <w:rsid w:val="00E24AF6"/>
    <w:rsid w:val="00E33B28"/>
    <w:rsid w:val="00E3436F"/>
    <w:rsid w:val="00E3519C"/>
    <w:rsid w:val="00E351C5"/>
    <w:rsid w:val="00E4027C"/>
    <w:rsid w:val="00E41054"/>
    <w:rsid w:val="00E51106"/>
    <w:rsid w:val="00E55F9F"/>
    <w:rsid w:val="00E57F1D"/>
    <w:rsid w:val="00E60B88"/>
    <w:rsid w:val="00E62B2F"/>
    <w:rsid w:val="00E67496"/>
    <w:rsid w:val="00E72BC3"/>
    <w:rsid w:val="00E7518F"/>
    <w:rsid w:val="00E759D5"/>
    <w:rsid w:val="00E850FE"/>
    <w:rsid w:val="00E8662D"/>
    <w:rsid w:val="00E86E69"/>
    <w:rsid w:val="00EA097D"/>
    <w:rsid w:val="00EA2B89"/>
    <w:rsid w:val="00EA3842"/>
    <w:rsid w:val="00EA4F98"/>
    <w:rsid w:val="00EB5469"/>
    <w:rsid w:val="00EB66F9"/>
    <w:rsid w:val="00EC0CD2"/>
    <w:rsid w:val="00EC1D07"/>
    <w:rsid w:val="00EC37EE"/>
    <w:rsid w:val="00EC4E41"/>
    <w:rsid w:val="00EC4FB8"/>
    <w:rsid w:val="00ED3218"/>
    <w:rsid w:val="00ED5CF1"/>
    <w:rsid w:val="00EE477A"/>
    <w:rsid w:val="00EE685C"/>
    <w:rsid w:val="00EF185E"/>
    <w:rsid w:val="00EF7AA5"/>
    <w:rsid w:val="00F023EC"/>
    <w:rsid w:val="00F0358D"/>
    <w:rsid w:val="00F037DE"/>
    <w:rsid w:val="00F133D8"/>
    <w:rsid w:val="00F15DB2"/>
    <w:rsid w:val="00F161EC"/>
    <w:rsid w:val="00F23346"/>
    <w:rsid w:val="00F25567"/>
    <w:rsid w:val="00F30485"/>
    <w:rsid w:val="00F30553"/>
    <w:rsid w:val="00F31FB7"/>
    <w:rsid w:val="00F32C99"/>
    <w:rsid w:val="00F56CA7"/>
    <w:rsid w:val="00F6009F"/>
    <w:rsid w:val="00F61535"/>
    <w:rsid w:val="00F63DD2"/>
    <w:rsid w:val="00F66343"/>
    <w:rsid w:val="00F67403"/>
    <w:rsid w:val="00F67F21"/>
    <w:rsid w:val="00F72992"/>
    <w:rsid w:val="00F74F43"/>
    <w:rsid w:val="00F94068"/>
    <w:rsid w:val="00F95411"/>
    <w:rsid w:val="00F95489"/>
    <w:rsid w:val="00F95EC5"/>
    <w:rsid w:val="00FB1DF6"/>
    <w:rsid w:val="00FB2E90"/>
    <w:rsid w:val="00FD3B6F"/>
    <w:rsid w:val="00FF042E"/>
    <w:rsid w:val="00FF2E4D"/>
    <w:rsid w:val="00FF4B61"/>
    <w:rsid w:val="15CF2FB8"/>
    <w:rsid w:val="17A9387D"/>
    <w:rsid w:val="1FBD1ABD"/>
    <w:rsid w:val="37FF5F52"/>
    <w:rsid w:val="39F1CB6C"/>
    <w:rsid w:val="3BFF102D"/>
    <w:rsid w:val="3BFFE0C9"/>
    <w:rsid w:val="3D3EA913"/>
    <w:rsid w:val="3EAFFF79"/>
    <w:rsid w:val="3FE540D1"/>
    <w:rsid w:val="3FF719E8"/>
    <w:rsid w:val="3FFB4D49"/>
    <w:rsid w:val="3FFEABC8"/>
    <w:rsid w:val="4B1FB728"/>
    <w:rsid w:val="4E57899B"/>
    <w:rsid w:val="4F7D2079"/>
    <w:rsid w:val="53DB19E7"/>
    <w:rsid w:val="5BBF5C72"/>
    <w:rsid w:val="5D97A201"/>
    <w:rsid w:val="5DEB3718"/>
    <w:rsid w:val="5EB6D0D7"/>
    <w:rsid w:val="5FCC6AB5"/>
    <w:rsid w:val="5FD60896"/>
    <w:rsid w:val="646F4E2D"/>
    <w:rsid w:val="65DFA958"/>
    <w:rsid w:val="6765892D"/>
    <w:rsid w:val="67E74202"/>
    <w:rsid w:val="6A5D56F9"/>
    <w:rsid w:val="6AFDCB31"/>
    <w:rsid w:val="6BBD93F7"/>
    <w:rsid w:val="6D67FF28"/>
    <w:rsid w:val="6D9F54BF"/>
    <w:rsid w:val="6F7D1ACC"/>
    <w:rsid w:val="6FFC533B"/>
    <w:rsid w:val="71BFE3C1"/>
    <w:rsid w:val="72D38DD7"/>
    <w:rsid w:val="76FF3B58"/>
    <w:rsid w:val="77AD5049"/>
    <w:rsid w:val="787F2433"/>
    <w:rsid w:val="78EF9482"/>
    <w:rsid w:val="7BA2F5E6"/>
    <w:rsid w:val="7BBFDBC5"/>
    <w:rsid w:val="7C476D60"/>
    <w:rsid w:val="7D9B6286"/>
    <w:rsid w:val="7DEF044A"/>
    <w:rsid w:val="7DEF3320"/>
    <w:rsid w:val="7E9BFFA4"/>
    <w:rsid w:val="7EBDD9E3"/>
    <w:rsid w:val="7EFE16EE"/>
    <w:rsid w:val="7F7BF3CD"/>
    <w:rsid w:val="7FB30EB2"/>
    <w:rsid w:val="7FDE2112"/>
    <w:rsid w:val="7FDEE4D4"/>
    <w:rsid w:val="7FDFDA70"/>
    <w:rsid w:val="7FFBE7B1"/>
    <w:rsid w:val="7FFF2712"/>
    <w:rsid w:val="7FFFA4AD"/>
    <w:rsid w:val="7FFFB8B0"/>
    <w:rsid w:val="875FFC98"/>
    <w:rsid w:val="997DCF67"/>
    <w:rsid w:val="9BDFF063"/>
    <w:rsid w:val="9D66C161"/>
    <w:rsid w:val="9FAEE8FE"/>
    <w:rsid w:val="B5D387E0"/>
    <w:rsid w:val="B5DFA001"/>
    <w:rsid w:val="B5FFC0C3"/>
    <w:rsid w:val="B6B3E5A5"/>
    <w:rsid w:val="BA7B23C6"/>
    <w:rsid w:val="BBF6A2E2"/>
    <w:rsid w:val="BBF9E8AA"/>
    <w:rsid w:val="BDFCA29F"/>
    <w:rsid w:val="BFBF6A3D"/>
    <w:rsid w:val="D297745E"/>
    <w:rsid w:val="DBEFB329"/>
    <w:rsid w:val="DD1F17F3"/>
    <w:rsid w:val="DD756661"/>
    <w:rsid w:val="DEF76B1F"/>
    <w:rsid w:val="DEFD3E8C"/>
    <w:rsid w:val="DF7DAD88"/>
    <w:rsid w:val="DFB34BC5"/>
    <w:rsid w:val="DFEAABD1"/>
    <w:rsid w:val="DFEE9549"/>
    <w:rsid w:val="E03E45B6"/>
    <w:rsid w:val="E1BD8497"/>
    <w:rsid w:val="E4EFE23F"/>
    <w:rsid w:val="EB9F511A"/>
    <w:rsid w:val="EC5731E5"/>
    <w:rsid w:val="EE78DDB7"/>
    <w:rsid w:val="EEB7C24D"/>
    <w:rsid w:val="EFB51DE0"/>
    <w:rsid w:val="F2BBB09D"/>
    <w:rsid w:val="F2F378AD"/>
    <w:rsid w:val="F377CFAE"/>
    <w:rsid w:val="F39E9BDC"/>
    <w:rsid w:val="F51791B0"/>
    <w:rsid w:val="F5EF6C49"/>
    <w:rsid w:val="F7AF18A9"/>
    <w:rsid w:val="F96EC050"/>
    <w:rsid w:val="FCDFB169"/>
    <w:rsid w:val="FD3F96A0"/>
    <w:rsid w:val="FD57BCA8"/>
    <w:rsid w:val="FDBF092C"/>
    <w:rsid w:val="FDEF80D9"/>
    <w:rsid w:val="FEAB45BD"/>
    <w:rsid w:val="FF65E01D"/>
    <w:rsid w:val="FFCF8906"/>
    <w:rsid w:val="FFDF5E30"/>
    <w:rsid w:val="FFFF1533"/>
    <w:rsid w:val="FFFF8B7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qFormat="1" w:uiPriority="0" w:semiHidden="0" w:name="heading 2"/>
    <w:lsdException w:qFormat="1" w:uiPriority="0" w:semiHidden="0" w:name="heading 3"/>
    <w:lsdException w:unhideWhenUsed="0" w:uiPriority="0" w:semiHidden="0" w:name="heading 4"/>
    <w:lsdException w:unhideWhenUsed="0" w:uiPriority="0" w:semiHidden="0" w:name="heading 5"/>
    <w:lsdException w:unhideWhenUsed="0" w:uiPriority="0" w:semiHidden="0" w:name="heading 6"/>
    <w:lsdException w:unhideWhenUsed="0" w:uiPriority="0" w:semiHidden="0" w:name="heading 7"/>
    <w:lsdException w:unhideWhenUsed="0" w:uiPriority="0" w:semiHidden="0" w:name="heading 8"/>
    <w:lsdException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overflowPunct w:val="0"/>
      <w:jc w:val="both"/>
    </w:pPr>
    <w:rPr>
      <w:rFonts w:ascii="仿宋_GB2312" w:hAnsi="仿宋_GB2312" w:eastAsia="仿宋_GB2312" w:cs="Times New Roman"/>
      <w:kern w:val="2"/>
      <w:sz w:val="32"/>
      <w:szCs w:val="24"/>
      <w:lang w:val="en-US" w:eastAsia="zh-CN" w:bidi="ar-SA"/>
    </w:rPr>
  </w:style>
  <w:style w:type="paragraph" w:styleId="2">
    <w:name w:val="heading 2"/>
    <w:basedOn w:val="1"/>
    <w:next w:val="1"/>
    <w:unhideWhenUsed/>
    <w:qFormat/>
    <w:uiPriority w:val="0"/>
    <w:pPr>
      <w:keepNext/>
      <w:keepLines/>
      <w:spacing w:before="140" w:after="140" w:line="413" w:lineRule="auto"/>
      <w:jc w:val="center"/>
      <w:outlineLvl w:val="1"/>
    </w:pPr>
    <w:rPr>
      <w:rFonts w:ascii="Arial" w:hAnsi="Arial" w:eastAsia="黑体"/>
      <w:b/>
    </w:rPr>
  </w:style>
  <w:style w:type="paragraph" w:styleId="3">
    <w:name w:val="heading 3"/>
    <w:basedOn w:val="1"/>
    <w:next w:val="1"/>
    <w:unhideWhenUsed/>
    <w:qFormat/>
    <w:uiPriority w:val="0"/>
    <w:pPr>
      <w:keepNext/>
      <w:keepLines/>
      <w:spacing w:before="20" w:after="20" w:line="360" w:lineRule="auto"/>
      <w:ind w:firstLine="872" w:firstLineChars="200"/>
      <w:outlineLvl w:val="2"/>
    </w:pPr>
    <w:rPr>
      <w:rFonts w:ascii="Times New Roman" w:hAnsi="Times New Roman" w:eastAsia="黑体"/>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Balloon Text"/>
    <w:basedOn w:val="1"/>
    <w:semiHidden/>
    <w:qFormat/>
    <w:uiPriority w:val="0"/>
    <w:rPr>
      <w:sz w:val="18"/>
      <w:szCs w:val="18"/>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9">
    <w:name w:val="page number"/>
    <w:basedOn w:val="8"/>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7</Words>
  <Characters>7</Characters>
  <Lines>24</Lines>
  <Paragraphs>6</Paragraphs>
  <TotalTime>1</TotalTime>
  <ScaleCrop>false</ScaleCrop>
  <LinksUpToDate>false</LinksUpToDate>
  <CharactersWithSpaces>7</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2018-07-12T07:20:00Z</dcterms:created>
  <dc:creator>scjuser</dc:creator>
  <cp:lastModifiedBy>scjuser</cp:lastModifiedBy>
  <cp:lastPrinted>2025-10-16T11:09:00Z</cp:lastPrinted>
  <dcterms:modified xsi:type="dcterms:W3CDTF">2025-11-14T14:37:52Z</dcterms:modified>
  <dc:title>上海市市场监督管理局关于印发《上海市药品、医疗器械、保健食品、特殊医学用途配方食品广告活动合规指引》的通知</dc:title>
  <cp:revision>479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6BE9B4F20D4051EC696C0869B882AC09</vt:lpwstr>
  </property>
</Properties>
</file>