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ascii="Times New Roman" w:hAnsi="Times New Roman" w:eastAsia="黑体"/>
          <w:sz w:val="32"/>
          <w:szCs w:val="32"/>
        </w:rPr>
      </w:pPr>
      <w:r>
        <w:rPr>
          <w:rFonts w:hint="eastAsia" w:ascii="Times New Roman" w:hAnsi="Times New Roman" w:eastAsia="黑体"/>
          <w:sz w:val="32"/>
          <w:szCs w:val="32"/>
        </w:rPr>
        <w:t>附件</w:t>
      </w:r>
      <w:r>
        <w:rPr>
          <w:rFonts w:ascii="Times New Roman" w:hAnsi="Times New Roman" w:eastAsia="黑体"/>
          <w:sz w:val="32"/>
          <w:szCs w:val="32"/>
        </w:rPr>
        <w:t>1</w:t>
      </w:r>
    </w:p>
    <w:p>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shd w:val="clear" w:color="auto" w:fill="FFFFFF"/>
        </w:rPr>
        <w:t>甘肃省农业农村领域“首违不罚”事项清单（</w:t>
      </w:r>
      <w:r>
        <w:rPr>
          <w:rFonts w:ascii="方正小标宋简体" w:hAnsi="方正小标宋简体" w:eastAsia="方正小标宋简体" w:cs="方正小标宋简体"/>
          <w:sz w:val="44"/>
          <w:szCs w:val="44"/>
          <w:shd w:val="clear" w:color="auto" w:fill="FFFFFF"/>
        </w:rPr>
        <w:t>2025</w:t>
      </w:r>
      <w:r>
        <w:rPr>
          <w:rFonts w:hint="eastAsia" w:ascii="方正小标宋简体" w:hAnsi="方正小标宋简体" w:eastAsia="方正小标宋简体" w:cs="方正小标宋简体"/>
          <w:sz w:val="44"/>
          <w:szCs w:val="44"/>
          <w:shd w:val="clear" w:color="auto" w:fill="FFFFFF"/>
        </w:rPr>
        <w:t>年版）</w:t>
      </w:r>
    </w:p>
    <w:tbl>
      <w:tblPr>
        <w:tblStyle w:val="6"/>
        <w:tblW w:w="15387" w:type="dxa"/>
        <w:jc w:val="center"/>
        <w:tblInd w:w="0" w:type="dxa"/>
        <w:tblLayout w:type="fixed"/>
        <w:tblCellMar>
          <w:top w:w="0" w:type="dxa"/>
          <w:left w:w="108" w:type="dxa"/>
          <w:bottom w:w="0" w:type="dxa"/>
          <w:right w:w="108" w:type="dxa"/>
        </w:tblCellMar>
      </w:tblPr>
      <w:tblGrid>
        <w:gridCol w:w="886"/>
        <w:gridCol w:w="2340"/>
        <w:gridCol w:w="5354"/>
        <w:gridCol w:w="4917"/>
        <w:gridCol w:w="1890"/>
      </w:tblGrid>
      <w:tr>
        <w:tblPrEx>
          <w:tblLayout w:type="fixed"/>
          <w:tblCellMar>
            <w:top w:w="0" w:type="dxa"/>
            <w:left w:w="108" w:type="dxa"/>
            <w:bottom w:w="0" w:type="dxa"/>
            <w:right w:w="108" w:type="dxa"/>
          </w:tblCellMar>
        </w:tblPrEx>
        <w:trPr>
          <w:trHeight w:val="753" w:hRule="atLeast"/>
          <w:tblHeader/>
          <w:jc w:val="center"/>
        </w:trPr>
        <w:tc>
          <w:tcPr>
            <w:tcW w:w="886"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Times New Roman" w:hAnsi="Times New Roman" w:eastAsia="黑体"/>
                <w:sz w:val="24"/>
              </w:rPr>
            </w:pPr>
            <w:r>
              <w:rPr>
                <w:rFonts w:hint="eastAsia" w:ascii="Times New Roman" w:hAnsi="Times New Roman" w:eastAsia="黑体"/>
                <w:kern w:val="0"/>
                <w:sz w:val="24"/>
              </w:rPr>
              <w:t>序号</w:t>
            </w:r>
          </w:p>
        </w:tc>
        <w:tc>
          <w:tcPr>
            <w:tcW w:w="234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Times New Roman" w:hAnsi="Times New Roman" w:eastAsia="黑体"/>
                <w:sz w:val="24"/>
              </w:rPr>
            </w:pPr>
            <w:r>
              <w:rPr>
                <w:rFonts w:hint="eastAsia" w:ascii="Times New Roman" w:hAnsi="Times New Roman" w:eastAsia="黑体"/>
                <w:kern w:val="0"/>
                <w:sz w:val="24"/>
              </w:rPr>
              <w:t>违法行为</w:t>
            </w:r>
          </w:p>
        </w:tc>
        <w:tc>
          <w:tcPr>
            <w:tcW w:w="5354"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Times New Roman" w:hAnsi="Times New Roman" w:eastAsia="黑体"/>
                <w:sz w:val="24"/>
              </w:rPr>
            </w:pPr>
            <w:r>
              <w:rPr>
                <w:rFonts w:hint="eastAsia" w:ascii="Times New Roman" w:hAnsi="Times New Roman" w:eastAsia="黑体"/>
                <w:kern w:val="0"/>
                <w:sz w:val="24"/>
              </w:rPr>
              <w:t>法律法规依据</w:t>
            </w:r>
          </w:p>
        </w:tc>
        <w:tc>
          <w:tcPr>
            <w:tcW w:w="4917"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Times New Roman" w:hAnsi="Times New Roman" w:eastAsia="黑体"/>
                <w:sz w:val="24"/>
              </w:rPr>
            </w:pPr>
            <w:r>
              <w:rPr>
                <w:rFonts w:hint="eastAsia" w:ascii="Times New Roman" w:hAnsi="Times New Roman" w:eastAsia="黑体"/>
                <w:kern w:val="0"/>
                <w:sz w:val="24"/>
              </w:rPr>
              <w:t>处罚依据</w:t>
            </w:r>
          </w:p>
        </w:tc>
        <w:tc>
          <w:tcPr>
            <w:tcW w:w="189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Times New Roman" w:hAnsi="Times New Roman" w:eastAsia="黑体"/>
                <w:kern w:val="0"/>
                <w:sz w:val="24"/>
              </w:rPr>
            </w:pPr>
            <w:r>
              <w:rPr>
                <w:rFonts w:hint="eastAsia" w:ascii="Times New Roman" w:hAnsi="Times New Roman" w:eastAsia="黑体"/>
                <w:kern w:val="0"/>
                <w:sz w:val="24"/>
              </w:rPr>
              <w:t>初次违法不予</w:t>
            </w:r>
          </w:p>
          <w:p>
            <w:pPr>
              <w:widowControl/>
              <w:spacing w:line="300" w:lineRule="exact"/>
              <w:jc w:val="center"/>
              <w:textAlignment w:val="center"/>
              <w:rPr>
                <w:rFonts w:ascii="Times New Roman" w:hAnsi="Times New Roman" w:eastAsia="黑体"/>
                <w:sz w:val="24"/>
              </w:rPr>
            </w:pPr>
            <w:r>
              <w:rPr>
                <w:rFonts w:hint="eastAsia" w:ascii="Times New Roman" w:hAnsi="Times New Roman" w:eastAsia="黑体"/>
                <w:kern w:val="0"/>
                <w:sz w:val="24"/>
              </w:rPr>
              <w:t>处罚适用条件</w:t>
            </w:r>
          </w:p>
        </w:tc>
      </w:tr>
      <w:tr>
        <w:tblPrEx>
          <w:tblLayout w:type="fixed"/>
          <w:tblCellMar>
            <w:top w:w="0" w:type="dxa"/>
            <w:left w:w="108" w:type="dxa"/>
            <w:bottom w:w="0" w:type="dxa"/>
            <w:right w:w="108" w:type="dxa"/>
          </w:tblCellMar>
        </w:tblPrEx>
        <w:trPr>
          <w:trHeight w:val="1896" w:hRule="atLeast"/>
          <w:jc w:val="center"/>
        </w:trPr>
        <w:tc>
          <w:tcPr>
            <w:tcW w:w="886"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Times New Roman" w:hAnsi="Times New Roman" w:eastAsia="仿宋_GB2312"/>
                <w:szCs w:val="21"/>
              </w:rPr>
            </w:pPr>
            <w:r>
              <w:rPr>
                <w:rFonts w:ascii="Times New Roman" w:hAnsi="Times New Roman"/>
                <w:szCs w:val="21"/>
              </w:rPr>
              <w:t>1</w:t>
            </w:r>
          </w:p>
        </w:tc>
        <w:tc>
          <w:tcPr>
            <w:tcW w:w="234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Times New Roman" w:hAnsi="Times New Roman" w:eastAsia="仿宋_GB2312"/>
                <w:sz w:val="20"/>
                <w:szCs w:val="20"/>
              </w:rPr>
            </w:pPr>
            <w:r>
              <w:rPr>
                <w:rFonts w:hint="eastAsia" w:ascii="Times New Roman" w:hAnsi="Times New Roman" w:eastAsia="仿宋_GB2312"/>
                <w:kern w:val="0"/>
                <w:sz w:val="20"/>
                <w:szCs w:val="20"/>
              </w:rPr>
              <w:t>未按规定建立、保存种子生产经营档案的行政处罚</w:t>
            </w:r>
          </w:p>
        </w:tc>
        <w:tc>
          <w:tcPr>
            <w:tcW w:w="535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ind w:firstLine="400" w:firstLineChars="200"/>
              <w:jc w:val="left"/>
              <w:textAlignment w:val="center"/>
              <w:rPr>
                <w:rFonts w:ascii="Times New Roman" w:hAnsi="Times New Roman" w:eastAsia="仿宋_GB2312"/>
                <w:sz w:val="20"/>
                <w:szCs w:val="20"/>
              </w:rPr>
            </w:pPr>
            <w:r>
              <w:rPr>
                <w:rFonts w:hint="eastAsia" w:ascii="Times New Roman" w:hAnsi="Times New Roman" w:eastAsia="仿宋_GB2312"/>
                <w:kern w:val="0"/>
                <w:sz w:val="20"/>
                <w:szCs w:val="20"/>
              </w:rPr>
              <w:t>《中华人民共和国种子法》第三十六条</w:t>
            </w:r>
            <w:r>
              <w:rPr>
                <w:rFonts w:ascii="Times New Roman" w:hAnsi="Times New Roman" w:eastAsia="仿宋_GB2312"/>
                <w:kern w:val="0"/>
                <w:sz w:val="20"/>
                <w:szCs w:val="20"/>
              </w:rPr>
              <w:t xml:space="preserve"> </w:t>
            </w:r>
            <w:r>
              <w:rPr>
                <w:rFonts w:hint="eastAsia" w:ascii="Times New Roman" w:hAnsi="Times New Roman" w:eastAsia="仿宋_GB2312"/>
                <w:kern w:val="0"/>
                <w:sz w:val="20"/>
                <w:szCs w:val="20"/>
              </w:rPr>
              <w:t>种子生产经营者应当建立和保存包括种子来源、产地、数量、质量、销售去向、销售日期和有关责任人员等内容的生产经营档案，保证可追溯。种子生产经营档案的具体载明事项，种子生产经营档案及种子样品的保存期限由国务院农业农村、林业草原主管部门规定。</w:t>
            </w:r>
          </w:p>
        </w:tc>
        <w:tc>
          <w:tcPr>
            <w:tcW w:w="491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ind w:firstLine="400" w:firstLineChars="200"/>
              <w:jc w:val="left"/>
              <w:textAlignment w:val="center"/>
              <w:rPr>
                <w:rFonts w:ascii="Times New Roman" w:hAnsi="Times New Roman" w:eastAsia="仿宋_GB2312"/>
                <w:sz w:val="20"/>
                <w:szCs w:val="20"/>
              </w:rPr>
            </w:pPr>
            <w:r>
              <w:rPr>
                <w:rFonts w:hint="eastAsia" w:ascii="Times New Roman" w:hAnsi="Times New Roman" w:eastAsia="仿宋_GB2312"/>
                <w:kern w:val="0"/>
                <w:sz w:val="20"/>
                <w:szCs w:val="20"/>
              </w:rPr>
              <w:t>《中华人民共和国种子法》第七十九条第四项</w:t>
            </w:r>
            <w:r>
              <w:rPr>
                <w:rFonts w:ascii="Times New Roman" w:hAnsi="Times New Roman" w:eastAsia="仿宋_GB2312"/>
                <w:kern w:val="0"/>
                <w:sz w:val="20"/>
                <w:szCs w:val="20"/>
              </w:rPr>
              <w:t xml:space="preserve"> </w:t>
            </w:r>
            <w:r>
              <w:rPr>
                <w:rFonts w:hint="eastAsia" w:ascii="Times New Roman" w:hAnsi="Times New Roman" w:eastAsia="仿宋_GB2312"/>
                <w:kern w:val="0"/>
                <w:sz w:val="20"/>
                <w:szCs w:val="20"/>
              </w:rPr>
              <w:t>违反本法第三十六条、第三十八条、第三十九条、第四十条规定，有下列行为之一的，由县级以上人民政府农业农村、林业草原主管部门责令改正，处二千元以上二万元以下罚款：（四）未按规定建立、保存种子生产经营档案的。</w:t>
            </w:r>
          </w:p>
        </w:tc>
        <w:tc>
          <w:tcPr>
            <w:tcW w:w="189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1.</w:t>
            </w:r>
            <w:r>
              <w:rPr>
                <w:rFonts w:hint="eastAsia" w:ascii="Times New Roman" w:hAnsi="Times New Roman" w:eastAsia="仿宋_GB2312"/>
                <w:kern w:val="0"/>
                <w:szCs w:val="21"/>
              </w:rPr>
              <w:t>初次违法</w:t>
            </w:r>
            <w:r>
              <w:rPr>
                <w:rFonts w:hint="eastAsia" w:ascii="Times New Roman" w:hAnsi="Times New Roman" w:eastAsia="仿宋_GB2312"/>
                <w:kern w:val="0"/>
                <w:szCs w:val="21"/>
                <w:lang w:eastAsia="zh-CN"/>
              </w:rPr>
              <w:t>；</w:t>
            </w:r>
          </w:p>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2.</w:t>
            </w:r>
            <w:r>
              <w:rPr>
                <w:rFonts w:hint="eastAsia" w:ascii="Times New Roman" w:hAnsi="Times New Roman" w:eastAsia="仿宋_GB2312"/>
                <w:kern w:val="0"/>
                <w:szCs w:val="21"/>
              </w:rPr>
              <w:t>无危害后果或造成危害后果轻微</w:t>
            </w:r>
            <w:r>
              <w:rPr>
                <w:rFonts w:hint="eastAsia" w:ascii="Times New Roman" w:hAnsi="Times New Roman" w:eastAsia="仿宋_GB2312"/>
                <w:kern w:val="0"/>
                <w:szCs w:val="21"/>
                <w:lang w:eastAsia="zh-CN"/>
              </w:rPr>
              <w:t>；</w:t>
            </w:r>
          </w:p>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3.</w:t>
            </w:r>
            <w:r>
              <w:rPr>
                <w:rFonts w:hint="eastAsia" w:ascii="Times New Roman" w:hAnsi="Times New Roman" w:eastAsia="仿宋_GB2312"/>
                <w:kern w:val="0"/>
                <w:szCs w:val="21"/>
              </w:rPr>
              <w:t>及时改正</w:t>
            </w:r>
            <w:r>
              <w:rPr>
                <w:rFonts w:hint="eastAsia" w:ascii="Times New Roman" w:hAnsi="Times New Roman" w:eastAsia="仿宋_GB2312"/>
                <w:kern w:val="0"/>
                <w:szCs w:val="21"/>
                <w:lang w:eastAsia="zh-CN"/>
              </w:rPr>
              <w:t>。</w:t>
            </w:r>
          </w:p>
        </w:tc>
      </w:tr>
      <w:tr>
        <w:tblPrEx>
          <w:tblLayout w:type="fixed"/>
          <w:tblCellMar>
            <w:top w:w="0" w:type="dxa"/>
            <w:left w:w="108" w:type="dxa"/>
            <w:bottom w:w="0" w:type="dxa"/>
            <w:right w:w="108" w:type="dxa"/>
          </w:tblCellMar>
        </w:tblPrEx>
        <w:trPr>
          <w:trHeight w:val="1997" w:hRule="atLeast"/>
          <w:jc w:val="center"/>
        </w:trPr>
        <w:tc>
          <w:tcPr>
            <w:tcW w:w="886"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Times New Roman" w:hAnsi="Times New Roman" w:eastAsia="仿宋_GB2312"/>
                <w:szCs w:val="21"/>
              </w:rPr>
            </w:pPr>
            <w:r>
              <w:rPr>
                <w:rFonts w:ascii="Times New Roman" w:hAnsi="Times New Roman"/>
                <w:szCs w:val="21"/>
              </w:rPr>
              <w:t>2</w:t>
            </w:r>
          </w:p>
        </w:tc>
        <w:tc>
          <w:tcPr>
            <w:tcW w:w="234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Times New Roman" w:hAnsi="Times New Roman" w:eastAsia="仿宋_GB2312"/>
                <w:sz w:val="20"/>
                <w:szCs w:val="20"/>
              </w:rPr>
            </w:pPr>
            <w:r>
              <w:rPr>
                <w:rFonts w:hint="eastAsia" w:ascii="Times New Roman" w:hAnsi="Times New Roman" w:eastAsia="仿宋_GB2312"/>
                <w:kern w:val="0"/>
                <w:sz w:val="20"/>
                <w:szCs w:val="20"/>
              </w:rPr>
              <w:t>种子生产经营者在异地设立分支机构未按规定备案的行政处罚</w:t>
            </w:r>
          </w:p>
        </w:tc>
        <w:tc>
          <w:tcPr>
            <w:tcW w:w="535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ind w:firstLine="400" w:firstLineChars="200"/>
              <w:jc w:val="left"/>
              <w:textAlignment w:val="center"/>
              <w:rPr>
                <w:rFonts w:ascii="Times New Roman" w:hAnsi="Times New Roman" w:eastAsia="仿宋_GB2312"/>
                <w:sz w:val="20"/>
                <w:szCs w:val="20"/>
              </w:rPr>
            </w:pPr>
            <w:r>
              <w:rPr>
                <w:rFonts w:hint="eastAsia" w:ascii="Times New Roman" w:hAnsi="Times New Roman" w:eastAsia="仿宋_GB2312"/>
                <w:kern w:val="0"/>
                <w:sz w:val="20"/>
                <w:szCs w:val="20"/>
              </w:rPr>
              <w:t>《中华人民共和国种子法》第三十八条第一款</w:t>
            </w:r>
            <w:r>
              <w:rPr>
                <w:rFonts w:ascii="Times New Roman" w:hAnsi="Times New Roman" w:eastAsia="仿宋_GB2312"/>
                <w:kern w:val="0"/>
                <w:sz w:val="20"/>
                <w:szCs w:val="20"/>
              </w:rPr>
              <w:t xml:space="preserve"> </w:t>
            </w:r>
            <w:r>
              <w:rPr>
                <w:rFonts w:hint="eastAsia" w:ascii="Times New Roman" w:hAnsi="Times New Roman" w:eastAsia="仿宋_GB2312"/>
                <w:kern w:val="0"/>
                <w:sz w:val="20"/>
                <w:szCs w:val="20"/>
              </w:rPr>
              <w:t>种子生产经营许可证的有效区域由发证机关在其管辖范围内确定。种子生产经营者在种子生产经营许可证载明的有效区域设立分支机构的，专门经营不再分装的包装种子的，或者受具有种子生产经营许可证的种子生产经营者以书面委托生产、代销其种子的，不需要办理种子生产经营许可证，但应当向当地农业农村、林业草原主管部门备案。</w:t>
            </w:r>
          </w:p>
        </w:tc>
        <w:tc>
          <w:tcPr>
            <w:tcW w:w="491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ind w:firstLine="400" w:firstLineChars="200"/>
              <w:jc w:val="left"/>
              <w:textAlignment w:val="center"/>
              <w:rPr>
                <w:rFonts w:ascii="Times New Roman" w:hAnsi="Times New Roman" w:eastAsia="仿宋_GB2312"/>
                <w:sz w:val="20"/>
                <w:szCs w:val="20"/>
              </w:rPr>
            </w:pPr>
            <w:r>
              <w:rPr>
                <w:rFonts w:hint="eastAsia" w:ascii="Times New Roman" w:hAnsi="Times New Roman" w:eastAsia="仿宋_GB2312"/>
                <w:kern w:val="0"/>
                <w:sz w:val="20"/>
                <w:szCs w:val="20"/>
              </w:rPr>
              <w:t>《中华人民共和国种子法》第七十九条第五项</w:t>
            </w:r>
            <w:r>
              <w:rPr>
                <w:rFonts w:ascii="Times New Roman" w:hAnsi="Times New Roman" w:eastAsia="仿宋_GB2312"/>
                <w:kern w:val="0"/>
                <w:sz w:val="20"/>
                <w:szCs w:val="20"/>
              </w:rPr>
              <w:t xml:space="preserve"> </w:t>
            </w:r>
            <w:r>
              <w:rPr>
                <w:rFonts w:hint="eastAsia" w:ascii="Times New Roman" w:hAnsi="Times New Roman" w:eastAsia="仿宋_GB2312"/>
                <w:kern w:val="0"/>
                <w:sz w:val="20"/>
                <w:szCs w:val="20"/>
              </w:rPr>
              <w:t>违反本法第三十六条、第三十八条、第三十九条、第四十条规定，有下列行为之一的，由县级以上人民政府农业农村、林业草原主管部门责令改正，处二千元以上二万元以下罚款：（五）种子生产经营者在异地设立分支机构、专门经营不再分装的包装种子或者受委托生产、代销种子，未按规定备案的。</w:t>
            </w:r>
          </w:p>
        </w:tc>
        <w:tc>
          <w:tcPr>
            <w:tcW w:w="189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1.</w:t>
            </w:r>
            <w:r>
              <w:rPr>
                <w:rFonts w:hint="eastAsia" w:ascii="Times New Roman" w:hAnsi="Times New Roman" w:eastAsia="仿宋_GB2312"/>
                <w:kern w:val="0"/>
                <w:szCs w:val="21"/>
              </w:rPr>
              <w:t>初次违法</w:t>
            </w:r>
            <w:r>
              <w:rPr>
                <w:rFonts w:hint="eastAsia" w:ascii="Times New Roman" w:hAnsi="Times New Roman" w:eastAsia="仿宋_GB2312"/>
                <w:kern w:val="0"/>
                <w:szCs w:val="21"/>
                <w:lang w:eastAsia="zh-CN"/>
              </w:rPr>
              <w:t>；</w:t>
            </w:r>
          </w:p>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2.</w:t>
            </w:r>
            <w:r>
              <w:rPr>
                <w:rFonts w:hint="eastAsia" w:ascii="Times New Roman" w:hAnsi="Times New Roman" w:eastAsia="仿宋_GB2312"/>
                <w:kern w:val="0"/>
                <w:szCs w:val="21"/>
              </w:rPr>
              <w:t>无危害后果或造成危害后果轻微</w:t>
            </w:r>
            <w:r>
              <w:rPr>
                <w:rFonts w:hint="eastAsia" w:ascii="Times New Roman" w:hAnsi="Times New Roman" w:eastAsia="仿宋_GB2312"/>
                <w:kern w:val="0"/>
                <w:szCs w:val="21"/>
                <w:lang w:eastAsia="zh-CN"/>
              </w:rPr>
              <w:t>；</w:t>
            </w:r>
          </w:p>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3.</w:t>
            </w:r>
            <w:r>
              <w:rPr>
                <w:rFonts w:hint="eastAsia" w:ascii="Times New Roman" w:hAnsi="Times New Roman" w:eastAsia="仿宋_GB2312"/>
                <w:kern w:val="0"/>
                <w:szCs w:val="21"/>
              </w:rPr>
              <w:t>及时改正</w:t>
            </w:r>
            <w:r>
              <w:rPr>
                <w:rFonts w:hint="eastAsia" w:ascii="Times New Roman" w:hAnsi="Times New Roman" w:eastAsia="仿宋_GB2312"/>
                <w:kern w:val="0"/>
                <w:szCs w:val="21"/>
                <w:lang w:eastAsia="zh-CN"/>
              </w:rPr>
              <w:t>。</w:t>
            </w:r>
          </w:p>
        </w:tc>
      </w:tr>
      <w:tr>
        <w:tblPrEx>
          <w:tblLayout w:type="fixed"/>
          <w:tblCellMar>
            <w:top w:w="0" w:type="dxa"/>
            <w:left w:w="108" w:type="dxa"/>
            <w:bottom w:w="0" w:type="dxa"/>
            <w:right w:w="108" w:type="dxa"/>
          </w:tblCellMar>
        </w:tblPrEx>
        <w:trPr>
          <w:trHeight w:val="90" w:hRule="atLeast"/>
          <w:jc w:val="center"/>
        </w:trPr>
        <w:tc>
          <w:tcPr>
            <w:tcW w:w="886"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Times New Roman" w:hAnsi="Times New Roman" w:eastAsia="仿宋_GB2312"/>
                <w:szCs w:val="21"/>
              </w:rPr>
            </w:pPr>
            <w:r>
              <w:rPr>
                <w:rFonts w:ascii="Times New Roman" w:hAnsi="Times New Roman"/>
                <w:szCs w:val="21"/>
              </w:rPr>
              <w:t>3</w:t>
            </w:r>
          </w:p>
        </w:tc>
        <w:tc>
          <w:tcPr>
            <w:tcW w:w="234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Times New Roman" w:hAnsi="Times New Roman" w:eastAsia="仿宋_GB2312"/>
                <w:sz w:val="20"/>
                <w:szCs w:val="20"/>
              </w:rPr>
            </w:pPr>
            <w:r>
              <w:rPr>
                <w:rFonts w:hint="eastAsia" w:ascii="Times New Roman" w:hAnsi="Times New Roman" w:eastAsia="仿宋_GB2312"/>
                <w:kern w:val="0"/>
                <w:sz w:val="20"/>
                <w:szCs w:val="20"/>
              </w:rPr>
              <w:t>种子生产经营者受委托生产、代销种子未按规定备案的行政处罚</w:t>
            </w:r>
          </w:p>
        </w:tc>
        <w:tc>
          <w:tcPr>
            <w:tcW w:w="535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ind w:firstLine="400" w:firstLineChars="200"/>
              <w:jc w:val="both"/>
              <w:textAlignment w:val="center"/>
              <w:rPr>
                <w:rFonts w:ascii="Times New Roman" w:hAnsi="Times New Roman" w:eastAsia="仿宋_GB2312"/>
                <w:sz w:val="20"/>
                <w:szCs w:val="20"/>
              </w:rPr>
            </w:pPr>
            <w:r>
              <w:rPr>
                <w:rFonts w:hint="eastAsia" w:ascii="Times New Roman" w:hAnsi="Times New Roman" w:eastAsia="仿宋_GB2312"/>
                <w:kern w:val="0"/>
                <w:sz w:val="20"/>
                <w:szCs w:val="20"/>
              </w:rPr>
              <w:t>《中华人民共和国种子法》第三十八条第一款</w:t>
            </w:r>
            <w:r>
              <w:rPr>
                <w:rFonts w:ascii="Times New Roman" w:hAnsi="Times New Roman" w:eastAsia="仿宋_GB2312"/>
                <w:kern w:val="0"/>
                <w:sz w:val="20"/>
                <w:szCs w:val="20"/>
              </w:rPr>
              <w:t xml:space="preserve"> </w:t>
            </w:r>
            <w:r>
              <w:rPr>
                <w:rFonts w:hint="eastAsia" w:ascii="Times New Roman" w:hAnsi="Times New Roman" w:eastAsia="仿宋_GB2312"/>
                <w:kern w:val="0"/>
                <w:sz w:val="20"/>
                <w:szCs w:val="20"/>
              </w:rPr>
              <w:t>种子生产经营许可证的有效区域由发证机关在其管辖范围内确定。种子生产经营者在种子生产经营许可证载明的有效区域设立分支机构的，专门经营不再分装的包装种子的，或者受具有种子生产经营许可证的种子生产经营者以书面委托生产、代销其种子的，不需要办理种子生产经营许可证，但应当向当地农业农村、林业草原主管部门备案。</w:t>
            </w:r>
          </w:p>
        </w:tc>
        <w:tc>
          <w:tcPr>
            <w:tcW w:w="491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ind w:firstLine="400" w:firstLineChars="200"/>
              <w:jc w:val="left"/>
              <w:textAlignment w:val="center"/>
              <w:rPr>
                <w:rFonts w:ascii="Times New Roman" w:hAnsi="Times New Roman" w:eastAsia="仿宋_GB2312"/>
                <w:sz w:val="20"/>
                <w:szCs w:val="20"/>
              </w:rPr>
            </w:pPr>
            <w:r>
              <w:rPr>
                <w:rFonts w:hint="eastAsia" w:ascii="Times New Roman" w:hAnsi="Times New Roman" w:eastAsia="仿宋_GB2312"/>
                <w:kern w:val="0"/>
                <w:sz w:val="20"/>
                <w:szCs w:val="20"/>
              </w:rPr>
              <w:t>《中华人民共和国种子法》第七十九条第五项</w:t>
            </w:r>
            <w:r>
              <w:rPr>
                <w:rFonts w:ascii="Times New Roman" w:hAnsi="Times New Roman" w:eastAsia="仿宋_GB2312"/>
                <w:kern w:val="0"/>
                <w:sz w:val="20"/>
                <w:szCs w:val="20"/>
              </w:rPr>
              <w:t xml:space="preserve"> </w:t>
            </w:r>
            <w:r>
              <w:rPr>
                <w:rFonts w:hint="eastAsia" w:ascii="Times New Roman" w:hAnsi="Times New Roman" w:eastAsia="仿宋_GB2312"/>
                <w:kern w:val="0"/>
                <w:sz w:val="20"/>
                <w:szCs w:val="20"/>
              </w:rPr>
              <w:t>违反本法第三十六条、第三十八条、第三十九条、第四十条规定，有下列行为之一的，由县级以上人民政府农业农村、林业草原主管部门责令改正，处二千元以上二万元以下罚款：（五）种子生产经营者在异地设立分支机构、专门经营不再分装的包装种子或者受委托生产、代销种子，未按规定备案的。</w:t>
            </w:r>
          </w:p>
        </w:tc>
        <w:tc>
          <w:tcPr>
            <w:tcW w:w="189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1.</w:t>
            </w:r>
            <w:r>
              <w:rPr>
                <w:rFonts w:hint="eastAsia" w:ascii="Times New Roman" w:hAnsi="Times New Roman" w:eastAsia="仿宋_GB2312"/>
                <w:kern w:val="0"/>
                <w:szCs w:val="21"/>
              </w:rPr>
              <w:t>初次违法</w:t>
            </w:r>
            <w:r>
              <w:rPr>
                <w:rFonts w:hint="eastAsia" w:ascii="Times New Roman" w:hAnsi="Times New Roman" w:eastAsia="仿宋_GB2312"/>
                <w:kern w:val="0"/>
                <w:szCs w:val="21"/>
                <w:lang w:eastAsia="zh-CN"/>
              </w:rPr>
              <w:t>；</w:t>
            </w:r>
          </w:p>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2.</w:t>
            </w:r>
            <w:r>
              <w:rPr>
                <w:rFonts w:hint="eastAsia" w:ascii="Times New Roman" w:hAnsi="Times New Roman" w:eastAsia="仿宋_GB2312"/>
                <w:kern w:val="0"/>
                <w:szCs w:val="21"/>
              </w:rPr>
              <w:t>无危害后果或造成危害后果轻微</w:t>
            </w:r>
            <w:r>
              <w:rPr>
                <w:rFonts w:hint="eastAsia" w:ascii="Times New Roman" w:hAnsi="Times New Roman" w:eastAsia="仿宋_GB2312"/>
                <w:kern w:val="0"/>
                <w:szCs w:val="21"/>
                <w:lang w:eastAsia="zh-CN"/>
              </w:rPr>
              <w:t>；</w:t>
            </w:r>
          </w:p>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3.</w:t>
            </w:r>
            <w:r>
              <w:rPr>
                <w:rFonts w:hint="eastAsia" w:ascii="Times New Roman" w:hAnsi="Times New Roman" w:eastAsia="仿宋_GB2312"/>
                <w:kern w:val="0"/>
                <w:szCs w:val="21"/>
              </w:rPr>
              <w:t>及时改正</w:t>
            </w:r>
            <w:r>
              <w:rPr>
                <w:rFonts w:hint="eastAsia" w:ascii="Times New Roman" w:hAnsi="Times New Roman" w:eastAsia="仿宋_GB2312"/>
                <w:kern w:val="0"/>
                <w:szCs w:val="21"/>
                <w:lang w:eastAsia="zh-CN"/>
              </w:rPr>
              <w:t>。</w:t>
            </w:r>
          </w:p>
        </w:tc>
      </w:tr>
      <w:tr>
        <w:tblPrEx>
          <w:tblLayout w:type="fixed"/>
          <w:tblCellMar>
            <w:top w:w="0" w:type="dxa"/>
            <w:left w:w="108" w:type="dxa"/>
            <w:bottom w:w="0" w:type="dxa"/>
            <w:right w:w="108" w:type="dxa"/>
          </w:tblCellMar>
        </w:tblPrEx>
        <w:trPr>
          <w:trHeight w:val="2377" w:hRule="atLeast"/>
          <w:jc w:val="center"/>
        </w:trPr>
        <w:tc>
          <w:tcPr>
            <w:tcW w:w="886"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Times New Roman" w:hAnsi="Times New Roman" w:eastAsia="仿宋_GB2312"/>
                <w:kern w:val="0"/>
                <w:sz w:val="20"/>
                <w:szCs w:val="20"/>
              </w:rPr>
            </w:pPr>
            <w:r>
              <w:rPr>
                <w:rFonts w:ascii="Times New Roman" w:hAnsi="Times New Roman" w:eastAsia="仿宋_GB2312"/>
                <w:kern w:val="0"/>
                <w:sz w:val="20"/>
                <w:szCs w:val="20"/>
              </w:rPr>
              <w:t>4</w:t>
            </w:r>
          </w:p>
        </w:tc>
        <w:tc>
          <w:tcPr>
            <w:tcW w:w="234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Times New Roman" w:hAnsi="Times New Roman" w:eastAsia="仿宋_GB2312"/>
                <w:kern w:val="0"/>
                <w:sz w:val="20"/>
                <w:szCs w:val="20"/>
              </w:rPr>
            </w:pPr>
            <w:r>
              <w:rPr>
                <w:rFonts w:hint="eastAsia" w:ascii="Times New Roman" w:hAnsi="Times New Roman" w:eastAsia="仿宋_GB2312"/>
                <w:kern w:val="0"/>
                <w:sz w:val="20"/>
                <w:szCs w:val="20"/>
              </w:rPr>
              <w:t>登记证有效期满未经批准续展登记而继续生产该肥料产品的行政处罚</w:t>
            </w:r>
          </w:p>
        </w:tc>
        <w:tc>
          <w:tcPr>
            <w:tcW w:w="535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300" w:lineRule="exact"/>
              <w:ind w:firstLine="400" w:firstLineChars="200"/>
              <w:jc w:val="left"/>
              <w:textAlignment w:val="center"/>
              <w:rPr>
                <w:rFonts w:ascii="Times New Roman" w:hAnsi="Times New Roman" w:eastAsia="仿宋_GB2312"/>
                <w:kern w:val="0"/>
                <w:sz w:val="20"/>
                <w:szCs w:val="20"/>
              </w:rPr>
            </w:pPr>
            <w:r>
              <w:rPr>
                <w:rFonts w:hint="eastAsia" w:ascii="Times New Roman" w:hAnsi="Times New Roman" w:eastAsia="仿宋_GB2312"/>
                <w:kern w:val="0"/>
                <w:sz w:val="20"/>
                <w:szCs w:val="20"/>
              </w:rPr>
              <w:t>《肥料登记管理办法》第二十条</w:t>
            </w:r>
            <w:r>
              <w:rPr>
                <w:rFonts w:hint="eastAsia" w:ascii="Times New Roman" w:hAnsi="Times New Roman" w:eastAsia="仿宋_GB2312"/>
                <w:kern w:val="0"/>
                <w:sz w:val="20"/>
                <w:szCs w:val="20"/>
                <w:lang w:val="en-US" w:eastAsia="zh-CN"/>
              </w:rPr>
              <w:t xml:space="preserve"> </w:t>
            </w:r>
            <w:r>
              <w:rPr>
                <w:rFonts w:hint="eastAsia" w:ascii="Times New Roman" w:hAnsi="Times New Roman" w:eastAsia="仿宋_GB2312"/>
                <w:kern w:val="0"/>
                <w:sz w:val="20"/>
                <w:szCs w:val="20"/>
              </w:rPr>
              <w:t>肥料登记证有效期为五年。肥料登记证有效期满，需要继续生产、销售该产品的，应当在有效期满六个月前提出续展登记申请，符合条件的经农业农村部批准续展登记。续展有效期为五年。</w:t>
            </w:r>
          </w:p>
        </w:tc>
        <w:tc>
          <w:tcPr>
            <w:tcW w:w="491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300" w:lineRule="exact"/>
              <w:ind w:firstLine="400" w:firstLineChars="200"/>
              <w:jc w:val="left"/>
              <w:textAlignment w:val="center"/>
              <w:rPr>
                <w:rFonts w:ascii="Times New Roman" w:hAnsi="Times New Roman" w:eastAsia="仿宋_GB2312"/>
                <w:kern w:val="0"/>
                <w:sz w:val="20"/>
                <w:szCs w:val="20"/>
              </w:rPr>
            </w:pPr>
            <w:r>
              <w:rPr>
                <w:rFonts w:hint="eastAsia" w:ascii="Times New Roman" w:hAnsi="Times New Roman" w:eastAsia="仿宋_GB2312"/>
                <w:kern w:val="0"/>
                <w:sz w:val="20"/>
                <w:szCs w:val="20"/>
              </w:rPr>
              <w:t>《肥料登记管理办法》第二十七条第二款</w:t>
            </w:r>
            <w:r>
              <w:rPr>
                <w:rFonts w:hint="eastAsia" w:ascii="Times New Roman" w:hAnsi="Times New Roman" w:eastAsia="仿宋_GB2312"/>
                <w:kern w:val="0"/>
                <w:sz w:val="20"/>
                <w:szCs w:val="20"/>
                <w:lang w:val="en-US" w:eastAsia="zh-CN"/>
              </w:rPr>
              <w:t xml:space="preserve"> </w:t>
            </w:r>
            <w:r>
              <w:rPr>
                <w:rFonts w:hint="eastAsia" w:ascii="Times New Roman" w:hAnsi="Times New Roman" w:eastAsia="仿宋_GB2312"/>
                <w:kern w:val="0"/>
                <w:sz w:val="20"/>
                <w:szCs w:val="20"/>
              </w:rPr>
              <w:t>有下列情形之一的，由县级以上农业农村主管部门给予警告，并处违法所得</w:t>
            </w:r>
            <w:r>
              <w:rPr>
                <w:rFonts w:ascii="Times New Roman" w:hAnsi="Times New Roman" w:eastAsia="仿宋_GB2312"/>
                <w:kern w:val="0"/>
                <w:sz w:val="20"/>
                <w:szCs w:val="20"/>
              </w:rPr>
              <w:t>3</w:t>
            </w:r>
            <w:r>
              <w:rPr>
                <w:rFonts w:hint="eastAsia" w:ascii="Times New Roman" w:hAnsi="Times New Roman" w:eastAsia="仿宋_GB2312"/>
                <w:kern w:val="0"/>
                <w:sz w:val="20"/>
                <w:szCs w:val="20"/>
              </w:rPr>
              <w:t>倍以下罚款，但最高不得超过</w:t>
            </w:r>
            <w:r>
              <w:rPr>
                <w:rFonts w:ascii="Times New Roman" w:hAnsi="Times New Roman" w:eastAsia="仿宋_GB2312"/>
                <w:kern w:val="0"/>
                <w:sz w:val="20"/>
                <w:szCs w:val="20"/>
              </w:rPr>
              <w:t>20000</w:t>
            </w:r>
            <w:r>
              <w:rPr>
                <w:rFonts w:hint="eastAsia" w:ascii="Times New Roman" w:hAnsi="Times New Roman" w:eastAsia="仿宋_GB2312"/>
                <w:kern w:val="0"/>
                <w:sz w:val="20"/>
                <w:szCs w:val="20"/>
              </w:rPr>
              <w:t>元；没有违法所得的，处</w:t>
            </w:r>
            <w:r>
              <w:rPr>
                <w:rFonts w:ascii="Times New Roman" w:hAnsi="Times New Roman" w:eastAsia="仿宋_GB2312"/>
                <w:kern w:val="0"/>
                <w:sz w:val="20"/>
                <w:szCs w:val="20"/>
              </w:rPr>
              <w:t>10000</w:t>
            </w:r>
            <w:r>
              <w:rPr>
                <w:rFonts w:hint="eastAsia" w:ascii="Times New Roman" w:hAnsi="Times New Roman" w:eastAsia="仿宋_GB2312"/>
                <w:kern w:val="0"/>
                <w:sz w:val="20"/>
                <w:szCs w:val="20"/>
              </w:rPr>
              <w:t>元以下罚款：（二）登记证有效期满未经批准续展登记而继续生产该肥料产品的；</w:t>
            </w:r>
          </w:p>
        </w:tc>
        <w:tc>
          <w:tcPr>
            <w:tcW w:w="189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1.</w:t>
            </w:r>
            <w:r>
              <w:rPr>
                <w:rFonts w:hint="eastAsia" w:ascii="Times New Roman" w:hAnsi="Times New Roman" w:eastAsia="仿宋_GB2312"/>
                <w:kern w:val="0"/>
                <w:szCs w:val="21"/>
              </w:rPr>
              <w:t>实际具备取得肥料生产、销售许可证条件的</w:t>
            </w:r>
            <w:r>
              <w:rPr>
                <w:rFonts w:hint="eastAsia" w:ascii="Times New Roman" w:hAnsi="Times New Roman" w:eastAsia="仿宋_GB2312"/>
                <w:kern w:val="0"/>
                <w:szCs w:val="21"/>
                <w:lang w:eastAsia="zh-CN"/>
              </w:rPr>
              <w:t>；</w:t>
            </w:r>
          </w:p>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2.</w:t>
            </w:r>
            <w:r>
              <w:rPr>
                <w:rFonts w:hint="eastAsia" w:ascii="Times New Roman" w:hAnsi="Times New Roman" w:eastAsia="仿宋_GB2312"/>
                <w:kern w:val="0"/>
                <w:szCs w:val="21"/>
              </w:rPr>
              <w:t>初次违法</w:t>
            </w:r>
            <w:r>
              <w:rPr>
                <w:rFonts w:hint="eastAsia" w:ascii="Times New Roman" w:hAnsi="Times New Roman" w:eastAsia="仿宋_GB2312"/>
                <w:kern w:val="0"/>
                <w:szCs w:val="21"/>
                <w:lang w:eastAsia="zh-CN"/>
              </w:rPr>
              <w:t>；</w:t>
            </w:r>
          </w:p>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3.</w:t>
            </w:r>
            <w:r>
              <w:rPr>
                <w:rFonts w:hint="eastAsia" w:ascii="Times New Roman" w:hAnsi="Times New Roman" w:eastAsia="仿宋_GB2312"/>
                <w:kern w:val="0"/>
                <w:szCs w:val="21"/>
              </w:rPr>
              <w:t>无危害后果或造成危害后果轻微</w:t>
            </w:r>
            <w:r>
              <w:rPr>
                <w:rFonts w:hint="eastAsia" w:ascii="Times New Roman" w:hAnsi="Times New Roman" w:eastAsia="仿宋_GB2312"/>
                <w:kern w:val="0"/>
                <w:szCs w:val="21"/>
                <w:lang w:eastAsia="zh-CN"/>
              </w:rPr>
              <w:t>；</w:t>
            </w:r>
          </w:p>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4.</w:t>
            </w:r>
            <w:r>
              <w:rPr>
                <w:rFonts w:hint="eastAsia" w:ascii="Times New Roman" w:hAnsi="Times New Roman" w:eastAsia="仿宋_GB2312"/>
                <w:kern w:val="0"/>
                <w:szCs w:val="21"/>
              </w:rPr>
              <w:t>及时改正</w:t>
            </w:r>
            <w:r>
              <w:rPr>
                <w:rFonts w:hint="eastAsia" w:ascii="Times New Roman" w:hAnsi="Times New Roman" w:eastAsia="仿宋_GB2312"/>
                <w:kern w:val="0"/>
                <w:szCs w:val="21"/>
                <w:lang w:eastAsia="zh-CN"/>
              </w:rPr>
              <w:t>。</w:t>
            </w:r>
          </w:p>
        </w:tc>
      </w:tr>
      <w:tr>
        <w:tblPrEx>
          <w:tblLayout w:type="fixed"/>
          <w:tblCellMar>
            <w:top w:w="0" w:type="dxa"/>
            <w:left w:w="108" w:type="dxa"/>
            <w:bottom w:w="0" w:type="dxa"/>
            <w:right w:w="108" w:type="dxa"/>
          </w:tblCellMar>
        </w:tblPrEx>
        <w:trPr>
          <w:trHeight w:val="2377" w:hRule="atLeast"/>
          <w:jc w:val="center"/>
        </w:trPr>
        <w:tc>
          <w:tcPr>
            <w:tcW w:w="886"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Times New Roman" w:hAnsi="Times New Roman" w:eastAsia="仿宋_GB2312"/>
                <w:kern w:val="0"/>
                <w:sz w:val="20"/>
                <w:szCs w:val="20"/>
              </w:rPr>
            </w:pPr>
            <w:r>
              <w:rPr>
                <w:rFonts w:ascii="Times New Roman" w:hAnsi="Times New Roman"/>
                <w:kern w:val="0"/>
                <w:sz w:val="20"/>
                <w:szCs w:val="20"/>
              </w:rPr>
              <w:t>5</w:t>
            </w:r>
          </w:p>
        </w:tc>
        <w:tc>
          <w:tcPr>
            <w:tcW w:w="234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textAlignment w:val="center"/>
              <w:rPr>
                <w:rFonts w:ascii="Times New Roman" w:hAnsi="Times New Roman" w:eastAsia="仿宋_GB2312"/>
                <w:kern w:val="0"/>
                <w:szCs w:val="21"/>
              </w:rPr>
            </w:pPr>
            <w:r>
              <w:rPr>
                <w:rFonts w:hint="eastAsia" w:ascii="Times New Roman" w:hAnsi="Times New Roman" w:eastAsia="仿宋_GB2312"/>
                <w:kern w:val="0"/>
                <w:szCs w:val="21"/>
              </w:rPr>
              <w:t>农业投入品生产者、销售者、使用者未按照规定及时回收肥料等农业投入品的包装废弃物或者农用薄膜，或者未按照规定及时回收农药包装废弃物交由专门的机构或者组织进行无害化处理的行政处罚</w:t>
            </w:r>
          </w:p>
        </w:tc>
        <w:tc>
          <w:tcPr>
            <w:tcW w:w="535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300" w:lineRule="exact"/>
              <w:ind w:firstLine="420" w:firstLineChars="200"/>
              <w:textAlignment w:val="center"/>
              <w:rPr>
                <w:rFonts w:ascii="Times New Roman" w:hAnsi="Times New Roman" w:eastAsia="仿宋_GB2312"/>
                <w:kern w:val="0"/>
                <w:sz w:val="20"/>
                <w:szCs w:val="20"/>
              </w:rPr>
            </w:pPr>
            <w:r>
              <w:rPr>
                <w:rFonts w:hint="eastAsia" w:ascii="Times New Roman" w:hAnsi="Times New Roman" w:eastAsia="仿宋_GB2312"/>
                <w:kern w:val="0"/>
                <w:szCs w:val="21"/>
              </w:rPr>
              <w:t>《中华人民共和国土壤污染防治法》第三十条第二款</w:t>
            </w:r>
            <w:r>
              <w:rPr>
                <w:rFonts w:hint="eastAsia" w:ascii="Times New Roman" w:hAnsi="Times New Roman" w:eastAsia="仿宋_GB2312"/>
                <w:kern w:val="0"/>
                <w:szCs w:val="21"/>
                <w:lang w:val="en-US" w:eastAsia="zh-CN"/>
              </w:rPr>
              <w:t xml:space="preserve"> </w:t>
            </w:r>
            <w:r>
              <w:rPr>
                <w:rFonts w:hint="eastAsia" w:ascii="Times New Roman" w:hAnsi="Times New Roman" w:eastAsia="仿宋_GB2312"/>
                <w:kern w:val="0"/>
                <w:szCs w:val="21"/>
              </w:rPr>
              <w:t>农业投入品生产者、销售者和使用者应当及时回收农药、肥料等农业投入品的包装废弃物和农用薄膜，并将农药包装废弃物交由专门的机构或者组织进行无害化处理</w:t>
            </w:r>
            <w:r>
              <w:rPr>
                <w:rFonts w:hint="eastAsia" w:ascii="Times New Roman" w:hAnsi="Times New Roman" w:eastAsia="仿宋_GB2312"/>
                <w:kern w:val="0"/>
                <w:sz w:val="20"/>
                <w:szCs w:val="20"/>
              </w:rPr>
              <w:t>。</w:t>
            </w:r>
          </w:p>
        </w:tc>
        <w:tc>
          <w:tcPr>
            <w:tcW w:w="491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300" w:lineRule="exact"/>
              <w:ind w:firstLine="420" w:firstLineChars="200"/>
              <w:textAlignment w:val="center"/>
              <w:rPr>
                <w:rFonts w:ascii="Times New Roman" w:hAnsi="Times New Roman" w:eastAsia="仿宋_GB2312"/>
                <w:kern w:val="0"/>
                <w:sz w:val="20"/>
                <w:szCs w:val="20"/>
              </w:rPr>
            </w:pPr>
            <w:r>
              <w:rPr>
                <w:rFonts w:hint="eastAsia" w:ascii="Times New Roman" w:hAnsi="Times New Roman" w:eastAsia="仿宋_GB2312"/>
                <w:kern w:val="0"/>
                <w:szCs w:val="21"/>
              </w:rPr>
              <w:t>《中华人民共和国土壤污染防治法》第八十八条</w:t>
            </w:r>
            <w:r>
              <w:rPr>
                <w:rFonts w:hint="eastAsia" w:ascii="Times New Roman" w:hAnsi="Times New Roman" w:eastAsia="仿宋_GB2312"/>
                <w:kern w:val="0"/>
                <w:szCs w:val="21"/>
                <w:lang w:val="en-US" w:eastAsia="zh-CN"/>
              </w:rPr>
              <w:t xml:space="preserve"> </w:t>
            </w:r>
            <w:r>
              <w:rPr>
                <w:rFonts w:hint="eastAsia" w:ascii="Times New Roman" w:hAnsi="Times New Roman" w:eastAsia="仿宋_GB2312"/>
                <w:kern w:val="0"/>
                <w:szCs w:val="21"/>
              </w:rPr>
              <w:t>违反本法规定，农业投入品生产者、销售者、使用者未按照规定及时回收肥料等农业投入品的包装废弃物或者农用薄膜，或者未按照规定及时回收农药包装废弃物交由专门的机构或者组织进行无害化处理的，由地方人民政府农业农村主管部门责令改正，处一万元以上十万元以下的罚款；农业投入品使用者为个人的，可以处二百元以上二千元以下的罚款。</w:t>
            </w:r>
          </w:p>
        </w:tc>
        <w:tc>
          <w:tcPr>
            <w:tcW w:w="189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1.</w:t>
            </w:r>
            <w:r>
              <w:rPr>
                <w:rFonts w:hint="eastAsia" w:ascii="Times New Roman" w:hAnsi="Times New Roman" w:eastAsia="仿宋_GB2312"/>
                <w:kern w:val="0"/>
                <w:szCs w:val="21"/>
              </w:rPr>
              <w:t>初次违法</w:t>
            </w:r>
            <w:r>
              <w:rPr>
                <w:rFonts w:hint="eastAsia" w:ascii="Times New Roman" w:hAnsi="Times New Roman" w:eastAsia="仿宋_GB2312"/>
                <w:kern w:val="0"/>
                <w:szCs w:val="21"/>
                <w:lang w:eastAsia="zh-CN"/>
              </w:rPr>
              <w:t>；</w:t>
            </w:r>
          </w:p>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2.</w:t>
            </w:r>
            <w:r>
              <w:rPr>
                <w:rFonts w:hint="eastAsia" w:ascii="Times New Roman" w:hAnsi="Times New Roman" w:eastAsia="仿宋_GB2312"/>
                <w:kern w:val="0"/>
                <w:szCs w:val="21"/>
              </w:rPr>
              <w:t>无危害后果或造成危害后果轻微</w:t>
            </w:r>
            <w:r>
              <w:rPr>
                <w:rFonts w:hint="eastAsia" w:ascii="Times New Roman" w:hAnsi="Times New Roman" w:eastAsia="仿宋_GB2312"/>
                <w:kern w:val="0"/>
                <w:szCs w:val="21"/>
                <w:lang w:eastAsia="zh-CN"/>
              </w:rPr>
              <w:t>；</w:t>
            </w:r>
          </w:p>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3.</w:t>
            </w:r>
            <w:r>
              <w:rPr>
                <w:rFonts w:hint="eastAsia" w:ascii="Times New Roman" w:hAnsi="Times New Roman" w:eastAsia="仿宋_GB2312"/>
                <w:kern w:val="0"/>
                <w:szCs w:val="21"/>
              </w:rPr>
              <w:t>及时改正</w:t>
            </w:r>
            <w:r>
              <w:rPr>
                <w:rFonts w:hint="eastAsia" w:ascii="Times New Roman" w:hAnsi="Times New Roman" w:eastAsia="仿宋_GB2312"/>
                <w:kern w:val="0"/>
                <w:szCs w:val="21"/>
                <w:lang w:eastAsia="zh-CN"/>
              </w:rPr>
              <w:t>。</w:t>
            </w:r>
          </w:p>
        </w:tc>
      </w:tr>
      <w:tr>
        <w:tblPrEx>
          <w:tblLayout w:type="fixed"/>
          <w:tblCellMar>
            <w:top w:w="0" w:type="dxa"/>
            <w:left w:w="108" w:type="dxa"/>
            <w:bottom w:w="0" w:type="dxa"/>
            <w:right w:w="108" w:type="dxa"/>
          </w:tblCellMar>
        </w:tblPrEx>
        <w:trPr>
          <w:trHeight w:val="1334" w:hRule="atLeast"/>
          <w:jc w:val="center"/>
        </w:trPr>
        <w:tc>
          <w:tcPr>
            <w:tcW w:w="886"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Times New Roman" w:hAnsi="Times New Roman" w:eastAsia="仿宋_GB2312"/>
                <w:kern w:val="0"/>
                <w:sz w:val="20"/>
                <w:szCs w:val="20"/>
              </w:rPr>
            </w:pPr>
            <w:r>
              <w:rPr>
                <w:rFonts w:ascii="Times New Roman" w:hAnsi="Times New Roman"/>
                <w:kern w:val="0"/>
                <w:sz w:val="20"/>
                <w:szCs w:val="20"/>
              </w:rPr>
              <w:t>6</w:t>
            </w:r>
          </w:p>
        </w:tc>
        <w:tc>
          <w:tcPr>
            <w:tcW w:w="234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Times New Roman" w:hAnsi="Times New Roman" w:eastAsia="仿宋_GB2312"/>
                <w:kern w:val="0"/>
                <w:sz w:val="20"/>
                <w:szCs w:val="20"/>
              </w:rPr>
            </w:pPr>
            <w:r>
              <w:rPr>
                <w:rFonts w:hint="eastAsia" w:ascii="Times New Roman" w:hAnsi="Times New Roman" w:eastAsia="仿宋_GB2312"/>
                <w:kern w:val="0"/>
                <w:sz w:val="20"/>
                <w:szCs w:val="20"/>
              </w:rPr>
              <w:t>拖拉机驾驶培训机构未按统一的教学计划、教学大纲和规定教材进行培训的行政处罚</w:t>
            </w:r>
          </w:p>
        </w:tc>
        <w:tc>
          <w:tcPr>
            <w:tcW w:w="535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ind w:firstLine="400" w:firstLineChars="200"/>
              <w:jc w:val="left"/>
              <w:textAlignment w:val="center"/>
              <w:rPr>
                <w:rFonts w:ascii="Times New Roman" w:hAnsi="Times New Roman" w:eastAsia="仿宋_GB2312"/>
                <w:kern w:val="0"/>
                <w:sz w:val="20"/>
                <w:szCs w:val="20"/>
              </w:rPr>
            </w:pPr>
            <w:r>
              <w:rPr>
                <w:rFonts w:hint="eastAsia" w:ascii="Times New Roman" w:hAnsi="Times New Roman" w:eastAsia="仿宋_GB2312"/>
                <w:kern w:val="0"/>
                <w:sz w:val="20"/>
                <w:szCs w:val="20"/>
              </w:rPr>
              <w:t>《拖拉机驾驶培训管理办法》第十五条第一款</w:t>
            </w:r>
            <w:r>
              <w:rPr>
                <w:rFonts w:hint="eastAsia" w:ascii="Times New Roman" w:hAnsi="Times New Roman" w:eastAsia="仿宋_GB2312"/>
                <w:kern w:val="0"/>
                <w:sz w:val="20"/>
                <w:szCs w:val="20"/>
                <w:lang w:val="en-US" w:eastAsia="zh-CN"/>
              </w:rPr>
              <w:t xml:space="preserve"> </w:t>
            </w:r>
            <w:r>
              <w:rPr>
                <w:rFonts w:hint="eastAsia" w:ascii="Times New Roman" w:hAnsi="Times New Roman" w:eastAsia="仿宋_GB2312"/>
                <w:kern w:val="0"/>
                <w:sz w:val="20"/>
                <w:szCs w:val="20"/>
              </w:rPr>
              <w:t>拖拉机驾驶培训机构应当严格执行农业部颁发的教学大纲，按照许可的范围和规模培训，保证培训质量。</w:t>
            </w:r>
          </w:p>
        </w:tc>
        <w:tc>
          <w:tcPr>
            <w:tcW w:w="491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ind w:firstLine="400" w:firstLineChars="200"/>
              <w:jc w:val="left"/>
              <w:textAlignment w:val="center"/>
              <w:rPr>
                <w:rFonts w:ascii="Times New Roman" w:hAnsi="Times New Roman" w:eastAsia="仿宋_GB2312"/>
                <w:kern w:val="0"/>
                <w:sz w:val="20"/>
                <w:szCs w:val="20"/>
              </w:rPr>
            </w:pPr>
            <w:r>
              <w:rPr>
                <w:rFonts w:hint="eastAsia" w:ascii="Times New Roman" w:hAnsi="Times New Roman" w:eastAsia="仿宋_GB2312"/>
                <w:kern w:val="0"/>
                <w:sz w:val="20"/>
                <w:szCs w:val="20"/>
              </w:rPr>
              <w:t>《拖拉机驾驶培训管理办法》第二十四条第二项</w:t>
            </w:r>
            <w:r>
              <w:rPr>
                <w:rFonts w:hint="eastAsia" w:ascii="Times New Roman" w:hAnsi="Times New Roman" w:eastAsia="仿宋_GB2312"/>
                <w:kern w:val="0"/>
                <w:sz w:val="20"/>
                <w:szCs w:val="20"/>
                <w:lang w:val="en-US" w:eastAsia="zh-CN"/>
              </w:rPr>
              <w:t xml:space="preserve"> </w:t>
            </w:r>
            <w:r>
              <w:rPr>
                <w:rFonts w:hint="eastAsia" w:ascii="Times New Roman" w:hAnsi="Times New Roman" w:eastAsia="仿宋_GB2312"/>
                <w:kern w:val="0"/>
                <w:sz w:val="20"/>
                <w:szCs w:val="20"/>
              </w:rPr>
              <w:t>对违反本办法的单位和个人，由县级以上地方人民政府农机主管部门按以下规定处罚：（二）未按统一的教学计划、教学大纲和规定教材进行培训的，责令改正，处二千元以下罚款。</w:t>
            </w:r>
          </w:p>
        </w:tc>
        <w:tc>
          <w:tcPr>
            <w:tcW w:w="189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1.</w:t>
            </w:r>
            <w:r>
              <w:rPr>
                <w:rFonts w:hint="eastAsia" w:ascii="Times New Roman" w:hAnsi="Times New Roman" w:eastAsia="仿宋_GB2312"/>
                <w:kern w:val="0"/>
                <w:szCs w:val="21"/>
              </w:rPr>
              <w:t>初次违法</w:t>
            </w:r>
            <w:r>
              <w:rPr>
                <w:rFonts w:hint="eastAsia" w:ascii="Times New Roman" w:hAnsi="Times New Roman" w:eastAsia="仿宋_GB2312"/>
                <w:kern w:val="0"/>
                <w:szCs w:val="21"/>
                <w:lang w:eastAsia="zh-CN"/>
              </w:rPr>
              <w:t>；</w:t>
            </w:r>
          </w:p>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2.</w:t>
            </w:r>
            <w:r>
              <w:rPr>
                <w:rFonts w:hint="eastAsia" w:ascii="Times New Roman" w:hAnsi="Times New Roman" w:eastAsia="仿宋_GB2312"/>
                <w:kern w:val="0"/>
                <w:szCs w:val="21"/>
              </w:rPr>
              <w:t>无危害后果或造成危害后果轻微</w:t>
            </w:r>
            <w:r>
              <w:rPr>
                <w:rFonts w:hint="eastAsia" w:ascii="Times New Roman" w:hAnsi="Times New Roman" w:eastAsia="仿宋_GB2312"/>
                <w:kern w:val="0"/>
                <w:szCs w:val="21"/>
                <w:lang w:eastAsia="zh-CN"/>
              </w:rPr>
              <w:t>；</w:t>
            </w:r>
          </w:p>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3.</w:t>
            </w:r>
            <w:r>
              <w:rPr>
                <w:rFonts w:hint="eastAsia" w:ascii="Times New Roman" w:hAnsi="Times New Roman" w:eastAsia="仿宋_GB2312"/>
                <w:kern w:val="0"/>
                <w:szCs w:val="21"/>
              </w:rPr>
              <w:t>及时改正</w:t>
            </w:r>
            <w:r>
              <w:rPr>
                <w:rFonts w:hint="eastAsia" w:ascii="Times New Roman" w:hAnsi="Times New Roman" w:eastAsia="仿宋_GB2312"/>
                <w:kern w:val="0"/>
                <w:szCs w:val="21"/>
                <w:lang w:eastAsia="zh-CN"/>
              </w:rPr>
              <w:t>。</w:t>
            </w:r>
          </w:p>
        </w:tc>
      </w:tr>
      <w:tr>
        <w:tblPrEx>
          <w:tblLayout w:type="fixed"/>
          <w:tblCellMar>
            <w:top w:w="0" w:type="dxa"/>
            <w:left w:w="108" w:type="dxa"/>
            <w:bottom w:w="0" w:type="dxa"/>
            <w:right w:w="108" w:type="dxa"/>
          </w:tblCellMar>
        </w:tblPrEx>
        <w:trPr>
          <w:trHeight w:val="1737" w:hRule="atLeast"/>
          <w:jc w:val="center"/>
        </w:trPr>
        <w:tc>
          <w:tcPr>
            <w:tcW w:w="886"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Times New Roman" w:hAnsi="Times New Roman" w:eastAsia="仿宋_GB2312"/>
                <w:kern w:val="0"/>
                <w:sz w:val="20"/>
                <w:szCs w:val="20"/>
              </w:rPr>
            </w:pPr>
            <w:r>
              <w:rPr>
                <w:rFonts w:ascii="Times New Roman" w:hAnsi="Times New Roman"/>
                <w:kern w:val="0"/>
                <w:sz w:val="20"/>
                <w:szCs w:val="20"/>
              </w:rPr>
              <w:t>7</w:t>
            </w:r>
          </w:p>
        </w:tc>
        <w:tc>
          <w:tcPr>
            <w:tcW w:w="234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Times New Roman" w:hAnsi="Times New Roman" w:eastAsia="仿宋_GB2312"/>
                <w:kern w:val="0"/>
                <w:sz w:val="20"/>
                <w:szCs w:val="20"/>
              </w:rPr>
            </w:pPr>
            <w:r>
              <w:rPr>
                <w:rFonts w:hint="eastAsia" w:ascii="Times New Roman" w:hAnsi="Times New Roman" w:eastAsia="仿宋_GB2312"/>
                <w:kern w:val="0"/>
                <w:sz w:val="20"/>
                <w:szCs w:val="20"/>
              </w:rPr>
              <w:t>拖拉机驾驶培训机构聘用未经省级人民政府农机主管部门考核合格的人员从事拖拉机驾驶员培训教学工作的行政处罚</w:t>
            </w:r>
          </w:p>
        </w:tc>
        <w:tc>
          <w:tcPr>
            <w:tcW w:w="535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ind w:firstLine="400" w:firstLineChars="200"/>
              <w:jc w:val="left"/>
              <w:textAlignment w:val="center"/>
              <w:rPr>
                <w:rFonts w:ascii="Times New Roman" w:hAnsi="Times New Roman" w:eastAsia="仿宋_GB2312"/>
                <w:kern w:val="0"/>
                <w:sz w:val="20"/>
                <w:szCs w:val="20"/>
              </w:rPr>
            </w:pPr>
            <w:r>
              <w:rPr>
                <w:rFonts w:hint="eastAsia" w:ascii="Times New Roman" w:hAnsi="Times New Roman" w:eastAsia="仿宋_GB2312"/>
                <w:kern w:val="0"/>
                <w:sz w:val="20"/>
                <w:szCs w:val="20"/>
              </w:rPr>
              <w:t>《拖拉机驾驶培训管理办法》第十六条</w:t>
            </w:r>
            <w:r>
              <w:rPr>
                <w:rFonts w:hint="eastAsia" w:ascii="Times New Roman" w:hAnsi="Times New Roman" w:eastAsia="仿宋_GB2312"/>
                <w:kern w:val="0"/>
                <w:sz w:val="20"/>
                <w:szCs w:val="20"/>
                <w:lang w:val="en-US" w:eastAsia="zh-CN"/>
              </w:rPr>
              <w:t xml:space="preserve"> </w:t>
            </w:r>
            <w:r>
              <w:rPr>
                <w:rFonts w:hint="eastAsia" w:ascii="Times New Roman" w:hAnsi="Times New Roman" w:eastAsia="仿宋_GB2312"/>
                <w:kern w:val="0"/>
                <w:sz w:val="20"/>
                <w:szCs w:val="20"/>
              </w:rPr>
              <w:t>拖拉机驾驶培训机构应当聘用经省级人民政府农机主管部门考核合格的教学人员。</w:t>
            </w:r>
          </w:p>
        </w:tc>
        <w:tc>
          <w:tcPr>
            <w:tcW w:w="491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ind w:firstLine="400" w:firstLineChars="200"/>
              <w:jc w:val="left"/>
              <w:textAlignment w:val="center"/>
              <w:rPr>
                <w:rFonts w:ascii="Times New Roman" w:hAnsi="Times New Roman" w:eastAsia="仿宋_GB2312"/>
                <w:kern w:val="0"/>
                <w:sz w:val="20"/>
                <w:szCs w:val="20"/>
              </w:rPr>
            </w:pPr>
            <w:r>
              <w:rPr>
                <w:rFonts w:hint="eastAsia" w:ascii="Times New Roman" w:hAnsi="Times New Roman" w:eastAsia="仿宋_GB2312"/>
                <w:kern w:val="0"/>
                <w:sz w:val="20"/>
                <w:szCs w:val="20"/>
              </w:rPr>
              <w:t>《拖拉机驾驶培训管理办法》第二十四条第三项</w:t>
            </w:r>
            <w:r>
              <w:rPr>
                <w:rFonts w:hint="eastAsia" w:ascii="Times New Roman" w:hAnsi="Times New Roman" w:eastAsia="仿宋_GB2312"/>
                <w:kern w:val="0"/>
                <w:sz w:val="20"/>
                <w:szCs w:val="20"/>
                <w:lang w:val="en-US" w:eastAsia="zh-CN"/>
              </w:rPr>
              <w:t xml:space="preserve"> </w:t>
            </w:r>
            <w:r>
              <w:rPr>
                <w:rFonts w:hint="eastAsia" w:ascii="Times New Roman" w:hAnsi="Times New Roman" w:eastAsia="仿宋_GB2312"/>
                <w:kern w:val="0"/>
                <w:sz w:val="20"/>
                <w:szCs w:val="20"/>
              </w:rPr>
              <w:t>对违反本办法的单位和个人，由县级以上地方人民政府农机主管部门按以下规定处罚：（三）聘用未经省级人民政府农机主管部门考核合格的人员从事拖拉机驾驶员培训教学工作的，责令改正，处五千元以下罚款。</w:t>
            </w:r>
          </w:p>
        </w:tc>
        <w:tc>
          <w:tcPr>
            <w:tcW w:w="189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1.</w:t>
            </w:r>
            <w:r>
              <w:rPr>
                <w:rFonts w:hint="eastAsia" w:ascii="Times New Roman" w:hAnsi="Times New Roman" w:eastAsia="仿宋_GB2312"/>
                <w:kern w:val="0"/>
                <w:szCs w:val="21"/>
              </w:rPr>
              <w:t>初次违法</w:t>
            </w:r>
            <w:r>
              <w:rPr>
                <w:rFonts w:hint="eastAsia" w:ascii="Times New Roman" w:hAnsi="Times New Roman" w:eastAsia="仿宋_GB2312"/>
                <w:kern w:val="0"/>
                <w:szCs w:val="21"/>
                <w:lang w:eastAsia="zh-CN"/>
              </w:rPr>
              <w:t>；</w:t>
            </w:r>
          </w:p>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2.</w:t>
            </w:r>
            <w:r>
              <w:rPr>
                <w:rFonts w:hint="eastAsia" w:ascii="Times New Roman" w:hAnsi="Times New Roman" w:eastAsia="仿宋_GB2312"/>
                <w:kern w:val="0"/>
                <w:szCs w:val="21"/>
              </w:rPr>
              <w:t>无危害后果或造成危害后果轻微</w:t>
            </w:r>
            <w:r>
              <w:rPr>
                <w:rFonts w:hint="eastAsia" w:ascii="Times New Roman" w:hAnsi="Times New Roman" w:eastAsia="仿宋_GB2312"/>
                <w:kern w:val="0"/>
                <w:szCs w:val="21"/>
                <w:lang w:eastAsia="zh-CN"/>
              </w:rPr>
              <w:t>；</w:t>
            </w:r>
          </w:p>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3.</w:t>
            </w:r>
            <w:r>
              <w:rPr>
                <w:rFonts w:hint="eastAsia" w:ascii="Times New Roman" w:hAnsi="Times New Roman" w:eastAsia="仿宋_GB2312"/>
                <w:kern w:val="0"/>
                <w:szCs w:val="21"/>
              </w:rPr>
              <w:t>及时改正</w:t>
            </w:r>
            <w:r>
              <w:rPr>
                <w:rFonts w:hint="eastAsia" w:ascii="Times New Roman" w:hAnsi="Times New Roman" w:eastAsia="仿宋_GB2312"/>
                <w:kern w:val="0"/>
                <w:szCs w:val="21"/>
                <w:lang w:eastAsia="zh-CN"/>
              </w:rPr>
              <w:t>。</w:t>
            </w:r>
          </w:p>
        </w:tc>
      </w:tr>
      <w:tr>
        <w:tblPrEx>
          <w:tblLayout w:type="fixed"/>
          <w:tblCellMar>
            <w:top w:w="0" w:type="dxa"/>
            <w:left w:w="108" w:type="dxa"/>
            <w:bottom w:w="0" w:type="dxa"/>
            <w:right w:w="108" w:type="dxa"/>
          </w:tblCellMar>
        </w:tblPrEx>
        <w:trPr>
          <w:trHeight w:val="2422" w:hRule="atLeast"/>
          <w:jc w:val="center"/>
        </w:trPr>
        <w:tc>
          <w:tcPr>
            <w:tcW w:w="886"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Times New Roman" w:hAnsi="Times New Roman" w:eastAsia="仿宋_GB2312"/>
                <w:kern w:val="0"/>
                <w:sz w:val="20"/>
                <w:szCs w:val="20"/>
              </w:rPr>
            </w:pPr>
            <w:r>
              <w:rPr>
                <w:rFonts w:ascii="Times New Roman" w:hAnsi="Times New Roman"/>
                <w:kern w:val="0"/>
                <w:sz w:val="20"/>
                <w:szCs w:val="20"/>
              </w:rPr>
              <w:t>8</w:t>
            </w:r>
          </w:p>
        </w:tc>
        <w:tc>
          <w:tcPr>
            <w:tcW w:w="234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textAlignment w:val="center"/>
              <w:rPr>
                <w:rFonts w:ascii="Times New Roman" w:hAnsi="Times New Roman" w:eastAsia="仿宋_GB2312"/>
                <w:kern w:val="0"/>
                <w:sz w:val="20"/>
                <w:szCs w:val="20"/>
              </w:rPr>
            </w:pPr>
            <w:r>
              <w:rPr>
                <w:rFonts w:hint="eastAsia" w:ascii="Times New Roman" w:hAnsi="Times New Roman" w:eastAsia="仿宋_GB2312"/>
                <w:kern w:val="0"/>
                <w:szCs w:val="21"/>
              </w:rPr>
              <w:t>畜禽养殖场未建立养殖档案或未按照规定保存养殖档案的</w:t>
            </w:r>
            <w:r>
              <w:rPr>
                <w:rFonts w:hint="eastAsia" w:ascii="Times New Roman" w:hAnsi="Times New Roman" w:eastAsia="仿宋_GB2312"/>
                <w:kern w:val="0"/>
                <w:sz w:val="20"/>
                <w:szCs w:val="20"/>
              </w:rPr>
              <w:t>行政处罚</w:t>
            </w:r>
          </w:p>
        </w:tc>
        <w:tc>
          <w:tcPr>
            <w:tcW w:w="535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ind w:firstLine="420" w:firstLineChars="200"/>
              <w:textAlignment w:val="center"/>
              <w:rPr>
                <w:rFonts w:ascii="Times New Roman" w:hAnsi="Times New Roman" w:eastAsia="仿宋_GB2312"/>
                <w:kern w:val="0"/>
                <w:sz w:val="20"/>
                <w:szCs w:val="20"/>
              </w:rPr>
            </w:pPr>
            <w:r>
              <w:rPr>
                <w:rFonts w:hint="eastAsia" w:ascii="Times New Roman" w:hAnsi="Times New Roman" w:eastAsia="仿宋_GB2312"/>
                <w:kern w:val="0"/>
                <w:szCs w:val="21"/>
              </w:rPr>
              <w:t>《中华人民共和国畜牧法》第四十一条</w:t>
            </w:r>
            <w:r>
              <w:rPr>
                <w:rFonts w:hint="eastAsia" w:ascii="Times New Roman" w:hAnsi="Times New Roman" w:eastAsia="仿宋_GB2312"/>
                <w:kern w:val="0"/>
                <w:szCs w:val="21"/>
                <w:lang w:val="en-US" w:eastAsia="zh-CN"/>
              </w:rPr>
              <w:t xml:space="preserve"> </w:t>
            </w:r>
            <w:r>
              <w:rPr>
                <w:rFonts w:hint="eastAsia" w:ascii="Times New Roman" w:hAnsi="Times New Roman" w:eastAsia="仿宋_GB2312"/>
                <w:kern w:val="0"/>
                <w:szCs w:val="21"/>
              </w:rPr>
              <w:t>畜禽养殖场应当建立养殖档案，载明下列内容：（一）畜禽的品种、数量、繁殖记录、标识情况、来源和进出场日期；（二）饲料、饲料添加剂、兽药等投入品的来源、名称、使用对象、时间和用量；（三）检疫、免疫、消毒情况；（四）畜禽发病、死亡和无害化处理情况；（五）畜禽粪污收集、储存、无害化处理和资源化利用情况；（六）国务院农业农村主管部门规定的其他内容。</w:t>
            </w:r>
          </w:p>
        </w:tc>
        <w:tc>
          <w:tcPr>
            <w:tcW w:w="491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ind w:firstLine="420" w:firstLineChars="200"/>
              <w:jc w:val="left"/>
              <w:textAlignment w:val="center"/>
              <w:rPr>
                <w:rFonts w:ascii="Times New Roman" w:hAnsi="Times New Roman" w:eastAsia="仿宋_GB2312"/>
                <w:kern w:val="0"/>
                <w:sz w:val="20"/>
                <w:szCs w:val="20"/>
              </w:rPr>
            </w:pPr>
            <w:r>
              <w:rPr>
                <w:rFonts w:hint="eastAsia" w:ascii="Times New Roman" w:hAnsi="Times New Roman" w:eastAsia="仿宋_GB2312"/>
                <w:kern w:val="0"/>
                <w:szCs w:val="21"/>
              </w:rPr>
              <w:t>《中华人民共和国畜牧法》第八十六条</w:t>
            </w:r>
            <w:r>
              <w:rPr>
                <w:rFonts w:hint="eastAsia" w:ascii="Times New Roman" w:hAnsi="Times New Roman" w:eastAsia="仿宋_GB2312"/>
                <w:kern w:val="0"/>
                <w:szCs w:val="21"/>
                <w:lang w:val="en-US" w:eastAsia="zh-CN"/>
              </w:rPr>
              <w:t xml:space="preserve"> </w:t>
            </w:r>
            <w:r>
              <w:rPr>
                <w:rFonts w:hint="eastAsia" w:ascii="Times New Roman" w:hAnsi="Times New Roman" w:eastAsia="仿宋_GB2312"/>
                <w:kern w:val="0"/>
                <w:szCs w:val="21"/>
              </w:rPr>
              <w:t>违反本法规定，兴办畜禽养殖场未备案，畜禽养殖场未建立养殖档案或者未按照规定保存养殖档案的，由县级以上人民政府农业农村主管部门责令限期改正，可以处一万元以下罚款。</w:t>
            </w:r>
          </w:p>
        </w:tc>
        <w:tc>
          <w:tcPr>
            <w:tcW w:w="189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1.</w:t>
            </w:r>
            <w:r>
              <w:rPr>
                <w:rFonts w:hint="eastAsia" w:ascii="Times New Roman" w:hAnsi="Times New Roman" w:eastAsia="仿宋_GB2312"/>
                <w:kern w:val="0"/>
                <w:szCs w:val="21"/>
              </w:rPr>
              <w:t>初次违法</w:t>
            </w:r>
            <w:r>
              <w:rPr>
                <w:rFonts w:hint="eastAsia" w:ascii="Times New Roman" w:hAnsi="Times New Roman" w:eastAsia="仿宋_GB2312"/>
                <w:kern w:val="0"/>
                <w:szCs w:val="21"/>
                <w:lang w:eastAsia="zh-CN"/>
              </w:rPr>
              <w:t>；</w:t>
            </w:r>
          </w:p>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2.</w:t>
            </w:r>
            <w:r>
              <w:rPr>
                <w:rFonts w:hint="eastAsia" w:ascii="Times New Roman" w:hAnsi="Times New Roman" w:eastAsia="仿宋_GB2312"/>
                <w:kern w:val="0"/>
                <w:szCs w:val="21"/>
              </w:rPr>
              <w:t>无危害后果或造成危害后果轻微</w:t>
            </w:r>
            <w:r>
              <w:rPr>
                <w:rFonts w:hint="eastAsia" w:ascii="Times New Roman" w:hAnsi="Times New Roman" w:eastAsia="仿宋_GB2312"/>
                <w:kern w:val="0"/>
                <w:szCs w:val="21"/>
                <w:lang w:eastAsia="zh-CN"/>
              </w:rPr>
              <w:t>；</w:t>
            </w:r>
          </w:p>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3.</w:t>
            </w:r>
            <w:r>
              <w:rPr>
                <w:rFonts w:hint="eastAsia" w:ascii="Times New Roman" w:hAnsi="Times New Roman" w:eastAsia="仿宋_GB2312"/>
                <w:kern w:val="0"/>
                <w:szCs w:val="21"/>
              </w:rPr>
              <w:t>及时改正</w:t>
            </w:r>
            <w:r>
              <w:rPr>
                <w:rFonts w:hint="eastAsia" w:ascii="Times New Roman" w:hAnsi="Times New Roman" w:eastAsia="仿宋_GB2312"/>
                <w:kern w:val="0"/>
                <w:szCs w:val="21"/>
                <w:lang w:eastAsia="zh-CN"/>
              </w:rPr>
              <w:t>。</w:t>
            </w:r>
          </w:p>
        </w:tc>
      </w:tr>
      <w:tr>
        <w:tblPrEx>
          <w:tblLayout w:type="fixed"/>
          <w:tblCellMar>
            <w:top w:w="0" w:type="dxa"/>
            <w:left w:w="108" w:type="dxa"/>
            <w:bottom w:w="0" w:type="dxa"/>
            <w:right w:w="108" w:type="dxa"/>
          </w:tblCellMar>
        </w:tblPrEx>
        <w:trPr>
          <w:trHeight w:val="2157" w:hRule="atLeast"/>
          <w:jc w:val="center"/>
        </w:trPr>
        <w:tc>
          <w:tcPr>
            <w:tcW w:w="886"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Times New Roman" w:hAnsi="Times New Roman" w:eastAsia="仿宋_GB2312"/>
                <w:kern w:val="0"/>
                <w:sz w:val="20"/>
                <w:szCs w:val="20"/>
              </w:rPr>
            </w:pPr>
            <w:r>
              <w:rPr>
                <w:rFonts w:ascii="Times New Roman" w:hAnsi="Times New Roman"/>
                <w:kern w:val="0"/>
                <w:sz w:val="20"/>
                <w:szCs w:val="20"/>
              </w:rPr>
              <w:t>9</w:t>
            </w:r>
          </w:p>
        </w:tc>
        <w:tc>
          <w:tcPr>
            <w:tcW w:w="234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textAlignment w:val="center"/>
              <w:rPr>
                <w:rFonts w:ascii="Times New Roman" w:hAnsi="Times New Roman" w:eastAsia="仿宋_GB2312"/>
                <w:kern w:val="0"/>
                <w:sz w:val="20"/>
                <w:szCs w:val="20"/>
              </w:rPr>
            </w:pPr>
            <w:r>
              <w:rPr>
                <w:rFonts w:hint="eastAsia" w:ascii="Times New Roman" w:hAnsi="Times New Roman" w:eastAsia="仿宋_GB2312"/>
                <w:kern w:val="0"/>
                <w:szCs w:val="21"/>
              </w:rPr>
              <w:t>销售的种畜禽未附具家畜系谱的</w:t>
            </w:r>
            <w:r>
              <w:rPr>
                <w:rFonts w:hint="eastAsia" w:ascii="Times New Roman" w:hAnsi="Times New Roman" w:eastAsia="仿宋_GB2312"/>
                <w:kern w:val="0"/>
                <w:sz w:val="20"/>
                <w:szCs w:val="20"/>
              </w:rPr>
              <w:t>行政处罚</w:t>
            </w:r>
          </w:p>
        </w:tc>
        <w:tc>
          <w:tcPr>
            <w:tcW w:w="535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ind w:firstLine="420" w:firstLineChars="200"/>
              <w:textAlignment w:val="center"/>
              <w:rPr>
                <w:rFonts w:ascii="Times New Roman" w:hAnsi="Times New Roman" w:eastAsia="仿宋_GB2312"/>
                <w:kern w:val="0"/>
                <w:sz w:val="20"/>
                <w:szCs w:val="20"/>
              </w:rPr>
            </w:pPr>
            <w:r>
              <w:rPr>
                <w:rFonts w:hint="eastAsia" w:ascii="Times New Roman" w:hAnsi="Times New Roman" w:eastAsia="仿宋_GB2312"/>
                <w:kern w:val="0"/>
                <w:szCs w:val="21"/>
              </w:rPr>
              <w:t>《中华人民共和国畜牧法》第三十条</w:t>
            </w:r>
            <w:r>
              <w:rPr>
                <w:rFonts w:hint="eastAsia" w:ascii="Times New Roman" w:hAnsi="Times New Roman" w:eastAsia="仿宋_GB2312"/>
                <w:kern w:val="0"/>
                <w:szCs w:val="21"/>
                <w:lang w:val="en-US" w:eastAsia="zh-CN"/>
              </w:rPr>
              <w:t xml:space="preserve"> </w:t>
            </w:r>
            <w:r>
              <w:rPr>
                <w:rFonts w:hint="eastAsia" w:ascii="Times New Roman" w:hAnsi="Times New Roman" w:eastAsia="仿宋_GB2312"/>
                <w:kern w:val="0"/>
                <w:szCs w:val="21"/>
              </w:rPr>
              <w:t>销售的种畜禽、家畜配种站（点）使用的种公畜，应当符合种用标准。销售种畜禽时，应当附具种畜禽场出具的种畜禽合格证明、动物卫生监督机构出具的检疫证明，销售的种畜还应当附具种畜禽场出具的家畜系谱。</w:t>
            </w:r>
          </w:p>
        </w:tc>
        <w:tc>
          <w:tcPr>
            <w:tcW w:w="491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ind w:firstLine="420" w:firstLineChars="200"/>
              <w:textAlignment w:val="center"/>
              <w:rPr>
                <w:rFonts w:ascii="Times New Roman" w:hAnsi="Times New Roman" w:eastAsia="仿宋_GB2312"/>
                <w:kern w:val="0"/>
                <w:sz w:val="20"/>
                <w:szCs w:val="20"/>
              </w:rPr>
            </w:pPr>
            <w:r>
              <w:rPr>
                <w:rFonts w:hint="eastAsia" w:ascii="Times New Roman" w:hAnsi="Times New Roman" w:eastAsia="仿宋_GB2312"/>
                <w:kern w:val="0"/>
                <w:szCs w:val="21"/>
              </w:rPr>
              <w:t>《中华人民共和国畜牧法》第八十八条</w:t>
            </w:r>
            <w:r>
              <w:rPr>
                <w:rFonts w:hint="eastAsia" w:ascii="Times New Roman" w:hAnsi="Times New Roman" w:eastAsia="仿宋_GB2312"/>
                <w:kern w:val="0"/>
                <w:szCs w:val="21"/>
                <w:lang w:val="en-US" w:eastAsia="zh-CN"/>
              </w:rPr>
              <w:t xml:space="preserve"> </w:t>
            </w:r>
            <w:r>
              <w:rPr>
                <w:rFonts w:hint="eastAsia" w:ascii="Times New Roman" w:hAnsi="Times New Roman" w:eastAsia="仿宋_GB2312"/>
                <w:kern w:val="0"/>
                <w:szCs w:val="21"/>
              </w:rPr>
              <w:t>违反本法规定，销售的种畜禽未附具种畜禽合格证明、家畜系谱，销售、收购国务院农业农村主管部门规定应当加施标识而没有标识的畜禽，或者重复使用畜禽标识的，由县级以上地方人民政府农业农村主管部门和市场监督管理部门按照职责分工责令改正，可以处二千元以下罚款。</w:t>
            </w:r>
          </w:p>
        </w:tc>
        <w:tc>
          <w:tcPr>
            <w:tcW w:w="189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1.</w:t>
            </w:r>
            <w:r>
              <w:rPr>
                <w:rFonts w:hint="eastAsia" w:ascii="Times New Roman" w:hAnsi="Times New Roman" w:eastAsia="仿宋_GB2312"/>
                <w:kern w:val="0"/>
                <w:szCs w:val="21"/>
              </w:rPr>
              <w:t>初次违法</w:t>
            </w:r>
            <w:r>
              <w:rPr>
                <w:rFonts w:hint="eastAsia" w:ascii="Times New Roman" w:hAnsi="Times New Roman" w:eastAsia="仿宋_GB2312"/>
                <w:kern w:val="0"/>
                <w:szCs w:val="21"/>
                <w:lang w:eastAsia="zh-CN"/>
              </w:rPr>
              <w:t>；</w:t>
            </w:r>
          </w:p>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2.</w:t>
            </w:r>
            <w:r>
              <w:rPr>
                <w:rFonts w:hint="eastAsia" w:ascii="Times New Roman" w:hAnsi="Times New Roman" w:eastAsia="仿宋_GB2312"/>
                <w:kern w:val="0"/>
                <w:szCs w:val="21"/>
              </w:rPr>
              <w:t>无危害后果或造成危害后果轻微</w:t>
            </w:r>
            <w:r>
              <w:rPr>
                <w:rFonts w:hint="eastAsia" w:ascii="Times New Roman" w:hAnsi="Times New Roman" w:eastAsia="仿宋_GB2312"/>
                <w:kern w:val="0"/>
                <w:szCs w:val="21"/>
                <w:lang w:eastAsia="zh-CN"/>
              </w:rPr>
              <w:t>；</w:t>
            </w:r>
          </w:p>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3.</w:t>
            </w:r>
            <w:r>
              <w:rPr>
                <w:rFonts w:hint="eastAsia" w:ascii="Times New Roman" w:hAnsi="Times New Roman" w:eastAsia="仿宋_GB2312"/>
                <w:kern w:val="0"/>
                <w:szCs w:val="21"/>
              </w:rPr>
              <w:t>及时改正</w:t>
            </w:r>
            <w:r>
              <w:rPr>
                <w:rFonts w:hint="eastAsia" w:ascii="Times New Roman" w:hAnsi="Times New Roman" w:eastAsia="仿宋_GB2312"/>
                <w:kern w:val="0"/>
                <w:szCs w:val="21"/>
                <w:lang w:eastAsia="zh-CN"/>
              </w:rPr>
              <w:t>。</w:t>
            </w:r>
          </w:p>
        </w:tc>
      </w:tr>
      <w:tr>
        <w:tblPrEx>
          <w:tblLayout w:type="fixed"/>
          <w:tblCellMar>
            <w:top w:w="0" w:type="dxa"/>
            <w:left w:w="108" w:type="dxa"/>
            <w:bottom w:w="0" w:type="dxa"/>
            <w:right w:w="108" w:type="dxa"/>
          </w:tblCellMar>
        </w:tblPrEx>
        <w:trPr>
          <w:trHeight w:val="2178" w:hRule="atLeast"/>
          <w:jc w:val="center"/>
        </w:trPr>
        <w:tc>
          <w:tcPr>
            <w:tcW w:w="886"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Times New Roman" w:hAnsi="Times New Roman" w:eastAsia="仿宋_GB2312"/>
                <w:kern w:val="0"/>
                <w:sz w:val="20"/>
                <w:szCs w:val="20"/>
              </w:rPr>
            </w:pPr>
            <w:r>
              <w:rPr>
                <w:rFonts w:ascii="Times New Roman" w:hAnsi="Times New Roman"/>
                <w:kern w:val="0"/>
                <w:sz w:val="20"/>
                <w:szCs w:val="20"/>
              </w:rPr>
              <w:t>10</w:t>
            </w:r>
          </w:p>
        </w:tc>
        <w:tc>
          <w:tcPr>
            <w:tcW w:w="234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textAlignment w:val="center"/>
              <w:rPr>
                <w:rFonts w:ascii="Times New Roman" w:hAnsi="Times New Roman" w:eastAsia="仿宋_GB2312"/>
                <w:kern w:val="0"/>
                <w:szCs w:val="21"/>
              </w:rPr>
            </w:pPr>
            <w:r>
              <w:rPr>
                <w:rFonts w:hint="eastAsia" w:ascii="Times New Roman" w:hAnsi="Times New Roman" w:eastAsia="仿宋_GB2312"/>
                <w:kern w:val="0"/>
                <w:szCs w:val="21"/>
              </w:rPr>
              <w:t>对饲料、饲料添加剂生产企业不依照规定实行采购、生产、销售记录制度或者产品留样观察制度的行政处罚</w:t>
            </w:r>
          </w:p>
        </w:tc>
        <w:tc>
          <w:tcPr>
            <w:tcW w:w="535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300" w:lineRule="exact"/>
              <w:ind w:firstLine="420" w:firstLineChars="200"/>
              <w:textAlignment w:val="center"/>
              <w:rPr>
                <w:rFonts w:ascii="Times New Roman" w:hAnsi="Times New Roman" w:eastAsia="仿宋_GB2312"/>
                <w:kern w:val="0"/>
                <w:szCs w:val="21"/>
              </w:rPr>
            </w:pPr>
            <w:r>
              <w:rPr>
                <w:rFonts w:hint="eastAsia" w:ascii="Times New Roman" w:hAnsi="Times New Roman" w:eastAsia="仿宋_GB2312"/>
                <w:kern w:val="0"/>
                <w:szCs w:val="21"/>
              </w:rPr>
              <w:t>《饲料和饲料添加剂管理条例》第十七条第三款</w:t>
            </w:r>
            <w:r>
              <w:rPr>
                <w:rFonts w:hint="eastAsia" w:ascii="Times New Roman" w:hAnsi="Times New Roman" w:eastAsia="仿宋_GB2312"/>
                <w:kern w:val="0"/>
                <w:szCs w:val="21"/>
                <w:lang w:val="en-US" w:eastAsia="zh-CN"/>
              </w:rPr>
              <w:t xml:space="preserve"> </w:t>
            </w:r>
            <w:r>
              <w:rPr>
                <w:rFonts w:hint="eastAsia" w:ascii="Times New Roman" w:hAnsi="Times New Roman" w:eastAsia="仿宋_GB2312"/>
                <w:kern w:val="0"/>
                <w:szCs w:val="21"/>
              </w:rPr>
              <w:t>饲料、饲料添加剂生产企业应当如实记录采购的饲料原料、单一饲料、饲料添加剂、药物饲料添加剂、添加剂预混合饲料和用于饲料添加剂生产的原料的名称、产地、数量、保质期、许可证明文件编号、质量检验信息、生产企业名称或者供货者名称及其联系方式、进货日期等。记录保存期限不得少于</w:t>
            </w:r>
            <w:r>
              <w:rPr>
                <w:rFonts w:ascii="Times New Roman" w:hAnsi="Times New Roman" w:eastAsia="仿宋_GB2312"/>
                <w:kern w:val="0"/>
                <w:szCs w:val="21"/>
              </w:rPr>
              <w:t>2</w:t>
            </w:r>
            <w:r>
              <w:rPr>
                <w:rFonts w:hint="eastAsia" w:ascii="Times New Roman" w:hAnsi="Times New Roman" w:eastAsia="仿宋_GB2312"/>
                <w:kern w:val="0"/>
                <w:szCs w:val="21"/>
              </w:rPr>
              <w:t>年。</w:t>
            </w:r>
          </w:p>
        </w:tc>
        <w:tc>
          <w:tcPr>
            <w:tcW w:w="491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300" w:lineRule="exact"/>
              <w:ind w:firstLine="420" w:firstLineChars="200"/>
              <w:textAlignment w:val="center"/>
              <w:rPr>
                <w:rFonts w:ascii="Times New Roman" w:hAnsi="Times New Roman" w:eastAsia="仿宋_GB2312"/>
                <w:kern w:val="0"/>
                <w:szCs w:val="21"/>
              </w:rPr>
            </w:pPr>
            <w:r>
              <w:rPr>
                <w:rFonts w:hint="eastAsia" w:ascii="Times New Roman" w:hAnsi="Times New Roman" w:eastAsia="仿宋_GB2312"/>
                <w:kern w:val="0"/>
                <w:szCs w:val="21"/>
              </w:rPr>
              <w:t>《饲料和饲料添加剂管理条例》第四十一条第一款</w:t>
            </w:r>
            <w:r>
              <w:rPr>
                <w:rFonts w:hint="eastAsia" w:ascii="Times New Roman" w:hAnsi="Times New Roman" w:eastAsia="仿宋_GB2312"/>
                <w:kern w:val="0"/>
                <w:szCs w:val="21"/>
                <w:lang w:val="en-US" w:eastAsia="zh-CN"/>
              </w:rPr>
              <w:t xml:space="preserve"> </w:t>
            </w:r>
            <w:r>
              <w:rPr>
                <w:rFonts w:hint="eastAsia" w:ascii="Times New Roman" w:hAnsi="Times New Roman" w:eastAsia="仿宋_GB2312"/>
                <w:kern w:val="0"/>
                <w:szCs w:val="21"/>
              </w:rPr>
              <w:t>饲料、饲料添加剂生产企业不依照本条例规定实行采购、生产、销售记录制度或者产品留样观察制度的，由县级以上地方人民政府饲料管理部门责令改正，处</w:t>
            </w:r>
            <w:r>
              <w:rPr>
                <w:rFonts w:ascii="Times New Roman" w:hAnsi="Times New Roman" w:eastAsia="仿宋_GB2312"/>
                <w:kern w:val="0"/>
                <w:szCs w:val="21"/>
              </w:rPr>
              <w:t>1</w:t>
            </w:r>
            <w:r>
              <w:rPr>
                <w:rFonts w:hint="eastAsia" w:ascii="Times New Roman" w:hAnsi="Times New Roman" w:eastAsia="仿宋_GB2312"/>
                <w:kern w:val="0"/>
                <w:szCs w:val="21"/>
              </w:rPr>
              <w:t>万元以上</w:t>
            </w:r>
            <w:r>
              <w:rPr>
                <w:rFonts w:ascii="Times New Roman" w:hAnsi="Times New Roman" w:eastAsia="仿宋_GB2312"/>
                <w:kern w:val="0"/>
                <w:szCs w:val="21"/>
              </w:rPr>
              <w:t>2</w:t>
            </w:r>
            <w:r>
              <w:rPr>
                <w:rFonts w:hint="eastAsia" w:ascii="Times New Roman" w:hAnsi="Times New Roman" w:eastAsia="仿宋_GB2312"/>
                <w:kern w:val="0"/>
                <w:szCs w:val="21"/>
              </w:rPr>
              <w:t>万元以下罚款；</w:t>
            </w:r>
          </w:p>
        </w:tc>
        <w:tc>
          <w:tcPr>
            <w:tcW w:w="189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1.</w:t>
            </w:r>
            <w:r>
              <w:rPr>
                <w:rFonts w:hint="eastAsia" w:ascii="Times New Roman" w:hAnsi="Times New Roman" w:eastAsia="仿宋_GB2312"/>
                <w:kern w:val="0"/>
                <w:szCs w:val="21"/>
              </w:rPr>
              <w:t>初次违法</w:t>
            </w:r>
            <w:r>
              <w:rPr>
                <w:rFonts w:hint="eastAsia" w:ascii="Times New Roman" w:hAnsi="Times New Roman" w:eastAsia="仿宋_GB2312"/>
                <w:kern w:val="0"/>
                <w:szCs w:val="21"/>
                <w:lang w:eastAsia="zh-CN"/>
              </w:rPr>
              <w:t>；</w:t>
            </w:r>
          </w:p>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2.</w:t>
            </w:r>
            <w:r>
              <w:rPr>
                <w:rFonts w:hint="eastAsia" w:ascii="Times New Roman" w:hAnsi="Times New Roman" w:eastAsia="仿宋_GB2312"/>
                <w:kern w:val="0"/>
                <w:szCs w:val="21"/>
              </w:rPr>
              <w:t>无危害后果或造成危害后果轻微</w:t>
            </w:r>
            <w:r>
              <w:rPr>
                <w:rFonts w:hint="eastAsia" w:ascii="Times New Roman" w:hAnsi="Times New Roman" w:eastAsia="仿宋_GB2312"/>
                <w:kern w:val="0"/>
                <w:szCs w:val="21"/>
                <w:lang w:eastAsia="zh-CN"/>
              </w:rPr>
              <w:t>；</w:t>
            </w:r>
          </w:p>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3.</w:t>
            </w:r>
            <w:r>
              <w:rPr>
                <w:rFonts w:hint="eastAsia" w:ascii="Times New Roman" w:hAnsi="Times New Roman" w:eastAsia="仿宋_GB2312"/>
                <w:kern w:val="0"/>
                <w:szCs w:val="21"/>
              </w:rPr>
              <w:t>及时改正</w:t>
            </w:r>
            <w:r>
              <w:rPr>
                <w:rFonts w:hint="eastAsia" w:ascii="Times New Roman" w:hAnsi="Times New Roman" w:eastAsia="仿宋_GB2312"/>
                <w:kern w:val="0"/>
                <w:szCs w:val="21"/>
                <w:lang w:eastAsia="zh-CN"/>
              </w:rPr>
              <w:t>。</w:t>
            </w:r>
          </w:p>
        </w:tc>
      </w:tr>
      <w:tr>
        <w:tblPrEx>
          <w:tblLayout w:type="fixed"/>
          <w:tblCellMar>
            <w:top w:w="0" w:type="dxa"/>
            <w:left w:w="108" w:type="dxa"/>
            <w:bottom w:w="0" w:type="dxa"/>
            <w:right w:w="108" w:type="dxa"/>
          </w:tblCellMar>
        </w:tblPrEx>
        <w:trPr>
          <w:trHeight w:val="2807" w:hRule="atLeast"/>
          <w:jc w:val="center"/>
        </w:trPr>
        <w:tc>
          <w:tcPr>
            <w:tcW w:w="886"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Times New Roman" w:hAnsi="Times New Roman"/>
                <w:kern w:val="0"/>
                <w:szCs w:val="21"/>
              </w:rPr>
            </w:pPr>
            <w:r>
              <w:rPr>
                <w:rFonts w:ascii="Times New Roman" w:hAnsi="Times New Roman"/>
                <w:kern w:val="0"/>
                <w:szCs w:val="21"/>
              </w:rPr>
              <w:t>11</w:t>
            </w:r>
          </w:p>
        </w:tc>
        <w:tc>
          <w:tcPr>
            <w:tcW w:w="234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textAlignment w:val="center"/>
              <w:rPr>
                <w:rFonts w:ascii="Times New Roman" w:hAnsi="Times New Roman" w:eastAsia="仿宋_GB2312"/>
                <w:kern w:val="0"/>
                <w:szCs w:val="21"/>
              </w:rPr>
            </w:pPr>
            <w:r>
              <w:rPr>
                <w:rFonts w:hint="eastAsia" w:ascii="Times New Roman" w:hAnsi="Times New Roman" w:eastAsia="仿宋_GB2312"/>
                <w:kern w:val="0"/>
                <w:szCs w:val="21"/>
              </w:rPr>
              <w:t>饲料、饲料添加剂经营者对饲料、饲料添加剂进行拆包、分装的行政处罚</w:t>
            </w:r>
          </w:p>
        </w:tc>
        <w:tc>
          <w:tcPr>
            <w:tcW w:w="535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300" w:lineRule="exact"/>
              <w:ind w:firstLine="420" w:firstLineChars="200"/>
              <w:textAlignment w:val="center"/>
              <w:rPr>
                <w:rFonts w:ascii="Times New Roman" w:hAnsi="Times New Roman" w:eastAsia="仿宋_GB2312"/>
                <w:kern w:val="0"/>
                <w:szCs w:val="21"/>
              </w:rPr>
            </w:pPr>
            <w:r>
              <w:rPr>
                <w:rFonts w:hint="eastAsia" w:ascii="Times New Roman" w:hAnsi="Times New Roman" w:eastAsia="仿宋_GB2312"/>
                <w:kern w:val="0"/>
                <w:szCs w:val="21"/>
              </w:rPr>
              <w:t>《饲料和饲料添加剂管理条例》第二十三条第二款</w:t>
            </w:r>
            <w:r>
              <w:rPr>
                <w:rFonts w:hint="eastAsia" w:ascii="Times New Roman" w:hAnsi="Times New Roman" w:eastAsia="仿宋_GB2312"/>
                <w:kern w:val="0"/>
                <w:szCs w:val="21"/>
                <w:lang w:val="en-US" w:eastAsia="zh-CN"/>
              </w:rPr>
              <w:t xml:space="preserve"> </w:t>
            </w:r>
            <w:r>
              <w:rPr>
                <w:rFonts w:hint="eastAsia" w:ascii="Times New Roman" w:hAnsi="Times New Roman" w:eastAsia="仿宋_GB2312"/>
                <w:kern w:val="0"/>
                <w:szCs w:val="21"/>
              </w:rPr>
              <w:t>饲料、饲料添加剂经营者不得对饲料、饲料添加剂进行拆包、分装，不得对饲料、饲料添加剂进行再加工或者添加任何物质。</w:t>
            </w:r>
          </w:p>
        </w:tc>
        <w:tc>
          <w:tcPr>
            <w:tcW w:w="491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300" w:lineRule="exact"/>
              <w:ind w:firstLine="420" w:firstLineChars="200"/>
              <w:textAlignment w:val="center"/>
              <w:rPr>
                <w:rFonts w:ascii="Times New Roman" w:hAnsi="Times New Roman" w:eastAsia="仿宋_GB2312"/>
                <w:kern w:val="0"/>
                <w:szCs w:val="21"/>
              </w:rPr>
            </w:pPr>
            <w:r>
              <w:rPr>
                <w:rFonts w:hint="eastAsia" w:ascii="Times New Roman" w:hAnsi="Times New Roman" w:eastAsia="仿宋_GB2312"/>
                <w:kern w:val="0"/>
                <w:szCs w:val="21"/>
              </w:rPr>
              <w:t>《饲料和饲料添加剂管理条例》第四十四条第一项</w:t>
            </w:r>
            <w:r>
              <w:rPr>
                <w:rFonts w:hint="eastAsia" w:ascii="Times New Roman" w:hAnsi="Times New Roman" w:eastAsia="仿宋_GB2312"/>
                <w:kern w:val="0"/>
                <w:szCs w:val="21"/>
                <w:lang w:val="en-US" w:eastAsia="zh-CN"/>
              </w:rPr>
              <w:t xml:space="preserve"> </w:t>
            </w:r>
            <w:r>
              <w:rPr>
                <w:rFonts w:hint="eastAsia" w:ascii="Times New Roman" w:hAnsi="Times New Roman" w:eastAsia="仿宋_GB2312"/>
                <w:kern w:val="0"/>
                <w:szCs w:val="21"/>
              </w:rPr>
              <w:t>饲料、饲料添加剂经营者有下列行为之一的，由县级人民政府饲料管理部门责令改正，没收违法所得和违法经营的产品，并处</w:t>
            </w:r>
            <w:r>
              <w:rPr>
                <w:rFonts w:ascii="Times New Roman" w:hAnsi="Times New Roman" w:eastAsia="仿宋_GB2312"/>
                <w:kern w:val="0"/>
                <w:szCs w:val="21"/>
              </w:rPr>
              <w:t>2000</w:t>
            </w:r>
            <w:r>
              <w:rPr>
                <w:rFonts w:hint="eastAsia" w:ascii="Times New Roman" w:hAnsi="Times New Roman" w:eastAsia="仿宋_GB2312"/>
                <w:kern w:val="0"/>
                <w:szCs w:val="21"/>
              </w:rPr>
              <w:t>元以上</w:t>
            </w:r>
            <w:r>
              <w:rPr>
                <w:rFonts w:ascii="Times New Roman" w:hAnsi="Times New Roman" w:eastAsia="仿宋_GB2312"/>
                <w:kern w:val="0"/>
                <w:szCs w:val="21"/>
              </w:rPr>
              <w:t>1</w:t>
            </w:r>
            <w:r>
              <w:rPr>
                <w:rFonts w:hint="eastAsia" w:ascii="Times New Roman" w:hAnsi="Times New Roman" w:eastAsia="仿宋_GB2312"/>
                <w:kern w:val="0"/>
                <w:szCs w:val="21"/>
              </w:rPr>
              <w:t>万元以下罚款：</w:t>
            </w:r>
            <w:r>
              <w:rPr>
                <w:rFonts w:hint="eastAsia" w:ascii="Times New Roman" w:hAnsi="Times New Roman"/>
                <w:kern w:val="0"/>
                <w:szCs w:val="21"/>
              </w:rPr>
              <w:t>（</w:t>
            </w:r>
            <w:r>
              <w:rPr>
                <w:rFonts w:hint="eastAsia" w:ascii="Times New Roman" w:hAnsi="Times New Roman" w:eastAsia="仿宋_GB2312"/>
                <w:kern w:val="0"/>
                <w:szCs w:val="21"/>
              </w:rPr>
              <w:t>一</w:t>
            </w:r>
            <w:r>
              <w:rPr>
                <w:rFonts w:hint="eastAsia" w:ascii="Times New Roman" w:hAnsi="Times New Roman"/>
                <w:kern w:val="0"/>
                <w:szCs w:val="21"/>
              </w:rPr>
              <w:t>）</w:t>
            </w:r>
            <w:r>
              <w:rPr>
                <w:rFonts w:hint="eastAsia" w:ascii="Times New Roman" w:hAnsi="Times New Roman" w:eastAsia="仿宋_GB2312"/>
                <w:kern w:val="0"/>
                <w:szCs w:val="21"/>
              </w:rPr>
              <w:t>对饲料、饲料添加剂进行拆包、分装的。</w:t>
            </w:r>
          </w:p>
        </w:tc>
        <w:tc>
          <w:tcPr>
            <w:tcW w:w="189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1.</w:t>
            </w:r>
            <w:r>
              <w:rPr>
                <w:rFonts w:hint="eastAsia" w:ascii="Times New Roman" w:hAnsi="Times New Roman" w:eastAsia="仿宋_GB2312"/>
                <w:kern w:val="0"/>
                <w:szCs w:val="21"/>
              </w:rPr>
              <w:t>拆包、分装未对产品质量产生负面影响、未增加污染风险和破坏产品稳定性的</w:t>
            </w:r>
            <w:r>
              <w:rPr>
                <w:rFonts w:hint="eastAsia" w:ascii="Times New Roman" w:hAnsi="Times New Roman" w:eastAsia="仿宋_GB2312"/>
                <w:kern w:val="0"/>
                <w:szCs w:val="21"/>
                <w:lang w:eastAsia="zh-CN"/>
              </w:rPr>
              <w:t>；</w:t>
            </w:r>
          </w:p>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2.</w:t>
            </w:r>
            <w:r>
              <w:rPr>
                <w:rFonts w:hint="eastAsia" w:ascii="Times New Roman" w:hAnsi="Times New Roman" w:eastAsia="仿宋_GB2312"/>
                <w:kern w:val="0"/>
                <w:szCs w:val="21"/>
              </w:rPr>
              <w:t>初次违法</w:t>
            </w:r>
            <w:r>
              <w:rPr>
                <w:rFonts w:hint="eastAsia" w:ascii="Times New Roman" w:hAnsi="Times New Roman" w:eastAsia="仿宋_GB2312"/>
                <w:kern w:val="0"/>
                <w:szCs w:val="21"/>
                <w:lang w:eastAsia="zh-CN"/>
              </w:rPr>
              <w:t>；</w:t>
            </w:r>
          </w:p>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3.</w:t>
            </w:r>
            <w:r>
              <w:rPr>
                <w:rFonts w:hint="eastAsia" w:ascii="Times New Roman" w:hAnsi="Times New Roman" w:eastAsia="仿宋_GB2312"/>
                <w:kern w:val="0"/>
                <w:szCs w:val="21"/>
              </w:rPr>
              <w:t>无危害后果或造成危害后果轻微</w:t>
            </w:r>
            <w:r>
              <w:rPr>
                <w:rFonts w:hint="eastAsia" w:ascii="Times New Roman" w:hAnsi="Times New Roman" w:eastAsia="仿宋_GB2312"/>
                <w:kern w:val="0"/>
                <w:szCs w:val="21"/>
                <w:lang w:eastAsia="zh-CN"/>
              </w:rPr>
              <w:t>；</w:t>
            </w:r>
          </w:p>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4.</w:t>
            </w:r>
            <w:r>
              <w:rPr>
                <w:rFonts w:hint="eastAsia" w:ascii="Times New Roman" w:hAnsi="Times New Roman" w:eastAsia="仿宋_GB2312"/>
                <w:kern w:val="0"/>
                <w:szCs w:val="21"/>
              </w:rPr>
              <w:t>及时改正</w:t>
            </w:r>
            <w:r>
              <w:rPr>
                <w:rFonts w:hint="eastAsia" w:ascii="Times New Roman" w:hAnsi="Times New Roman" w:eastAsia="仿宋_GB2312"/>
                <w:kern w:val="0"/>
                <w:szCs w:val="21"/>
                <w:lang w:eastAsia="zh-CN"/>
              </w:rPr>
              <w:t>。</w:t>
            </w:r>
          </w:p>
        </w:tc>
      </w:tr>
      <w:tr>
        <w:tblPrEx>
          <w:tblLayout w:type="fixed"/>
          <w:tblCellMar>
            <w:top w:w="0" w:type="dxa"/>
            <w:left w:w="108" w:type="dxa"/>
            <w:bottom w:w="0" w:type="dxa"/>
            <w:right w:w="108" w:type="dxa"/>
          </w:tblCellMar>
        </w:tblPrEx>
        <w:trPr>
          <w:trHeight w:val="2422" w:hRule="atLeast"/>
          <w:jc w:val="center"/>
        </w:trPr>
        <w:tc>
          <w:tcPr>
            <w:tcW w:w="886"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Times New Roman" w:hAnsi="Times New Roman" w:eastAsia="仿宋_GB2312"/>
                <w:kern w:val="0"/>
                <w:sz w:val="20"/>
                <w:szCs w:val="20"/>
              </w:rPr>
            </w:pPr>
            <w:r>
              <w:rPr>
                <w:rFonts w:ascii="Times New Roman" w:hAnsi="Times New Roman"/>
                <w:kern w:val="0"/>
                <w:sz w:val="20"/>
                <w:szCs w:val="20"/>
              </w:rPr>
              <w:t>12</w:t>
            </w:r>
          </w:p>
        </w:tc>
        <w:tc>
          <w:tcPr>
            <w:tcW w:w="234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Times New Roman" w:hAnsi="Times New Roman" w:eastAsia="仿宋_GB2312"/>
                <w:kern w:val="0"/>
                <w:sz w:val="20"/>
                <w:szCs w:val="20"/>
              </w:rPr>
            </w:pPr>
            <w:r>
              <w:rPr>
                <w:rFonts w:hint="eastAsia" w:ascii="Times New Roman" w:hAnsi="Times New Roman" w:eastAsia="仿宋_GB2312"/>
                <w:kern w:val="0"/>
                <w:sz w:val="20"/>
                <w:szCs w:val="20"/>
              </w:rPr>
              <w:t>对饲养的犬只未按规定定期进行狂犬病免疫接种的行政处罚</w:t>
            </w:r>
          </w:p>
        </w:tc>
        <w:tc>
          <w:tcPr>
            <w:tcW w:w="535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ind w:firstLine="400" w:firstLineChars="200"/>
              <w:jc w:val="left"/>
              <w:textAlignment w:val="center"/>
              <w:rPr>
                <w:rFonts w:ascii="Times New Roman" w:hAnsi="Times New Roman" w:eastAsia="仿宋_GB2312"/>
                <w:kern w:val="0"/>
                <w:sz w:val="20"/>
                <w:szCs w:val="20"/>
              </w:rPr>
            </w:pPr>
            <w:r>
              <w:rPr>
                <w:rFonts w:hint="eastAsia" w:ascii="Times New Roman" w:hAnsi="Times New Roman" w:eastAsia="仿宋_GB2312"/>
                <w:kern w:val="0"/>
                <w:sz w:val="20"/>
                <w:szCs w:val="20"/>
              </w:rPr>
              <w:t>《中华人民共和国动物防疫法》第三十条第一款</w:t>
            </w:r>
            <w:r>
              <w:rPr>
                <w:rFonts w:hint="eastAsia" w:ascii="Times New Roman" w:hAnsi="Times New Roman" w:eastAsia="仿宋_GB2312"/>
                <w:kern w:val="0"/>
                <w:sz w:val="20"/>
                <w:szCs w:val="20"/>
                <w:lang w:val="en-US" w:eastAsia="zh-CN"/>
              </w:rPr>
              <w:t xml:space="preserve"> </w:t>
            </w:r>
            <w:r>
              <w:rPr>
                <w:rFonts w:hint="eastAsia" w:ascii="Times New Roman" w:hAnsi="Times New Roman" w:eastAsia="仿宋_GB2312"/>
                <w:kern w:val="0"/>
                <w:sz w:val="20"/>
                <w:szCs w:val="20"/>
              </w:rPr>
              <w:t>单位和个人饲养犬只，应当按照规定定期免疫接种狂犬病疫苗，凭动物诊疗机构出具的免疫证明向所在地养犬登记机关申请登记。</w:t>
            </w:r>
          </w:p>
        </w:tc>
        <w:tc>
          <w:tcPr>
            <w:tcW w:w="491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ind w:firstLine="400" w:firstLineChars="200"/>
              <w:jc w:val="left"/>
              <w:textAlignment w:val="center"/>
              <w:rPr>
                <w:rFonts w:ascii="Times New Roman" w:hAnsi="Times New Roman" w:eastAsia="仿宋_GB2312"/>
                <w:kern w:val="0"/>
                <w:sz w:val="20"/>
                <w:szCs w:val="20"/>
              </w:rPr>
            </w:pPr>
            <w:r>
              <w:rPr>
                <w:rFonts w:hint="eastAsia" w:ascii="Times New Roman" w:hAnsi="Times New Roman" w:eastAsia="仿宋_GB2312"/>
                <w:kern w:val="0"/>
                <w:sz w:val="20"/>
                <w:szCs w:val="20"/>
              </w:rPr>
              <w:t>《中华人民共和国动物防疫法》第九十二条第三项</w:t>
            </w:r>
            <w:r>
              <w:rPr>
                <w:rFonts w:hint="eastAsia" w:ascii="Times New Roman" w:hAnsi="Times New Roman" w:eastAsia="仿宋_GB2312"/>
                <w:kern w:val="0"/>
                <w:sz w:val="20"/>
                <w:szCs w:val="20"/>
                <w:lang w:val="en-US" w:eastAsia="zh-CN"/>
              </w:rPr>
              <w:t xml:space="preserve"> </w:t>
            </w:r>
            <w:r>
              <w:rPr>
                <w:rFonts w:hint="eastAsia" w:ascii="Times New Roman" w:hAnsi="Times New Roman" w:eastAsia="仿宋_GB2312"/>
                <w:kern w:val="0"/>
                <w:sz w:val="20"/>
                <w:szCs w:val="20"/>
              </w:rPr>
              <w:t>违反本法规定，对饲养的犬只未按照规定定期进行狂犬病免疫接种的，由县级以上地方人民政府农业农村主管部门责令限期改正，可以处一千元以下罚款；逾期不改正的，处一千元以上五千元以下罚款，由县级以上地方人民政府农业农村主管部门委托动物诊疗机构、无害化处理场所等代为处理，所需处理费用由违法行为人承担。</w:t>
            </w:r>
          </w:p>
        </w:tc>
        <w:tc>
          <w:tcPr>
            <w:tcW w:w="189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1</w:t>
            </w:r>
            <w:r>
              <w:rPr>
                <w:rFonts w:hint="eastAsia" w:ascii="Times New Roman" w:hAnsi="Times New Roman" w:eastAsia="仿宋_GB2312"/>
                <w:kern w:val="0"/>
                <w:szCs w:val="21"/>
              </w:rPr>
              <w:t>饲养的犬只未造成他人损害的</w:t>
            </w:r>
            <w:r>
              <w:rPr>
                <w:rFonts w:hint="eastAsia" w:ascii="Times New Roman" w:hAnsi="Times New Roman" w:eastAsia="仿宋_GB2312"/>
                <w:kern w:val="0"/>
                <w:szCs w:val="21"/>
                <w:lang w:eastAsia="zh-CN"/>
              </w:rPr>
              <w:t>；</w:t>
            </w:r>
          </w:p>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2.</w:t>
            </w:r>
            <w:r>
              <w:rPr>
                <w:rFonts w:hint="eastAsia" w:ascii="Times New Roman" w:hAnsi="Times New Roman" w:eastAsia="仿宋_GB2312"/>
                <w:kern w:val="0"/>
                <w:szCs w:val="21"/>
              </w:rPr>
              <w:t>初次违法</w:t>
            </w:r>
            <w:r>
              <w:rPr>
                <w:rFonts w:hint="eastAsia" w:ascii="Times New Roman" w:hAnsi="Times New Roman" w:eastAsia="仿宋_GB2312"/>
                <w:kern w:val="0"/>
                <w:szCs w:val="21"/>
                <w:lang w:eastAsia="zh-CN"/>
              </w:rPr>
              <w:t>；</w:t>
            </w:r>
          </w:p>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3.</w:t>
            </w:r>
            <w:r>
              <w:rPr>
                <w:rFonts w:hint="eastAsia" w:ascii="Times New Roman" w:hAnsi="Times New Roman" w:eastAsia="仿宋_GB2312"/>
                <w:kern w:val="0"/>
                <w:szCs w:val="21"/>
              </w:rPr>
              <w:t>无危害后果或造成危害后果轻微</w:t>
            </w:r>
            <w:r>
              <w:rPr>
                <w:rFonts w:hint="eastAsia" w:ascii="Times New Roman" w:hAnsi="Times New Roman" w:eastAsia="仿宋_GB2312"/>
                <w:kern w:val="0"/>
                <w:szCs w:val="21"/>
                <w:lang w:eastAsia="zh-CN"/>
              </w:rPr>
              <w:t>；</w:t>
            </w:r>
          </w:p>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4.</w:t>
            </w:r>
            <w:r>
              <w:rPr>
                <w:rFonts w:hint="eastAsia" w:ascii="Times New Roman" w:hAnsi="Times New Roman" w:eastAsia="仿宋_GB2312"/>
                <w:kern w:val="0"/>
                <w:szCs w:val="21"/>
              </w:rPr>
              <w:t>及时改正</w:t>
            </w:r>
            <w:r>
              <w:rPr>
                <w:rFonts w:hint="eastAsia" w:ascii="Times New Roman" w:hAnsi="Times New Roman" w:eastAsia="仿宋_GB2312"/>
                <w:kern w:val="0"/>
                <w:szCs w:val="21"/>
                <w:lang w:eastAsia="zh-CN"/>
              </w:rPr>
              <w:t>。</w:t>
            </w:r>
          </w:p>
        </w:tc>
      </w:tr>
      <w:tr>
        <w:tblPrEx>
          <w:tblLayout w:type="fixed"/>
          <w:tblCellMar>
            <w:top w:w="0" w:type="dxa"/>
            <w:left w:w="108" w:type="dxa"/>
            <w:bottom w:w="0" w:type="dxa"/>
            <w:right w:w="108" w:type="dxa"/>
          </w:tblCellMar>
        </w:tblPrEx>
        <w:trPr>
          <w:trHeight w:val="2422" w:hRule="atLeast"/>
          <w:jc w:val="center"/>
        </w:trPr>
        <w:tc>
          <w:tcPr>
            <w:tcW w:w="886"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Times New Roman" w:hAnsi="Times New Roman"/>
                <w:kern w:val="0"/>
                <w:szCs w:val="21"/>
              </w:rPr>
            </w:pPr>
            <w:r>
              <w:rPr>
                <w:rFonts w:ascii="Times New Roman" w:hAnsi="Times New Roman"/>
                <w:kern w:val="0"/>
                <w:szCs w:val="21"/>
              </w:rPr>
              <w:t>13</w:t>
            </w:r>
          </w:p>
        </w:tc>
        <w:tc>
          <w:tcPr>
            <w:tcW w:w="234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textAlignment w:val="center"/>
              <w:rPr>
                <w:rFonts w:ascii="Times New Roman" w:hAnsi="Times New Roman" w:eastAsia="仿宋_GB2312"/>
                <w:kern w:val="0"/>
                <w:szCs w:val="21"/>
              </w:rPr>
            </w:pPr>
            <w:r>
              <w:rPr>
                <w:rFonts w:hint="eastAsia" w:ascii="Times New Roman" w:hAnsi="Times New Roman" w:eastAsia="仿宋_GB2312"/>
                <w:kern w:val="0"/>
                <w:szCs w:val="21"/>
              </w:rPr>
              <w:t>动物、动物产品的运载工具在装载前和卸载后未按照规定及时清洗、消毒的行政处罚</w:t>
            </w:r>
          </w:p>
        </w:tc>
        <w:tc>
          <w:tcPr>
            <w:tcW w:w="535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300" w:lineRule="exact"/>
              <w:ind w:firstLine="420" w:firstLineChars="200"/>
              <w:textAlignment w:val="center"/>
              <w:rPr>
                <w:rFonts w:ascii="Times New Roman" w:hAnsi="Times New Roman" w:eastAsia="仿宋_GB2312"/>
                <w:kern w:val="0"/>
                <w:szCs w:val="21"/>
              </w:rPr>
            </w:pPr>
            <w:r>
              <w:rPr>
                <w:rFonts w:hint="eastAsia" w:ascii="Times New Roman" w:hAnsi="Times New Roman" w:eastAsia="仿宋_GB2312"/>
                <w:kern w:val="0"/>
                <w:szCs w:val="21"/>
              </w:rPr>
              <w:t>《中华人民共和国动物防疫法》第五十二条第四款</w:t>
            </w:r>
            <w:r>
              <w:rPr>
                <w:rFonts w:hint="eastAsia" w:ascii="Times New Roman" w:hAnsi="Times New Roman" w:eastAsia="仿宋_GB2312"/>
                <w:kern w:val="0"/>
                <w:szCs w:val="21"/>
                <w:lang w:val="en-US" w:eastAsia="zh-CN"/>
              </w:rPr>
              <w:t xml:space="preserve"> </w:t>
            </w:r>
            <w:r>
              <w:rPr>
                <w:rFonts w:hint="eastAsia" w:ascii="Times New Roman" w:hAnsi="Times New Roman" w:eastAsia="仿宋_GB2312"/>
                <w:kern w:val="0"/>
                <w:szCs w:val="21"/>
              </w:rPr>
              <w:t>运载工具在装载前和卸载后应当及时清洗、消毒。</w:t>
            </w:r>
          </w:p>
        </w:tc>
        <w:tc>
          <w:tcPr>
            <w:tcW w:w="491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300" w:lineRule="exact"/>
              <w:ind w:firstLine="420" w:firstLineChars="200"/>
              <w:textAlignment w:val="center"/>
              <w:rPr>
                <w:rFonts w:ascii="Times New Roman" w:hAnsi="Times New Roman" w:eastAsia="仿宋_GB2312"/>
                <w:kern w:val="0"/>
                <w:szCs w:val="21"/>
              </w:rPr>
            </w:pPr>
            <w:r>
              <w:rPr>
                <w:rFonts w:hint="eastAsia" w:ascii="Times New Roman" w:hAnsi="Times New Roman" w:eastAsia="仿宋_GB2312"/>
                <w:kern w:val="0"/>
                <w:szCs w:val="21"/>
              </w:rPr>
              <w:t>《中华人民共和国动物防疫法》第九十二条第四项</w:t>
            </w:r>
            <w:r>
              <w:rPr>
                <w:rFonts w:hint="eastAsia" w:ascii="Times New Roman" w:hAnsi="Times New Roman" w:eastAsia="仿宋_GB2312"/>
                <w:kern w:val="0"/>
                <w:szCs w:val="21"/>
                <w:lang w:val="en-US" w:eastAsia="zh-CN"/>
              </w:rPr>
              <w:t xml:space="preserve"> </w:t>
            </w:r>
            <w:r>
              <w:rPr>
                <w:rFonts w:hint="eastAsia" w:ascii="Times New Roman" w:hAnsi="Times New Roman" w:eastAsia="仿宋_GB2312"/>
                <w:kern w:val="0"/>
                <w:szCs w:val="21"/>
              </w:rPr>
              <w:t>违反本法规定，动物、动物产品的运载工具在装载前和卸载后未按照规定及时清洗、消毒的；由县级以上地方人民政府农业农村主管部门责令限期改正，可以处一千元以下罚款</w:t>
            </w:r>
          </w:p>
        </w:tc>
        <w:tc>
          <w:tcPr>
            <w:tcW w:w="189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1.</w:t>
            </w:r>
            <w:r>
              <w:rPr>
                <w:rFonts w:hint="eastAsia" w:ascii="Times New Roman" w:hAnsi="Times New Roman" w:eastAsia="仿宋_GB2312"/>
                <w:kern w:val="0"/>
                <w:szCs w:val="21"/>
              </w:rPr>
              <w:t>未发现动物染疫、疑似染疫</w:t>
            </w:r>
            <w:r>
              <w:rPr>
                <w:rFonts w:hint="eastAsia" w:ascii="Times New Roman" w:hAnsi="Times New Roman" w:eastAsia="仿宋_GB2312"/>
                <w:kern w:val="0"/>
                <w:szCs w:val="21"/>
                <w:lang w:eastAsia="zh-CN"/>
              </w:rPr>
              <w:t>的；</w:t>
            </w:r>
          </w:p>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2.</w:t>
            </w:r>
            <w:r>
              <w:rPr>
                <w:rFonts w:hint="eastAsia" w:ascii="Times New Roman" w:hAnsi="Times New Roman" w:eastAsia="仿宋_GB2312"/>
                <w:kern w:val="0"/>
                <w:szCs w:val="21"/>
              </w:rPr>
              <w:t>初次违法</w:t>
            </w:r>
            <w:r>
              <w:rPr>
                <w:rFonts w:hint="eastAsia" w:ascii="Times New Roman" w:hAnsi="Times New Roman" w:eastAsia="仿宋_GB2312"/>
                <w:kern w:val="0"/>
                <w:szCs w:val="21"/>
                <w:lang w:eastAsia="zh-CN"/>
              </w:rPr>
              <w:t>；</w:t>
            </w:r>
          </w:p>
          <w:p>
            <w:pPr>
              <w:widowControl/>
              <w:spacing w:line="300" w:lineRule="exact"/>
              <w:jc w:val="left"/>
              <w:textAlignment w:val="center"/>
              <w:rPr>
                <w:rFonts w:hint="eastAsia" w:ascii="Times New Roman" w:hAnsi="Times New Roman" w:eastAsia="仿宋_GB2312"/>
                <w:kern w:val="0"/>
                <w:szCs w:val="21"/>
                <w:lang w:eastAsia="zh-CN"/>
              </w:rPr>
            </w:pPr>
            <w:r>
              <w:rPr>
                <w:rFonts w:hint="eastAsia" w:ascii="Times New Roman" w:hAnsi="Times New Roman" w:eastAsia="仿宋_GB2312"/>
                <w:kern w:val="0"/>
                <w:szCs w:val="21"/>
                <w:lang w:val="en-US" w:eastAsia="zh-CN"/>
              </w:rPr>
              <w:t>3</w:t>
            </w:r>
            <w:r>
              <w:rPr>
                <w:rFonts w:ascii="Times New Roman" w:hAnsi="Times New Roman" w:eastAsia="仿宋_GB2312"/>
                <w:kern w:val="0"/>
                <w:szCs w:val="21"/>
              </w:rPr>
              <w:t>.</w:t>
            </w:r>
            <w:r>
              <w:rPr>
                <w:rFonts w:hint="eastAsia" w:ascii="Times New Roman" w:hAnsi="Times New Roman" w:eastAsia="仿宋_GB2312"/>
                <w:kern w:val="0"/>
                <w:szCs w:val="21"/>
              </w:rPr>
              <w:t>危害后果轻微</w:t>
            </w:r>
            <w:r>
              <w:rPr>
                <w:rFonts w:hint="eastAsia" w:ascii="Times New Roman" w:hAnsi="Times New Roman" w:eastAsia="仿宋_GB2312"/>
                <w:kern w:val="0"/>
                <w:szCs w:val="21"/>
                <w:lang w:eastAsia="zh-CN"/>
              </w:rPr>
              <w:t>；</w:t>
            </w:r>
          </w:p>
          <w:p>
            <w:pPr>
              <w:widowControl/>
              <w:spacing w:line="300" w:lineRule="exact"/>
              <w:jc w:val="left"/>
              <w:textAlignment w:val="center"/>
              <w:rPr>
                <w:rFonts w:hint="eastAsia" w:ascii="Times New Roman" w:hAnsi="Times New Roman" w:eastAsia="仿宋_GB2312"/>
                <w:kern w:val="0"/>
                <w:szCs w:val="21"/>
                <w:lang w:eastAsia="zh-CN"/>
              </w:rPr>
            </w:pPr>
            <w:r>
              <w:rPr>
                <w:rFonts w:hint="eastAsia" w:ascii="Times New Roman" w:hAnsi="Times New Roman" w:eastAsia="仿宋_GB2312"/>
                <w:kern w:val="0"/>
                <w:szCs w:val="21"/>
                <w:lang w:val="en-US" w:eastAsia="zh-CN"/>
              </w:rPr>
              <w:t>4</w:t>
            </w:r>
            <w:r>
              <w:rPr>
                <w:rFonts w:ascii="Times New Roman" w:hAnsi="Times New Roman" w:eastAsia="仿宋_GB2312"/>
                <w:kern w:val="0"/>
                <w:szCs w:val="21"/>
              </w:rPr>
              <w:t>.</w:t>
            </w:r>
            <w:r>
              <w:rPr>
                <w:rFonts w:hint="eastAsia" w:ascii="Times New Roman" w:hAnsi="Times New Roman" w:eastAsia="仿宋_GB2312"/>
                <w:kern w:val="0"/>
                <w:szCs w:val="21"/>
              </w:rPr>
              <w:t>及时改正</w:t>
            </w:r>
            <w:r>
              <w:rPr>
                <w:rFonts w:hint="eastAsia" w:ascii="Times New Roman" w:hAnsi="Times New Roman" w:eastAsia="仿宋_GB2312"/>
                <w:kern w:val="0"/>
                <w:szCs w:val="21"/>
                <w:lang w:eastAsia="zh-CN"/>
              </w:rPr>
              <w:t>。</w:t>
            </w:r>
          </w:p>
        </w:tc>
      </w:tr>
      <w:tr>
        <w:tblPrEx>
          <w:tblLayout w:type="fixed"/>
          <w:tblCellMar>
            <w:top w:w="0" w:type="dxa"/>
            <w:left w:w="108" w:type="dxa"/>
            <w:bottom w:w="0" w:type="dxa"/>
            <w:right w:w="108" w:type="dxa"/>
          </w:tblCellMar>
        </w:tblPrEx>
        <w:trPr>
          <w:trHeight w:val="2422" w:hRule="atLeast"/>
          <w:jc w:val="center"/>
        </w:trPr>
        <w:tc>
          <w:tcPr>
            <w:tcW w:w="886"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Times New Roman" w:hAnsi="Times New Roman"/>
                <w:kern w:val="0"/>
                <w:szCs w:val="21"/>
              </w:rPr>
            </w:pPr>
            <w:r>
              <w:rPr>
                <w:rFonts w:ascii="Times New Roman" w:hAnsi="Times New Roman"/>
                <w:kern w:val="0"/>
                <w:szCs w:val="21"/>
              </w:rPr>
              <w:t>14</w:t>
            </w:r>
          </w:p>
        </w:tc>
        <w:tc>
          <w:tcPr>
            <w:tcW w:w="234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textAlignment w:val="center"/>
              <w:rPr>
                <w:rFonts w:ascii="Times New Roman" w:hAnsi="Times New Roman" w:eastAsia="仿宋_GB2312"/>
                <w:kern w:val="0"/>
                <w:szCs w:val="21"/>
              </w:rPr>
            </w:pPr>
            <w:r>
              <w:rPr>
                <w:rFonts w:hint="eastAsia" w:ascii="Times New Roman" w:hAnsi="Times New Roman" w:eastAsia="仿宋_GB2312"/>
                <w:kern w:val="0"/>
                <w:szCs w:val="21"/>
              </w:rPr>
              <w:t>用于科研、展示、演出和比赛等非食用性利用的动物未附有检疫证明的行政处罚</w:t>
            </w:r>
          </w:p>
        </w:tc>
        <w:tc>
          <w:tcPr>
            <w:tcW w:w="535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300" w:lineRule="exact"/>
              <w:ind w:firstLine="420" w:firstLineChars="200"/>
              <w:textAlignment w:val="center"/>
              <w:rPr>
                <w:rFonts w:ascii="Times New Roman" w:hAnsi="Times New Roman" w:eastAsia="仿宋_GB2312"/>
                <w:kern w:val="0"/>
                <w:szCs w:val="21"/>
              </w:rPr>
            </w:pPr>
            <w:r>
              <w:rPr>
                <w:rFonts w:hint="eastAsia" w:ascii="Times New Roman" w:hAnsi="Times New Roman" w:eastAsia="仿宋_GB2312"/>
                <w:kern w:val="0"/>
                <w:szCs w:val="21"/>
              </w:rPr>
              <w:t>《中华人民共和国动物防疫法》第五十一条</w:t>
            </w:r>
            <w:r>
              <w:rPr>
                <w:rFonts w:hint="eastAsia" w:ascii="Times New Roman" w:hAnsi="Times New Roman" w:eastAsia="仿宋_GB2312"/>
                <w:kern w:val="0"/>
                <w:szCs w:val="21"/>
                <w:lang w:val="en-US" w:eastAsia="zh-CN"/>
              </w:rPr>
              <w:t xml:space="preserve"> </w:t>
            </w:r>
            <w:r>
              <w:rPr>
                <w:rFonts w:hint="eastAsia" w:ascii="Times New Roman" w:hAnsi="Times New Roman" w:eastAsia="仿宋_GB2312"/>
                <w:kern w:val="0"/>
                <w:szCs w:val="21"/>
              </w:rPr>
              <w:t>屠宰、经营、运输的动物，以及用于科研、展示、演出和比赛等非食用性利用的动物，应当附有检疫证明；经营和运输的动物产品，应当附有检疫证明、检疫标志。</w:t>
            </w:r>
          </w:p>
        </w:tc>
        <w:tc>
          <w:tcPr>
            <w:tcW w:w="491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300" w:lineRule="exact"/>
              <w:ind w:firstLine="420" w:firstLineChars="200"/>
              <w:textAlignment w:val="center"/>
              <w:rPr>
                <w:rFonts w:ascii="Times New Roman" w:hAnsi="Times New Roman" w:eastAsia="仿宋_GB2312"/>
                <w:kern w:val="0"/>
                <w:szCs w:val="21"/>
              </w:rPr>
            </w:pPr>
            <w:r>
              <w:rPr>
                <w:rFonts w:hint="eastAsia" w:ascii="Times New Roman" w:hAnsi="Times New Roman" w:eastAsia="仿宋_GB2312"/>
                <w:kern w:val="0"/>
                <w:szCs w:val="21"/>
              </w:rPr>
              <w:t>《中华人民共和国动物防疫法》第一百条第二款</w:t>
            </w:r>
            <w:r>
              <w:rPr>
                <w:rFonts w:hint="eastAsia" w:ascii="Times New Roman" w:hAnsi="Times New Roman" w:eastAsia="仿宋_GB2312"/>
                <w:kern w:val="0"/>
                <w:szCs w:val="21"/>
                <w:lang w:val="en-US" w:eastAsia="zh-CN"/>
              </w:rPr>
              <w:t xml:space="preserve"> </w:t>
            </w:r>
            <w:r>
              <w:rPr>
                <w:rFonts w:hint="eastAsia" w:ascii="Times New Roman" w:hAnsi="Times New Roman" w:eastAsia="仿宋_GB2312"/>
                <w:kern w:val="0"/>
                <w:szCs w:val="21"/>
              </w:rPr>
              <w:t>违反本法规定，用于科研、展示、演出和比赛等非食用性利用的动物未附有检疫证明的，由县级以上地方人民政府农业农村主管部门责令改正，处三千元以上一万元以下罚款。</w:t>
            </w:r>
          </w:p>
        </w:tc>
        <w:tc>
          <w:tcPr>
            <w:tcW w:w="189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1.</w:t>
            </w:r>
            <w:r>
              <w:rPr>
                <w:rFonts w:hint="eastAsia" w:ascii="Times New Roman" w:hAnsi="Times New Roman" w:eastAsia="仿宋_GB2312"/>
                <w:kern w:val="0"/>
                <w:szCs w:val="21"/>
              </w:rPr>
              <w:t>初次违法</w:t>
            </w:r>
            <w:r>
              <w:rPr>
                <w:rFonts w:hint="eastAsia" w:ascii="Times New Roman" w:hAnsi="Times New Roman" w:eastAsia="仿宋_GB2312"/>
                <w:kern w:val="0"/>
                <w:szCs w:val="21"/>
                <w:lang w:eastAsia="zh-CN"/>
              </w:rPr>
              <w:t>；</w:t>
            </w:r>
          </w:p>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2.</w:t>
            </w:r>
            <w:r>
              <w:rPr>
                <w:rFonts w:hint="eastAsia" w:ascii="Times New Roman" w:hAnsi="Times New Roman" w:eastAsia="仿宋_GB2312"/>
                <w:kern w:val="0"/>
                <w:szCs w:val="21"/>
              </w:rPr>
              <w:t>无危害后果或造成危害后果轻微</w:t>
            </w:r>
            <w:r>
              <w:rPr>
                <w:rFonts w:hint="eastAsia" w:ascii="Times New Roman" w:hAnsi="Times New Roman" w:eastAsia="仿宋_GB2312"/>
                <w:kern w:val="0"/>
                <w:szCs w:val="21"/>
                <w:lang w:eastAsia="zh-CN"/>
              </w:rPr>
              <w:t>；</w:t>
            </w:r>
          </w:p>
          <w:p>
            <w:pPr>
              <w:widowControl/>
              <w:spacing w:line="300" w:lineRule="exact"/>
              <w:jc w:val="left"/>
              <w:textAlignment w:val="center"/>
              <w:rPr>
                <w:rFonts w:hint="eastAsia" w:ascii="Times New Roman" w:hAnsi="Times New Roman" w:eastAsia="仿宋_GB2312"/>
                <w:kern w:val="0"/>
                <w:szCs w:val="21"/>
                <w:lang w:eastAsia="zh-CN"/>
              </w:rPr>
            </w:pPr>
            <w:r>
              <w:rPr>
                <w:rFonts w:ascii="Times New Roman" w:hAnsi="Times New Roman" w:eastAsia="仿宋_GB2312"/>
                <w:kern w:val="0"/>
                <w:szCs w:val="21"/>
              </w:rPr>
              <w:t>3.</w:t>
            </w:r>
            <w:r>
              <w:rPr>
                <w:rFonts w:hint="eastAsia" w:ascii="Times New Roman" w:hAnsi="Times New Roman" w:eastAsia="仿宋_GB2312"/>
                <w:kern w:val="0"/>
                <w:szCs w:val="21"/>
              </w:rPr>
              <w:t>及时改正</w:t>
            </w:r>
            <w:r>
              <w:rPr>
                <w:rFonts w:hint="eastAsia" w:ascii="Times New Roman" w:hAnsi="Times New Roman" w:eastAsia="仿宋_GB2312"/>
                <w:kern w:val="0"/>
                <w:szCs w:val="21"/>
                <w:lang w:eastAsia="zh-CN"/>
              </w:rPr>
              <w:t>。</w:t>
            </w:r>
          </w:p>
        </w:tc>
      </w:tr>
    </w:tbl>
    <w:p>
      <w:pPr>
        <w:spacing w:line="600" w:lineRule="atLeast"/>
        <w:rPr>
          <w:rFonts w:ascii="Times New Roman" w:hAnsi="Times New Roman"/>
          <w:w w:val="90"/>
          <w:shd w:val="clear" w:color="auto" w:fill="FFFFFF"/>
        </w:rPr>
        <w:sectPr>
          <w:footerReference r:id="rId3" w:type="default"/>
          <w:pgSz w:w="16838" w:h="11906" w:orient="landscape"/>
          <w:pgMar w:top="1800" w:right="1440" w:bottom="1800" w:left="1440" w:header="851" w:footer="992" w:gutter="0"/>
          <w:pgNumType w:fmt="numberInDash"/>
          <w:cols w:space="720" w:num="1"/>
          <w:docGrid w:type="lines" w:linePitch="312" w:charSpace="0"/>
        </w:sectPr>
      </w:pPr>
    </w:p>
    <w:p>
      <w:pPr>
        <w:spacing w:line="600" w:lineRule="exact"/>
        <w:rPr>
          <w:rFonts w:hint="eastAsia" w:ascii="Times New Roman" w:hAnsi="Times New Roman" w:eastAsia="黑体"/>
          <w:sz w:val="32"/>
          <w:szCs w:val="32"/>
        </w:rPr>
      </w:pPr>
      <w:r>
        <w:rPr>
          <w:rFonts w:hint="eastAsia" w:ascii="Times New Roman" w:hAnsi="Times New Roman" w:eastAsia="黑体"/>
          <w:sz w:val="32"/>
          <w:szCs w:val="32"/>
        </w:rPr>
        <w:t>附件2</w:t>
      </w:r>
    </w:p>
    <w:p>
      <w:pPr>
        <w:spacing w:before="78" w:beforeLines="25" w:after="78" w:afterLines="25" w:line="500" w:lineRule="exact"/>
        <w:jc w:val="center"/>
        <w:rPr>
          <w:rFonts w:eastAsia="方正小标宋简体"/>
          <w:color w:val="000000"/>
          <w:sz w:val="36"/>
          <w:szCs w:val="36"/>
        </w:rPr>
      </w:pPr>
    </w:p>
    <w:p>
      <w:pPr>
        <w:spacing w:before="78" w:beforeLines="25" w:after="78" w:afterLines="25" w:line="500" w:lineRule="exact"/>
        <w:jc w:val="center"/>
        <w:rPr>
          <w:rFonts w:eastAsia="方正小标宋简体"/>
          <w:color w:val="000000"/>
          <w:sz w:val="36"/>
          <w:szCs w:val="36"/>
        </w:rPr>
      </w:pPr>
      <w:r>
        <w:rPr>
          <w:rFonts w:hint="eastAsia" w:eastAsia="方正小标宋简体"/>
          <w:color w:val="000000"/>
          <w:sz w:val="36"/>
          <w:szCs w:val="36"/>
        </w:rPr>
        <w:t>甘肃省农业农村领域首次轻微违法行为告知承诺书</w:t>
      </w:r>
    </w:p>
    <w:tbl>
      <w:tblPr>
        <w:tblStyle w:val="6"/>
        <w:tblW w:w="9014"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57" w:type="dxa"/>
          <w:bottom w:w="57" w:type="dxa"/>
          <w:right w:w="57" w:type="dxa"/>
        </w:tblCellMar>
      </w:tblPr>
      <w:tblGrid>
        <w:gridCol w:w="856"/>
        <w:gridCol w:w="1739"/>
        <w:gridCol w:w="1896"/>
        <w:gridCol w:w="2177"/>
        <w:gridCol w:w="23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57" w:type="dxa"/>
            <w:bottom w:w="57" w:type="dxa"/>
            <w:right w:w="57" w:type="dxa"/>
          </w:tblCellMar>
        </w:tblPrEx>
        <w:trPr>
          <w:trHeight w:val="90" w:hRule="atLeast"/>
          <w:jc w:val="center"/>
        </w:trPr>
        <w:tc>
          <w:tcPr>
            <w:tcW w:w="856" w:type="dxa"/>
            <w:vMerge w:val="restart"/>
            <w:vAlign w:val="center"/>
          </w:tcPr>
          <w:p>
            <w:pPr>
              <w:spacing w:line="440" w:lineRule="exact"/>
              <w:jc w:val="center"/>
              <w:rPr>
                <w:rFonts w:hint="eastAsia" w:ascii="黑体" w:hAnsi="黑体" w:eastAsia="黑体" w:cs="黑体"/>
                <w:color w:val="000000"/>
                <w:sz w:val="24"/>
              </w:rPr>
            </w:pPr>
            <w:r>
              <w:rPr>
                <w:rFonts w:hint="eastAsia" w:ascii="黑体" w:hAnsi="黑体" w:eastAsia="黑体" w:cs="黑体"/>
                <w:color w:val="000000"/>
                <w:sz w:val="24"/>
              </w:rPr>
              <w:t>当事人情况</w:t>
            </w:r>
          </w:p>
        </w:tc>
        <w:tc>
          <w:tcPr>
            <w:tcW w:w="1739" w:type="dxa"/>
            <w:vAlign w:val="center"/>
          </w:tcPr>
          <w:p>
            <w:pPr>
              <w:spacing w:line="340" w:lineRule="exact"/>
              <w:jc w:val="center"/>
              <w:rPr>
                <w:rFonts w:hint="eastAsia" w:ascii="黑体" w:hAnsi="黑体" w:eastAsia="黑体" w:cs="黑体"/>
                <w:color w:val="000000"/>
                <w:sz w:val="24"/>
              </w:rPr>
            </w:pPr>
            <w:r>
              <w:rPr>
                <w:rFonts w:hint="eastAsia" w:ascii="黑体" w:hAnsi="黑体" w:eastAsia="黑体" w:cs="黑体"/>
                <w:color w:val="000000"/>
                <w:sz w:val="24"/>
              </w:rPr>
              <w:t>姓名/单位名称</w:t>
            </w:r>
          </w:p>
        </w:tc>
        <w:tc>
          <w:tcPr>
            <w:tcW w:w="1896" w:type="dxa"/>
            <w:vAlign w:val="center"/>
          </w:tcPr>
          <w:p>
            <w:pPr>
              <w:spacing w:line="340" w:lineRule="exact"/>
              <w:jc w:val="center"/>
              <w:rPr>
                <w:rFonts w:hint="eastAsia" w:ascii="黑体" w:hAnsi="黑体" w:eastAsia="黑体" w:cs="黑体"/>
                <w:color w:val="000000"/>
                <w:sz w:val="24"/>
              </w:rPr>
            </w:pPr>
          </w:p>
        </w:tc>
        <w:tc>
          <w:tcPr>
            <w:tcW w:w="2177" w:type="dxa"/>
            <w:vAlign w:val="center"/>
          </w:tcPr>
          <w:p>
            <w:pPr>
              <w:spacing w:line="340" w:lineRule="exact"/>
              <w:jc w:val="center"/>
              <w:rPr>
                <w:rFonts w:hint="eastAsia" w:ascii="黑体" w:hAnsi="黑体" w:eastAsia="黑体" w:cs="黑体"/>
                <w:color w:val="000000"/>
                <w:sz w:val="24"/>
              </w:rPr>
            </w:pPr>
            <w:r>
              <w:rPr>
                <w:rFonts w:hint="eastAsia" w:ascii="黑体" w:hAnsi="黑体" w:eastAsia="黑体" w:cs="黑体"/>
                <w:color w:val="000000"/>
                <w:sz w:val="24"/>
              </w:rPr>
              <w:t>身份证号码</w:t>
            </w:r>
          </w:p>
          <w:p>
            <w:pPr>
              <w:spacing w:line="340" w:lineRule="exact"/>
              <w:jc w:val="center"/>
              <w:rPr>
                <w:rFonts w:hint="eastAsia" w:ascii="黑体" w:hAnsi="黑体" w:eastAsia="黑体" w:cs="黑体"/>
                <w:color w:val="000000"/>
                <w:sz w:val="24"/>
              </w:rPr>
            </w:pPr>
            <w:r>
              <w:rPr>
                <w:rFonts w:hint="eastAsia" w:ascii="黑体" w:hAnsi="黑体" w:eastAsia="黑体" w:cs="黑体"/>
                <w:color w:val="000000"/>
                <w:sz w:val="24"/>
              </w:rPr>
              <w:t>统一社会信用代码</w:t>
            </w:r>
          </w:p>
        </w:tc>
        <w:tc>
          <w:tcPr>
            <w:tcW w:w="2346" w:type="dxa"/>
            <w:vAlign w:val="top"/>
          </w:tcPr>
          <w:p>
            <w:pPr>
              <w:spacing w:line="340" w:lineRule="exact"/>
              <w:ind w:left="192"/>
              <w:jc w:val="center"/>
              <w:rPr>
                <w:rFonts w:eastAsia="仿宋"/>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57" w:type="dxa"/>
            <w:bottom w:w="57" w:type="dxa"/>
            <w:right w:w="57" w:type="dxa"/>
          </w:tblCellMar>
        </w:tblPrEx>
        <w:trPr>
          <w:trHeight w:val="695" w:hRule="atLeast"/>
          <w:jc w:val="center"/>
        </w:trPr>
        <w:tc>
          <w:tcPr>
            <w:tcW w:w="856" w:type="dxa"/>
            <w:vMerge w:val="continue"/>
            <w:vAlign w:val="top"/>
          </w:tcPr>
          <w:p>
            <w:pPr>
              <w:spacing w:line="440" w:lineRule="exact"/>
              <w:jc w:val="center"/>
              <w:rPr>
                <w:rFonts w:hint="eastAsia" w:ascii="黑体" w:hAnsi="黑体" w:eastAsia="黑体" w:cs="黑体"/>
                <w:color w:val="000000"/>
                <w:sz w:val="24"/>
              </w:rPr>
            </w:pPr>
          </w:p>
        </w:tc>
        <w:tc>
          <w:tcPr>
            <w:tcW w:w="1739" w:type="dxa"/>
            <w:vAlign w:val="center"/>
          </w:tcPr>
          <w:p>
            <w:pPr>
              <w:spacing w:line="440" w:lineRule="exact"/>
              <w:jc w:val="center"/>
              <w:rPr>
                <w:rFonts w:hint="eastAsia" w:ascii="黑体" w:hAnsi="黑体" w:eastAsia="黑体" w:cs="黑体"/>
                <w:color w:val="000000"/>
                <w:sz w:val="24"/>
              </w:rPr>
            </w:pPr>
            <w:r>
              <w:rPr>
                <w:rFonts w:hint="eastAsia" w:ascii="黑体" w:hAnsi="黑体" w:eastAsia="黑体" w:cs="黑体"/>
                <w:color w:val="000000"/>
                <w:sz w:val="24"/>
              </w:rPr>
              <w:t>地址</w:t>
            </w:r>
          </w:p>
        </w:tc>
        <w:tc>
          <w:tcPr>
            <w:tcW w:w="1896" w:type="dxa"/>
            <w:vAlign w:val="center"/>
          </w:tcPr>
          <w:p>
            <w:pPr>
              <w:spacing w:line="440" w:lineRule="exact"/>
              <w:jc w:val="center"/>
              <w:rPr>
                <w:rFonts w:hint="eastAsia" w:ascii="黑体" w:hAnsi="黑体" w:eastAsia="黑体" w:cs="黑体"/>
                <w:color w:val="000000"/>
                <w:sz w:val="24"/>
              </w:rPr>
            </w:pPr>
          </w:p>
        </w:tc>
        <w:tc>
          <w:tcPr>
            <w:tcW w:w="2177" w:type="dxa"/>
            <w:vAlign w:val="center"/>
          </w:tcPr>
          <w:p>
            <w:pPr>
              <w:spacing w:line="440" w:lineRule="exact"/>
              <w:jc w:val="center"/>
              <w:rPr>
                <w:rFonts w:hint="eastAsia" w:ascii="黑体" w:hAnsi="黑体" w:eastAsia="黑体" w:cs="黑体"/>
                <w:color w:val="000000"/>
                <w:sz w:val="24"/>
              </w:rPr>
            </w:pPr>
            <w:r>
              <w:rPr>
                <w:rFonts w:hint="eastAsia" w:ascii="黑体" w:hAnsi="黑体" w:eastAsia="黑体" w:cs="黑体"/>
                <w:color w:val="000000"/>
                <w:sz w:val="24"/>
              </w:rPr>
              <w:t>联系电话</w:t>
            </w:r>
          </w:p>
        </w:tc>
        <w:tc>
          <w:tcPr>
            <w:tcW w:w="2346" w:type="dxa"/>
            <w:vAlign w:val="top"/>
          </w:tcPr>
          <w:p>
            <w:pPr>
              <w:spacing w:line="440" w:lineRule="exact"/>
              <w:jc w:val="center"/>
              <w:rPr>
                <w:rFonts w:eastAsia="仿宋"/>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57" w:type="dxa"/>
            <w:bottom w:w="57" w:type="dxa"/>
            <w:right w:w="57" w:type="dxa"/>
          </w:tblCellMar>
        </w:tblPrEx>
        <w:trPr>
          <w:trHeight w:val="90" w:hRule="atLeast"/>
          <w:jc w:val="center"/>
        </w:trPr>
        <w:tc>
          <w:tcPr>
            <w:tcW w:w="856" w:type="dxa"/>
            <w:vAlign w:val="center"/>
          </w:tcPr>
          <w:p>
            <w:pPr>
              <w:spacing w:line="440" w:lineRule="exact"/>
              <w:jc w:val="center"/>
              <w:rPr>
                <w:rFonts w:hint="eastAsia" w:ascii="黑体" w:hAnsi="黑体" w:eastAsia="黑体" w:cs="黑体"/>
                <w:color w:val="000000"/>
                <w:sz w:val="24"/>
              </w:rPr>
            </w:pPr>
            <w:r>
              <w:rPr>
                <w:rFonts w:hint="eastAsia" w:ascii="黑体" w:hAnsi="黑体" w:eastAsia="黑体" w:cs="黑体"/>
                <w:color w:val="000000"/>
                <w:sz w:val="24"/>
              </w:rPr>
              <w:t>违法</w:t>
            </w:r>
          </w:p>
          <w:p>
            <w:pPr>
              <w:spacing w:line="440" w:lineRule="exact"/>
              <w:jc w:val="center"/>
              <w:rPr>
                <w:rFonts w:hint="eastAsia" w:ascii="黑体" w:hAnsi="黑体" w:eastAsia="黑体" w:cs="黑体"/>
                <w:color w:val="000000"/>
                <w:sz w:val="24"/>
              </w:rPr>
            </w:pPr>
            <w:r>
              <w:rPr>
                <w:rFonts w:hint="eastAsia" w:ascii="黑体" w:hAnsi="黑体" w:eastAsia="黑体" w:cs="黑体"/>
                <w:color w:val="000000"/>
                <w:sz w:val="24"/>
              </w:rPr>
              <w:t>行为</w:t>
            </w:r>
          </w:p>
          <w:p>
            <w:pPr>
              <w:spacing w:line="440" w:lineRule="exact"/>
              <w:jc w:val="center"/>
              <w:rPr>
                <w:rFonts w:hint="eastAsia" w:ascii="黑体" w:hAnsi="黑体" w:eastAsia="黑体" w:cs="黑体"/>
                <w:color w:val="000000"/>
                <w:sz w:val="24"/>
              </w:rPr>
            </w:pPr>
            <w:r>
              <w:rPr>
                <w:rFonts w:hint="eastAsia" w:ascii="黑体" w:hAnsi="黑体" w:eastAsia="黑体" w:cs="黑体"/>
                <w:color w:val="000000"/>
                <w:sz w:val="24"/>
              </w:rPr>
              <w:t>告知</w:t>
            </w:r>
          </w:p>
        </w:tc>
        <w:tc>
          <w:tcPr>
            <w:tcW w:w="8158" w:type="dxa"/>
            <w:gridSpan w:val="4"/>
            <w:vAlign w:val="top"/>
          </w:tcPr>
          <w:p>
            <w:pPr>
              <w:pStyle w:val="2"/>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202X年X月X日，当事人存在XXX（违法行为的名称）违法行为。根据《XX》第X条第X款第（X）项之规定，已责令当事人( □立即 / □于202X年X月X日前 )按下列要求改正违法行为：</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仿宋_GB2312" w:cs="Times New Roman"/>
                <w:color w:val="000000"/>
                <w:sz w:val="24"/>
              </w:rPr>
            </w:pP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仿宋_GB2312" w:cs="Times New Roman"/>
                <w:color w:val="000000"/>
                <w:sz w:val="24"/>
              </w:rPr>
            </w:pP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经查，当事人属于首次违法，危害后果轻微并及时改正，没有造成不良社会影响，符合首次轻微违法行为免罚的适用条件。执法人员已向当事人宣传了相关法律法规规章的规定。</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（以下无正文）</w:t>
            </w:r>
          </w:p>
          <w:p>
            <w:pPr>
              <w:spacing w:line="440" w:lineRule="exact"/>
              <w:jc w:val="center"/>
              <w:rPr>
                <w:rFonts w:hint="default" w:ascii="Times New Roman" w:hAnsi="Times New Roman" w:eastAsia="仿宋_GB2312" w:cs="Times New Roman"/>
                <w:color w:val="000000"/>
                <w:sz w:val="24"/>
              </w:rPr>
            </w:pPr>
            <w:r>
              <w:rPr>
                <w:rFonts w:hint="eastAsia" w:ascii="Times New Roman" w:hAnsi="Times New Roman" w:eastAsia="仿宋_GB2312" w:cs="Times New Roman"/>
                <w:color w:val="000000"/>
                <w:sz w:val="24"/>
                <w:lang w:val="en-US" w:eastAsia="zh-CN"/>
              </w:rPr>
              <w:t xml:space="preserve">                   </w:t>
            </w:r>
            <w:r>
              <w:rPr>
                <w:rFonts w:hint="default" w:ascii="Times New Roman" w:hAnsi="Times New Roman" w:eastAsia="仿宋_GB2312" w:cs="Times New Roman"/>
                <w:color w:val="000000"/>
                <w:sz w:val="24"/>
              </w:rPr>
              <w:t>XXX农业农村局</w:t>
            </w:r>
          </w:p>
          <w:p>
            <w:pPr>
              <w:spacing w:line="440" w:lineRule="exact"/>
              <w:ind w:right="480"/>
              <w:jc w:val="center"/>
              <w:rPr>
                <w:rFonts w:hint="default" w:ascii="Times New Roman" w:hAnsi="Times New Roman" w:eastAsia="仿宋_GB2312" w:cs="Times New Roman"/>
              </w:rPr>
            </w:pPr>
            <w:r>
              <w:rPr>
                <w:rFonts w:hint="eastAsia" w:ascii="Times New Roman" w:hAnsi="Times New Roman" w:eastAsia="仿宋_GB2312" w:cs="Times New Roman"/>
                <w:color w:val="000000"/>
                <w:sz w:val="24"/>
                <w:lang w:val="en-US" w:eastAsia="zh-CN"/>
              </w:rPr>
              <w:t xml:space="preserve">                        </w:t>
            </w:r>
            <w:r>
              <w:rPr>
                <w:rFonts w:hint="default" w:ascii="Times New Roman" w:hAnsi="Times New Roman" w:eastAsia="仿宋_GB2312" w:cs="Times New Roman"/>
                <w:color w:val="000000"/>
                <w:sz w:val="24"/>
              </w:rPr>
              <w:t>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57" w:type="dxa"/>
            <w:bottom w:w="57" w:type="dxa"/>
            <w:right w:w="57" w:type="dxa"/>
          </w:tblCellMar>
        </w:tblPrEx>
        <w:trPr>
          <w:trHeight w:val="4652" w:hRule="atLeast"/>
          <w:jc w:val="center"/>
        </w:trPr>
        <w:tc>
          <w:tcPr>
            <w:tcW w:w="856" w:type="dxa"/>
            <w:vAlign w:val="center"/>
          </w:tcPr>
          <w:p>
            <w:pPr>
              <w:spacing w:line="440" w:lineRule="exact"/>
              <w:jc w:val="center"/>
              <w:rPr>
                <w:rFonts w:hint="eastAsia" w:ascii="黑体" w:hAnsi="黑体" w:eastAsia="黑体" w:cs="黑体"/>
                <w:color w:val="000000"/>
                <w:sz w:val="24"/>
              </w:rPr>
            </w:pPr>
            <w:r>
              <w:rPr>
                <w:rFonts w:hint="eastAsia" w:ascii="黑体" w:hAnsi="黑体" w:eastAsia="黑体" w:cs="黑体"/>
                <w:color w:val="000000"/>
                <w:sz w:val="24"/>
              </w:rPr>
              <w:t>当事人承诺</w:t>
            </w:r>
          </w:p>
        </w:tc>
        <w:tc>
          <w:tcPr>
            <w:tcW w:w="8158" w:type="dxa"/>
            <w:gridSpan w:val="4"/>
            <w:vAlign w:val="top"/>
          </w:tcPr>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本人（单位）对以上情况确认无误，并自愿承诺：</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sym w:font="Wingdings" w:char="00A8"/>
            </w:r>
            <w:r>
              <w:rPr>
                <w:rFonts w:hint="default" w:ascii="Times New Roman" w:hAnsi="Times New Roman" w:eastAsia="仿宋_GB2312" w:cs="Times New Roman"/>
                <w:color w:val="000000"/>
                <w:sz w:val="24"/>
              </w:rPr>
              <w:t>1.立即予以改正；</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sym w:font="Wingdings" w:char="F0A8"/>
            </w:r>
            <w:r>
              <w:rPr>
                <w:rFonts w:hint="default" w:ascii="Times New Roman" w:hAnsi="Times New Roman" w:eastAsia="仿宋_GB2312" w:cs="Times New Roman"/>
                <w:color w:val="000000"/>
                <w:sz w:val="24"/>
              </w:rPr>
              <w:t>2.在202X年X月X日前改正完毕，并将整改情况说明等材料送达你单位；</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sym w:font="Wingdings" w:char="F0A8"/>
            </w:r>
            <w:r>
              <w:rPr>
                <w:rFonts w:hint="default" w:ascii="Times New Roman" w:hAnsi="Times New Roman" w:eastAsia="仿宋_GB2312" w:cs="Times New Roman"/>
                <w:color w:val="000000"/>
                <w:sz w:val="24"/>
              </w:rPr>
              <w:t>3.严格遵守国家法律、法规、规章和政策规定，依法守信从事生产经营活动。</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若本人（单位）未履行上述承诺的，将依照有关法律、法规和政策规定接受处罚，并依法承担相应的法律责任。</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本承诺书同意向社会公开。</w:t>
            </w:r>
          </w:p>
          <w:p>
            <w:pPr>
              <w:spacing w:line="440" w:lineRule="exact"/>
              <w:ind w:firstLine="4560" w:firstLineChars="190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签名或盖章：</w:t>
            </w:r>
          </w:p>
          <w:p>
            <w:pPr>
              <w:spacing w:line="440" w:lineRule="exact"/>
              <w:jc w:val="center"/>
              <w:rPr>
                <w:rFonts w:hint="default" w:ascii="Times New Roman" w:hAnsi="Times New Roman" w:eastAsia="仿宋_GB2312" w:cs="Times New Roman"/>
                <w:color w:val="000000"/>
                <w:sz w:val="24"/>
              </w:rPr>
            </w:pPr>
            <w:r>
              <w:rPr>
                <w:rFonts w:hint="eastAsia" w:ascii="Times New Roman" w:hAnsi="Times New Roman" w:eastAsia="仿宋_GB2312" w:cs="Times New Roman"/>
                <w:color w:val="000000"/>
                <w:sz w:val="24"/>
                <w:lang w:val="en-US" w:eastAsia="zh-CN"/>
              </w:rPr>
              <w:t xml:space="preserve">                                         </w:t>
            </w:r>
            <w:r>
              <w:rPr>
                <w:rFonts w:hint="default" w:ascii="Times New Roman" w:hAnsi="Times New Roman" w:eastAsia="仿宋_GB2312" w:cs="Times New Roman"/>
                <w:color w:val="000000"/>
                <w:sz w:val="24"/>
              </w:rPr>
              <w:t>年  月  日</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0000600000000000000"/>
    <w:charset w:val="86"/>
    <w:family w:val="auto"/>
    <w:pitch w:val="default"/>
    <w:sig w:usb0="800002BF" w:usb1="184F6CF8" w:usb2="00000012" w:usb3="00000000" w:csb0="00160001" w:csb1="1203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6259"/>
      </w:tabs>
      <w:snapToGrid w:val="0"/>
      <w:ind w:right="360" w:firstLine="360"/>
      <w:jc w:val="left"/>
      <w:rPr>
        <w:sz w:val="18"/>
      </w:rPr>
    </w:pPr>
    <w:r>
      <w:rPr>
        <w:sz w:val="21"/>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Style w:val="5"/>
                              <w:rFonts w:ascii="宋体"/>
                              <w:sz w:val="28"/>
                              <w:szCs w:val="28"/>
                            </w:rPr>
                          </w:pPr>
                          <w:r>
                            <w:rPr>
                              <w:rStyle w:val="5"/>
                              <w:rFonts w:ascii="宋体" w:hAnsi="宋体"/>
                              <w:sz w:val="28"/>
                              <w:szCs w:val="28"/>
                            </w:rPr>
                            <w:fldChar w:fldCharType="begin"/>
                          </w:r>
                          <w:r>
                            <w:rPr>
                              <w:rStyle w:val="5"/>
                              <w:rFonts w:ascii="宋体" w:hAnsi="宋体"/>
                              <w:sz w:val="28"/>
                              <w:szCs w:val="28"/>
                            </w:rPr>
                            <w:instrText xml:space="preserve">PAGE  </w:instrText>
                          </w:r>
                          <w:r>
                            <w:rPr>
                              <w:rStyle w:val="5"/>
                              <w:rFonts w:ascii="宋体" w:hAnsi="宋体"/>
                              <w:sz w:val="28"/>
                              <w:szCs w:val="28"/>
                            </w:rPr>
                            <w:fldChar w:fldCharType="separate"/>
                          </w:r>
                          <w:r>
                            <w:rPr>
                              <w:rStyle w:val="5"/>
                              <w:rFonts w:ascii="宋体" w:hAnsi="宋体"/>
                              <w:sz w:val="28"/>
                              <w:szCs w:val="28"/>
                            </w:rPr>
                            <w:t>- 6 -</w:t>
                          </w:r>
                          <w:r>
                            <w:rPr>
                              <w:rStyle w:val="5"/>
                              <w:rFonts w:ascii="宋体" w:hAnsi="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path/>
              <v:fill on="f" focussize="0,0"/>
              <v:stroke on="f"/>
              <v:imagedata o:title=""/>
              <o:lock v:ext="edit" aspectratio="f"/>
              <v:textbox inset="0mm,0mm,0mm,0mm" style="mso-fit-shape-to-text:t;">
                <w:txbxContent>
                  <w:p>
                    <w:pPr>
                      <w:pStyle w:val="3"/>
                      <w:rPr>
                        <w:rStyle w:val="5"/>
                        <w:rFonts w:ascii="宋体"/>
                        <w:sz w:val="28"/>
                        <w:szCs w:val="28"/>
                      </w:rPr>
                    </w:pPr>
                    <w:r>
                      <w:rPr>
                        <w:rStyle w:val="5"/>
                        <w:rFonts w:ascii="宋体" w:hAnsi="宋体"/>
                        <w:sz w:val="28"/>
                        <w:szCs w:val="28"/>
                      </w:rPr>
                      <w:fldChar w:fldCharType="begin"/>
                    </w:r>
                    <w:r>
                      <w:rPr>
                        <w:rStyle w:val="5"/>
                        <w:rFonts w:ascii="宋体" w:hAnsi="宋体"/>
                        <w:sz w:val="28"/>
                        <w:szCs w:val="28"/>
                      </w:rPr>
                      <w:instrText xml:space="preserve">PAGE  </w:instrText>
                    </w:r>
                    <w:r>
                      <w:rPr>
                        <w:rStyle w:val="5"/>
                        <w:rFonts w:ascii="宋体" w:hAnsi="宋体"/>
                        <w:sz w:val="28"/>
                        <w:szCs w:val="28"/>
                      </w:rPr>
                      <w:fldChar w:fldCharType="separate"/>
                    </w:r>
                    <w:r>
                      <w:rPr>
                        <w:rStyle w:val="5"/>
                        <w:rFonts w:ascii="宋体" w:hAnsi="宋体"/>
                        <w:sz w:val="28"/>
                        <w:szCs w:val="28"/>
                      </w:rPr>
                      <w:t>- 6 -</w:t>
                    </w:r>
                    <w:r>
                      <w:rPr>
                        <w:rStyle w:val="5"/>
                        <w:rFonts w:ascii="宋体" w:hAnsi="宋体"/>
                        <w:sz w:val="28"/>
                        <w:szCs w:val="28"/>
                      </w:rPr>
                      <w:fldChar w:fldCharType="end"/>
                    </w:r>
                  </w:p>
                </w:txbxContent>
              </v:textbox>
            </v:shape>
          </w:pict>
        </mc:Fallback>
      </mc:AlternateContent>
    </w: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jGflsaAgAAIQQAAA4AAABkcnMvZTJvRG9jLnhtbK1TzY7TMBC+I/EO&#10;lu80aRGrqmq6KrsqQqrYlQri7Dp2Y8n2WLbbpDwAvAEnLtx5rj4HYyfpIuCEuNhjz/833yxvO6PJ&#10;SfigwFZ0OikpEZZDreyhoh/eb17MKQmR2ZppsKKiZxHo7er5s2XrFmIGDehaeIJBbFi0rqJNjG5R&#10;FIE3wrAwAScsKiV4wyI+/aGoPWsxutHFrCxvihZ87TxwEQL+3vdKusrxpRQ8PkgZRCS6olhbzKfP&#10;5z6dxWrJFgfPXKP4UAb7hyoMUxaTXkPds8jI0as/QhnFPQSQccLBFCCl4iL3gN1My9+62TXMidwL&#10;ghPcFabw/8Lyd6dHT1Rd0Rkllhkc0eXrl8u3H5fvn8kswdO6sECrnUO72L2GDsc8/gf8TF130pt0&#10;Yz8E9Qj0+Qqu6CLhyWk+m89LVHHUjQ+MXzy5Ox/iGwGGJKGiHqeXQWWnbYi96WiSslnYKK3zBLUl&#10;bUVvXr4qs8NVg8G1TbYic2EIk1rqS09S7Pbd0Oce6jO26aHnSXB8o7CULQvxkXkkBpaPZI8PeEgN&#10;mBIGiZIG/Ke//Sd7nBdqKWmRaBW1uAmU6LcW55g4OQp+FPajYI/mDpC5U1wix7OIDj7qUZQezEfc&#10;gHXKgSpmOWaqaBzFu9iTHTeIi/U6Gx2dV4emd0AWOha3dud4SpOgCm59jAhtRjwB1KOCk0oP5GGe&#10;2bAziei/vrPV02avf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zSVju0AAAAAUBAAAPAAAAAAAA&#10;AAEAIAAAACIAAABkcnMvZG93bnJldi54bWxQSwECFAAUAAAACACHTuJAyMZ+WxoCAAAhBAAADgAA&#10;AAAAAAABACAAAAAfAQAAZHJzL2Uyb0RvYy54bWxQSwUGAAAAAAYABgBZAQAAqwUAAAAA&#10;">
              <v:path/>
              <v:fill on="f" focussize="0,0"/>
              <v:stroke on="f" weight="0.5pt" joinstyle="miter"/>
              <v:imagedata o:title=""/>
              <o:lock v:ext="edit"/>
              <v:textbox inset="0mm,0mm,0mm,0mm" style="mso-fit-shape-to-text:t;">
                <w:txbxContent>
                  <w:p/>
                </w:txbxContent>
              </v:textbox>
            </v:shape>
          </w:pict>
        </mc:Fallback>
      </mc:AlternateContent>
    </w:r>
    <w:r>
      <w:rPr>
        <w:sz w:val="18"/>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337D02"/>
    <w:rsid w:val="69337D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annotation text"/>
    <w:basedOn w:val="1"/>
    <w:qFormat/>
    <w:uiPriority w:val="0"/>
    <w:pPr>
      <w:jc w:val="left"/>
    </w:pPr>
    <w:rPr>
      <w:rFonts w:ascii="Calibri" w:hAnsi="Calibri"/>
      <w:szCs w:val="22"/>
    </w:rPr>
  </w:style>
  <w:style w:type="paragraph" w:styleId="3">
    <w:name w:val="footer"/>
    <w:basedOn w:val="1"/>
    <w:uiPriority w:val="99"/>
    <w:pPr>
      <w:tabs>
        <w:tab w:val="center" w:pos="4153"/>
        <w:tab w:val="right" w:pos="8306"/>
      </w:tabs>
      <w:snapToGrid w:val="0"/>
      <w:jc w:val="left"/>
    </w:pPr>
    <w:rPr>
      <w:sz w:val="18"/>
    </w:rPr>
  </w:style>
  <w:style w:type="character" w:styleId="5">
    <w:name w:val="page number"/>
    <w:basedOn w:val="4"/>
    <w:uiPriority w:val="99"/>
    <w:rPr>
      <w:rFonts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Office_10.8.2.7090_F1E327BC-269C-435d-A152-05C5408002CA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2026-01-09T01:03:00Z</dcterms:created>
  <dc:creator>Administrator</dc:creator>
  <cp:lastModifiedBy>Administrator</cp:lastModifiedBy>
  <dcterms:modified xsi:type="dcterms:W3CDTF">2026-01-09T01:04:36Z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ies>
</file>