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eastAsia="仿宋_GB2312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</w:rPr>
        <w:t>附件2</w:t>
      </w:r>
    </w:p>
    <w:p>
      <w:pPr>
        <w:spacing w:line="579" w:lineRule="exact"/>
        <w:ind w:left="0" w:leftChars="0" w:right="0" w:firstLine="0" w:firstLineChars="0"/>
        <w:jc w:val="center"/>
        <w:rPr>
          <w:rFonts w:hint="eastAsia" w:ascii="方正小标宋_GBK" w:hAnsi="方正小标宋_GBK" w:eastAsia="方正小标宋_GBK"/>
          <w:color w:val="auto"/>
          <w:sz w:val="44"/>
          <w:highlight w:val="none"/>
        </w:rPr>
      </w:pPr>
      <w:r>
        <w:rPr>
          <w:rFonts w:hint="eastAsia" w:ascii="方正小标宋_GBK" w:hAnsi="方正小标宋_GBK" w:eastAsia="方正小标宋_GBK"/>
          <w:color w:val="auto"/>
          <w:sz w:val="44"/>
          <w:highlight w:val="none"/>
        </w:rPr>
        <w:t>202</w:t>
      </w:r>
      <w:r>
        <w:rPr>
          <w:rFonts w:hint="eastAsia" w:ascii="方正小标宋_GBK" w:hAnsi="方正小标宋_GBK" w:eastAsia="方正小标宋_GBK"/>
          <w:color w:val="auto"/>
          <w:sz w:val="44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/>
          <w:color w:val="auto"/>
          <w:sz w:val="44"/>
          <w:highlight w:val="none"/>
        </w:rPr>
        <w:t>年第</w:t>
      </w:r>
      <w:r>
        <w:rPr>
          <w:rFonts w:hint="eastAsia" w:ascii="方正小标宋_GBK" w:hAnsi="方正小标宋_GBK" w:eastAsia="方正小标宋_GBK"/>
          <w:color w:val="auto"/>
          <w:sz w:val="44"/>
          <w:highlight w:val="none"/>
          <w:lang w:val="en-US" w:eastAsia="zh-CN"/>
        </w:rPr>
        <w:t>二</w:t>
      </w:r>
      <w:r>
        <w:rPr>
          <w:rFonts w:hint="eastAsia" w:ascii="方正小标宋_GBK" w:hAnsi="方正小标宋_GBK" w:eastAsia="方正小标宋_GBK"/>
          <w:color w:val="auto"/>
          <w:sz w:val="44"/>
          <w:highlight w:val="none"/>
        </w:rPr>
        <w:t>季度食品生产加工环节</w:t>
      </w:r>
    </w:p>
    <w:p>
      <w:pPr>
        <w:spacing w:line="579" w:lineRule="exact"/>
        <w:ind w:left="0" w:leftChars="0" w:right="0" w:firstLine="0" w:firstLineChars="0"/>
        <w:jc w:val="center"/>
        <w:rPr>
          <w:rFonts w:hint="eastAsia" w:ascii="方正小标宋_GBK" w:hAnsi="方正小标宋_GBK" w:eastAsia="方正小标宋_GBK"/>
          <w:color w:val="auto"/>
          <w:sz w:val="44"/>
          <w:highlight w:val="none"/>
        </w:rPr>
      </w:pPr>
      <w:r>
        <w:rPr>
          <w:rFonts w:hint="eastAsia" w:ascii="方正小标宋_GBK" w:hAnsi="方正小标宋_GBK" w:eastAsia="方正小标宋_GBK"/>
          <w:color w:val="auto"/>
          <w:sz w:val="44"/>
          <w:highlight w:val="none"/>
        </w:rPr>
        <w:t>定期抽样检验细则</w:t>
      </w:r>
    </w:p>
    <w:tbl>
      <w:tblPr>
        <w:tblW w:w="0" w:type="auto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825"/>
        <w:gridCol w:w="840"/>
        <w:gridCol w:w="855"/>
        <w:gridCol w:w="1275"/>
        <w:gridCol w:w="4665"/>
        <w:gridCol w:w="3480"/>
        <w:gridCol w:w="146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食品大类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食品亚类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食品品种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食品细类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抽检项目（四级）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抽样数量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其他粮食加工品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谷物粉类制成品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米粉制品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苯甲酸及其钠盐（以苯甲酸计）、山梨酸及其钾盐（以山梨酸计）、脱氢乙酸及其钠盐（以脱氢乙酸计）、二氧化硫残留量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抽取样品品量大于1.2kg,约1/2为待检样品，约1/2为复检备份样品(待检样品及复检样品应大于600g，包装数量不得少于2个)。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5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其他谷物粉类制成品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黄曲霉毒素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B₁</w:t>
            </w:r>
            <w:r>
              <w:rPr>
                <w:rStyle w:val="24"/>
                <w:rFonts w:eastAsia="宋体"/>
                <w:color w:val="auto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、苯甲酸及其钠盐（以苯甲酸计）、山梨酸及其钾盐（以山梨酸计）、脱氢乙酸及其钠盐（以脱氢乙酸计）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预包装样品不少于4个独立包装，其他谷物粉类制成品(玉米制品除外)抽取样品重量不少于800g,约1/2为待检样品，约1/2为复检备份样品（待检样品和备份样品预包装数量均不少于2个）；其他谷物粉类制成品(玉米制品)抽取样品总量不少于 4kg.约3/4为待检样品，约1/4为复检备份样品;其中其他谷物粉类制成品(玉米制品)备份样品大于1kg，待检样品和备份样品预包装数量均不少于2个)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a. 限玉米制品检测。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谷物碾磨加工品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玉米粉（片、渣）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苯并[a]芘、黄曲霉毒素B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、赭曲霉毒素A、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抽取样品品量大于2kg,约1/2为检验样品，约1/2为复检备份样品（待检样品和备份样品均大于1kg）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铅（以Pb计）、镉（以Cd计）、总汞（以Hg计）、无机砷（以As计）、苯并[a]芘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抽取样品量不少于 2 个独立包装，总量不少于 1kg。约1/2为待检样品，约1/2为复检备份样品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其他谷物碾磨加工品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铅（以Pb计）、铬（以Cr计）、赭曲霉毒素A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抽取样品量不少于 2 个独立包装，总量不少于 1kg。约1/2为待检样品，约1/2为复检备份样品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淀粉及淀粉制品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淀粉及淀粉制品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淀粉制品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粉丝粉条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铅（以Pb计）、苯甲酸及其钠盐（以苯甲酸计）、山梨酸及其钾盐（以山梨酸计）、铝的残留量（干样品，以Al计）、合成着色剂（苋菜红、胭脂红、柠檬黄、日落黄、亮蓝）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、二氧化硫残留量、脱氢乙酸及其钠盐（以脱氢乙酸计）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抽取样品量不少于2kg, 不少于4个独立包装。所抽样品分成2份，约1/2为待检样品，约1/2为复检备份样品(待检样品及复检样品应大于600g，包装数量不得少于2个)。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a. 视产品具体色泽而定。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其他淀粉制品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苯甲酸及其钠盐（以苯甲酸计）、山梨酸及其钾盐（以山梨酸计）、铝的残留量（干样品，以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Al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计）、二氧化硫残留量、合成着色剂（柠檬黄、苋菜红、胭脂红、日落黄、亮蓝)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vertAlign w:val="superscript"/>
                <w:lang w:val="en-US" w:eastAsia="en-US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、脱氢乙酸及其钠盐（以脱氢乙酸计）、相同色泽着色剂混合使用时各自用量占其最大使用量的比例之和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抽取样品量不少于2kg, 不少于4个独立包装。所抽样品分成2份，约1/2为待检样品，约1/2为复检备份样品(待检样品及复检样品应大于600g，包装数量不得少于2个)。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a. 视产品具体色泽而定。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茶叶及相关制品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茶叶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茶叶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绿茶、红茶、乌龙茶、黄茶、白茶、黑茶、花茶、袋泡茶、紧压茶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铅（以Pb计）、乙酰甲胺磷、联苯菊酯、三氟杀螨醇、 氰戊菊酯和S-氰戊菊酯、甲拌磷、水胺硫磷、 氧乐果、毒死蜱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抽取样品量不少于1kg。所抽取样品分为2份，约1/2为待检样品，约1/2为复检备份样品样品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含茶制品和代用茶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含茶制品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速溶茶类、其它含茶制品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铅（以 Pb 计）、菌落总数、霉菌、霉菌及酵母、</w:t>
            </w:r>
            <w:r>
              <w:rPr>
                <w:rStyle w:val="25"/>
                <w:color w:val="auto"/>
                <w:bdr w:val="none" w:color="auto" w:sz="0" w:space="0"/>
                <w:lang w:val="en-US" w:eastAsia="zh-CN" w:bidi="ar"/>
              </w:rPr>
              <w:t>合成着色剂（柠檬黄、 日落黄、胭脂红、亮蓝）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抽取样品量不少于1kg,一般不少于8个独立包装。所抽取样品分为2份，约5个为待检样品，约3个为复检备份样品样品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代用茶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枸杞（干）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铅（以Pb计）、二氧化硫残留量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抽取样品量样品量大于1.2kg，约 1/2 为待检样品，约 1/2 为复检备份样品。(待检样品及复检样品应大于600g)。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菊花（干）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铅（以Pb计）、二氧化硫残留量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抽取样品量样品量大于1.2kg，约 1/2 为待检样品，约 1/2 为复检备份样品。(待检样品及复检样品应大于600g)。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金银花（干）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铅（以Pb计）、二氧化硫残留量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抽取样品量样品量大于1.2kg，约 1/2 为待检样品，约 1/2 为复检备份样品。(待检样品及复检样品应大于600g)。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苦丁茶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铅（以Pb计）、二氧化硫残留量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抽取样品量样品量大于1.2kg，约 1/2 为待检样品，约 1/2 为复检备份样品。(待检样品及复检样品应大于600g)。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其他代用茶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铅（以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计）、二氧化硫残留量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抽取样品量样品量大于1.2kg，约 1/2 为待检样品，约 1/2 为复检备份样品。(待检样品及复检样品应大于600g)。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粽子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粽子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粽子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过氧化值（以脂肪计）、甜蜜素（以环己基氨基磺酸计）、山梨酸及其钾盐（以山梨酸计）、脱氢乙酸 及其钠盐（以脱氢乙酸计）、糖精钠（以糖精计）、安赛蜜、菌落总数、大肠菌群、金黄色葡萄球菌、 沙门氏菌、霉菌、商业无菌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vertAlign w:val="superscript"/>
                <w:lang w:val="en-US" w:eastAsia="en-US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、硼砂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抽取样品量不少于2kg, 不少于8个独立包装。所抽取样品分为2份，约3/4为待检样品，约1/4为复检备份样品（待检样品和备份样品预包装数量均不少于2个)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a. 限真空包装类粽子检测。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速冻食品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速冻面米食品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速冻面米食品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速冻面米生制品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过氧化值（以脂肪计）、铅（以Pb计）、糖精钠（以糖精计）、甜蜜素（以环己基氨基磺酸计）、合成着色剂（柠檬黄、日落黄、苋菜红、亮蓝）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非即食速冻面米制品抽样数量不少于 1kg ，且不少于 4 个独立包装，即食速冻面米制品抽样数量不少于 2kg，且不少于 8 个独立包装。所抽取样品分成2 份，非即食速冻面米制品约 1/2 为待检样品，约 1/2 为复检备份样品；即食速冻面米制品约 3/4 为待检样品，约 1/4 为复检备份样品（待检样品和备份样品预包装数量均不少于2个)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速冻面米熟制品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过氧化值（以脂肪计）、铅（以Pb计）、糖精钠（以糖精计）、甜蜜素（以环己基氨基磺酸计）、合成着色剂（柠檬黄、日落黄、苋菜红、亮蓝）、菌落总数、大肠菌群、沙门氏菌、金黄色葡萄球菌、硼砂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非即食速冻面米制品抽样数量不少于 1kg ，且不少于 4 个独立包装，即食速冻面米制品抽样数量不少于 2kg，且不少于 8 个独立包装。所抽取样品分成2 份，非即食速冻面米制品约 1/2 为待检样品，约 1/2 为复检备份样品；即食速冻面米制品约 3/4 为待检样品，约 1/4 为复检备份样品（待检样品和备份样品预包装数量均不少于2个)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a.限速冻粽子检测。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速冻其他食品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速冻调制水产制品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速冻调制水产制品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挥发性盐基氮、苯甲酸及其钠盐（以苯甲酸计）、山梨酸及其钾盐（以山梨酸计）、</w:t>
            </w:r>
            <w:r>
              <w:rPr>
                <w:rStyle w:val="25"/>
                <w:color w:val="auto"/>
                <w:bdr w:val="none" w:color="auto" w:sz="0" w:space="0"/>
                <w:lang w:val="en-US" w:eastAsia="zh-CN" w:bidi="ar"/>
              </w:rPr>
              <w:t>二氧化硫残留量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、菌落总数、大肠菌群、沙门氏菌、副溶血性弧菌、单核细胞增生李斯特氏菌、磷酸盐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非即食速冻调制水产制品抽样数量不少于1.5kg, 且不少于4个独立包装，即食速冻调制水产制品抽样数量不少于2kg, 且不少于8个独立包装。非即食速冻调制水产制品约1/2为检验样品，约1/2为复检备份样品（待检样品和备份样品均大于600g）；即食速冻调制水产制品约3/4为检验样品，约1/4为复检备份样品（待检样品和备份样品均大于600g）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速冻其他调制食品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速冻菜肴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无机砷、铅、铬、甲基汞、镉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抽样总量不少于1kg，不少于2个独立包装，约1/2为待检样品，约1/2为复检备份样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速冻汤羹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无机砷、铅、铬、甲基汞、镉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抽样总量不少于1kg，不少于2个独立包装，约1/2为待检样品，约1/2为复检备份样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酱腌菜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酱腌菜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铅（以 Pb 计）、亚硝酸盐（以 NaNO</w:t>
            </w:r>
            <w:r>
              <w:rPr>
                <w:rStyle w:val="26"/>
                <w:color w:val="auto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计）、苯甲酸及其钠盐（以苯甲酸计）、山梨酸及其钾盐（以山梨酸计）、脱氢乙酸及其钠盐（以脱氢乙酸计）、糖精钠（以糖精计）、甜蜜素（以环己基氨基磺酸计）、阿斯巴甜、安赛蜜、纽甜、三氯蔗糖、二氧化硫残留量、防腐剂混合使用时各自用量占其最大使用量的比例之和、合成着色剂（柠檬黄、 日落黄、胭脂红、诱惑红）、大肠菌群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抽取样品量不少于1.8kg,不少于9个独立包装。优先抽取近期生产的产品，所抽取样品分为2份，约 2/3 为检验样品，约 1/3 为复检备份样品。（待检样品和备份样品均大于600g，包装数量均不得少于2个）。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微生物限预包装食品检测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蔬菜干制品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蔬菜干制品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铅（以Pb计）、合成着色剂（苋菜红、胭脂红、柠檬黄、日落黄、亮蓝）、苯甲酸及其钠盐（以苯甲酸计）、山梨酸及其钾盐（以山梨酸计）、二氧化硫残留量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抽取样品量大于1.2kg,  不少于4个独立包装；优先抽取近期生产的产品，所抽取样品分为2份，约1/2为待检样品，约1/2为复检备份样品(待检样品及复检样品应大于600g，包装数量不得少于2个)。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其他蔬菜制品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其他蔬菜制品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铅（以Pb计）、苯甲酸及其钠盐（以苯甲酸计）、山梨酸及其钾盐（以山梨酸计）、二氧化硫残留量、脱氢乙酸及其钠盐（以脱氢乙酸计）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抽取样品量大于1.2kg,  不少于4个独立包装；优先抽取近期生产的产品，所抽取样品分为2份，约1/2为待检样品，约1/2为复检备份样品(待检样品及复检样品应大于600g，包装数量不得少于2个)。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食用菌制品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干制食用菌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27"/>
                <w:color w:val="auto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en-US" w:bidi="ar"/>
              </w:rPr>
              <w:t>Pb</w:t>
            </w:r>
            <w:r>
              <w:rPr>
                <w:rStyle w:val="27"/>
                <w:color w:val="auto"/>
                <w:bdr w:val="none" w:color="auto" w:sz="0" w:space="0"/>
                <w:lang w:val="en-US" w:eastAsia="zh-CN" w:bidi="ar"/>
              </w:rPr>
              <w:t>计）、镉（以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en-US" w:bidi="ar"/>
              </w:rPr>
              <w:t>Cd</w:t>
            </w:r>
            <w:r>
              <w:rPr>
                <w:rStyle w:val="27"/>
                <w:color w:val="auto"/>
                <w:bdr w:val="none" w:color="auto" w:sz="0" w:space="0"/>
                <w:lang w:val="en-US" w:eastAsia="zh-CN" w:bidi="ar"/>
              </w:rPr>
              <w:t>计）、甲基汞（以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en-US" w:bidi="ar"/>
              </w:rPr>
              <w:t>Hg</w:t>
            </w:r>
            <w:r>
              <w:rPr>
                <w:rStyle w:val="27"/>
                <w:color w:val="auto"/>
                <w:bdr w:val="none" w:color="auto" w:sz="0" w:space="0"/>
                <w:lang w:val="en-US" w:eastAsia="zh-CN" w:bidi="ar"/>
              </w:rPr>
              <w:t>计）、总汞（以Hg计）、总砷（以As计）、无机砷（以As计）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抽取样品量不少于1.2kg,  不少于4个独立包装；优先抽取近期生产的产品，所抽取样品分为2份，约1/2为待检样品，约1/2为复检备份样品(复检备份样品应大于600g )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白砂糖、赤砂糖、红糖、冰糖、冰片糖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二氧化硫残留量、螨、合成着色剂（柠檬黄、苋菜红、胭脂红、日落黄、诱惑红）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抽取样品量不少于4个独立包装，总量不少于2.5kg。所抽取样品分成2份，约3/5为检验样品，约2/5为复检备份样品(冰糖、方糖的备份样品量不少于1kg,)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白砂糖不检合成着色剂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可可及焙烤咖啡产品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焙炒咖啡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焙炒咖啡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焙炒咖啡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咖啡因、铅（以 Pb 计）、赭曲霉毒素 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抽取样品量至少为600g,不少于3个独立包装，约2/3为检验样品，约1/3为复检备份样品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水产制品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水产制品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其他水产品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其他水产制品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铅（以 Pb 计）、苯甲酸及其钠盐（以苯甲酸计）、山梨酸及其钾盐（以山梨酸计）、糖精钠（以糖精计）、脱氢乙酸及其钠盐（以脱氢乙酸计）、合成着色剂（柠檬黄）、甜蜜素（以环己基氨基磺酸计）、防腐剂混合使用时各自用量占其最大使用量的比例之和、菌落总数、</w:t>
            </w:r>
            <w:r>
              <w:rPr>
                <w:rStyle w:val="28"/>
                <w:color w:val="auto"/>
                <w:bdr w:val="none" w:color="auto" w:sz="0" w:space="0"/>
                <w:lang w:val="en-US" w:eastAsia="zh-CN" w:bidi="ar"/>
              </w:rPr>
              <w:t>磷酸盐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vertAlign w:val="superscript"/>
                <w:lang w:val="en-US" w:eastAsia="en-US" w:bidi="ar"/>
              </w:rPr>
              <w:t>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总量不少于1kg，即食调味藻类不少于 9 个独立包装，其余水产制品不少于4个独立包装。所抽取样品分为 2份，即食调味藻类约 2/3 为检验样品，约 1/3 为复检备份样品，其余水产制品所抽取样品分为 2 份，约 1/2为检验样品，约 1/2 为复检备份样品（待检样品及复检样品包装数量均不得少于2个）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a.限冷冻水产品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熟制动物性水产品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熟制动物性水产制品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铅（以 Pb 计）、镉（以 Cd 计）、苯甲酸及其钠盐（以苯甲酸计）、山梨酸及其钾盐（以山梨酸计）、甜蜜素（以环己基氨基磺酸计）、脱氢乙酸及其钠盐（以脱氢乙酸计）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总量不少于1kg，不少于4个独立包装。其中1/2为检验样品，1/2为复检备份样品（待检样品及复检样品包装数量均不得少于2个）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其他食品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其他食品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汤料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汤料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铅（以 Pb 计）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抽取样品数量至少为1kg，约1/2作为检验样品，约1/2为复检备份样品。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其他食品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预拌粉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铅(以Pb计)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抽取样品数量至少为1kg，约1/2作为检验样品，约1/2为复检备份样品。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方便食品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方便食品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其他方便食品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冲调类方便食品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27"/>
                <w:color w:val="auto"/>
                <w:bdr w:val="none" w:color="auto" w:sz="0" w:space="0"/>
                <w:lang w:val="en-US" w:eastAsia="zh-CN" w:bidi="ar"/>
              </w:rPr>
              <w:t>酸价（以脂肪计）（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en-US" w:bidi="ar"/>
              </w:rPr>
              <w:t>KOH</w:t>
            </w:r>
            <w:r>
              <w:rPr>
                <w:rStyle w:val="27"/>
                <w:color w:val="auto"/>
                <w:bdr w:val="none" w:color="auto" w:sz="0" w:space="0"/>
                <w:lang w:val="en-US" w:eastAsia="zh-CN" w:bidi="ar"/>
              </w:rPr>
              <w:t>）、过氧化值（以脂肪计）、铅（以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en-US" w:bidi="ar"/>
              </w:rPr>
              <w:t>Pb</w:t>
            </w:r>
            <w:r>
              <w:rPr>
                <w:rStyle w:val="27"/>
                <w:color w:val="auto"/>
                <w:bdr w:val="none" w:color="auto" w:sz="0" w:space="0"/>
                <w:lang w:val="en-US" w:eastAsia="zh-CN" w:bidi="ar"/>
              </w:rPr>
              <w:t>计）、黄曲霉毒素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en-US" w:bidi="ar"/>
              </w:rPr>
              <w:t>B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vertAlign w:val="subscript"/>
                <w:lang w:val="en-US" w:eastAsia="en-US" w:bidi="ar"/>
              </w:rPr>
              <w:t>1</w:t>
            </w:r>
            <w:r>
              <w:rPr>
                <w:rStyle w:val="27"/>
                <w:color w:val="auto"/>
                <w:bdr w:val="none" w:color="auto" w:sz="0" w:space="0"/>
                <w:lang w:val="en-US" w:eastAsia="zh-CN" w:bidi="ar"/>
              </w:rPr>
              <w:t>、苯甲酸及其钠盐（以苯甲酸计）、山梨酸及其钾盐（以山梨酸计）、糖精钠（以糖精计）、菌落总数、大肠菌群、霉菌、沙门氏菌、金黄色葡萄球菌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抽样数量不少于8个独立包装。抽取样品数量约2.5kg。约3/4为待检样品，约1/4为复检备份样品（冲调类方便食品(玉米制品、花生制品)备份样品大于1.0kg；待检样品和备份样品预包装数量均不少于2个)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主食类方便食品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27"/>
                <w:color w:val="auto"/>
                <w:bdr w:val="none" w:color="auto" w:sz="0" w:space="0"/>
                <w:lang w:val="en-US" w:eastAsia="zh-CN" w:bidi="ar"/>
              </w:rPr>
              <w:t>酸价（以脂肪计）（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en-US" w:bidi="ar"/>
              </w:rPr>
              <w:t>KOH</w:t>
            </w:r>
            <w:r>
              <w:rPr>
                <w:rStyle w:val="27"/>
                <w:color w:val="auto"/>
                <w:bdr w:val="none" w:color="auto" w:sz="0" w:space="0"/>
                <w:lang w:val="en-US" w:eastAsia="zh-CN" w:bidi="ar"/>
              </w:rPr>
              <w:t>）、过氧化值（以脂肪计）、铅（以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en-US" w:bidi="ar"/>
              </w:rPr>
              <w:t>Pb</w:t>
            </w:r>
            <w:r>
              <w:rPr>
                <w:rStyle w:val="27"/>
                <w:color w:val="auto"/>
                <w:bdr w:val="none" w:color="auto" w:sz="0" w:space="0"/>
                <w:lang w:val="en-US" w:eastAsia="zh-CN" w:bidi="ar"/>
              </w:rPr>
              <w:t>计）、苯甲酸及其钠盐（以苯甲酸计）、山梨酸及其钾盐（以山梨酸计）、糖精钠（以糖精计）、菌落总数、大肠菌群、霉菌、沙门氏菌、金黄色葡萄球菌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抽样数量不少于8个独立包装。抽取样品数量约2.5kg。约3/4为待检样品，约1/4为复检备份样品（待检样品和备份样品预包装数量均不少于2个)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其他类方便食品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27"/>
                <w:color w:val="auto"/>
                <w:bdr w:val="none" w:color="auto" w:sz="0" w:space="0"/>
                <w:lang w:val="en-US" w:eastAsia="zh-CN" w:bidi="ar"/>
              </w:rPr>
              <w:t>酸价（以脂肪计）（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en-US" w:bidi="ar"/>
              </w:rPr>
              <w:t>KOH</w:t>
            </w:r>
            <w:r>
              <w:rPr>
                <w:rStyle w:val="27"/>
                <w:color w:val="auto"/>
                <w:bdr w:val="none" w:color="auto" w:sz="0" w:space="0"/>
                <w:lang w:val="en-US" w:eastAsia="zh-CN" w:bidi="ar"/>
              </w:rPr>
              <w:t>）、过氧化值（以脂肪计）、铅（以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en-US" w:bidi="ar"/>
              </w:rPr>
              <w:t>Pb</w:t>
            </w:r>
            <w:r>
              <w:rPr>
                <w:rStyle w:val="27"/>
                <w:color w:val="auto"/>
                <w:bdr w:val="none" w:color="auto" w:sz="0" w:space="0"/>
                <w:lang w:val="en-US" w:eastAsia="zh-CN" w:bidi="ar"/>
              </w:rPr>
              <w:t>计）、苯甲酸及其钠盐（以苯甲酸计）、山梨酸及其钾盐（以山梨酸计）、糖精钠（以糖精计）、菌落总数、大肠菌群、霉菌、沙门氏菌、金黄色葡萄球菌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抽样数量不少于8个独立包装。抽取样品数量约2.5kg。约3/4为待检样品，约1/4为复检备份样品（待检样品和备份样品预包装数量均不少于2个)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固体复合调味料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鸡粉、鸡精调味料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29"/>
                <w:color w:val="auto"/>
                <w:bdr w:val="none" w:color="auto" w:sz="0" w:space="0"/>
                <w:lang w:val="en-US" w:eastAsia="zh-CN" w:bidi="ar"/>
              </w:rPr>
              <w:t>谷氨酸钠、呈味核苷酸二钠、铅（以</w:t>
            </w:r>
            <w:r>
              <w:rPr>
                <w:rStyle w:val="30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 xml:space="preserve">Pb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计）、糖精钠（以糖精计）、甜蜜素（以环己基氨基磺酸计）、安</w:t>
            </w:r>
            <w:r>
              <w:rPr>
                <w:rStyle w:val="30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赛蜜、菌落总数、大肠菌群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抽取样品品量不少于4个独立包装，总量不少于1.2kg。约1/2作为待检样品，约1/2为复检备份样品（待检样品及复检样品包装数量均不少于2个）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固体复合调味料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其他固体调味料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29"/>
                <w:color w:val="auto"/>
                <w:bdr w:val="none" w:color="auto" w:sz="0" w:space="0"/>
                <w:lang w:val="en-US" w:eastAsia="zh-CN" w:bidi="ar"/>
              </w:rPr>
              <w:t>铅（以</w:t>
            </w:r>
            <w:r>
              <w:rPr>
                <w:rStyle w:val="30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 xml:space="preserve">Pb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计）、苏丹红</w:t>
            </w:r>
            <w:r>
              <w:rPr>
                <w:rStyle w:val="30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 xml:space="preserve">I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、苏丹红</w:t>
            </w:r>
            <w:r>
              <w:rPr>
                <w:rFonts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 xml:space="preserve">Ⅱ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、苏丹红</w:t>
            </w:r>
            <w:r>
              <w:rPr>
                <w:rFonts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 xml:space="preserve">Ⅲ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、苏丹红</w:t>
            </w:r>
            <w:r>
              <w:rPr>
                <w:rStyle w:val="30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 xml:space="preserve">IV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、罂粟碱、吗啡、可待因、那可丁、苯甲酸</w:t>
            </w:r>
            <w:r>
              <w:rPr>
                <w:rStyle w:val="30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及其钠盐（以苯甲酸计）、山梨酸及其钾盐（以山梨酸计）、脱氢乙酸及其钠盐（以脱氢乙酸计）、防腐剂</w:t>
            </w:r>
            <w:r>
              <w:rPr>
                <w:rStyle w:val="30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混合使用时各自用量占其最大使用量的比例之和、糖精钠（以糖精计）、甜蜜素（以环己基氨基磺酸计）、</w:t>
            </w:r>
            <w:r>
              <w:rPr>
                <w:rStyle w:val="30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安赛蜜、阿斯巴甜、二氧化硫残留量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抽取样品品量不少于4个独立包装，总量大于1.2kg。约1/2作为待检样品，约1/2为复检备份样品(待检样品及复检样品应大于600g，包装数量不得少于2个)。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半固体复合调味料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辣椒酱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、甜蜜素（以环己基氨基磺酸计）、二氧化硫残留量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抽取样品品量不少于6个独立包装，总量大于1.2kg。约1/2作为待检样品，约1/2为复检备份样品(待检样品及复检样品应大于600g，包装数量均不得少于3个)。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半固体复合调味料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火锅底料、麻辣烫底料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罂粟碱、吗啡、可待因、那可丁、苯甲酸及其钠盐（以苯甲酸计）、山梨酸及其钾盐（以山梨酸计）、脱氢乙酸及其钠盐（以脱氢乙酸计）、防腐剂混合使用时各自用量占其最大使用量的比例之和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抽取样品品量不少于4个独立包装，总量不少于1.2kg。约1/2作为待检样品，约1/2为复检备份样品(待检样品及复检样品包装数量均不得少于2个)。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5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半固体复合调味料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其他半固体调味料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铅（以 Pb 计）、罗丹明 B、罂粟碱、吗啡、可待因、那可丁、苯甲酸及其钠盐（以苯甲酸计）、山梨酸及其钾盐（以山梨酸计）、脱氢乙酸及其钠盐（以脱氢乙酸计）、防腐剂混合使用时各自用量占其最大使用量的比例之和、甜蜜素（以环己基氨基磺酸计）、安赛蜜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抽取样品品量不少于4个独立包装，总量不少于1.2kg。约1/2作为待检样品，约1/2为复检备份样品(待检样品及复检样品包装数量不得少于2个)。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液体复合调味料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蚝油、虾油、鱼露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氨基酸态氮、苯甲酸及其钠盐（以苯甲酸计）、山梨酸及其钾盐（以山梨酸计）、脱氢乙酸及其钠盐（以脱氢乙酸计）、防腐剂混合使用时各自用量占其最大使用量的比例之和、菌落总数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vertAlign w:val="superscript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抽取样品品量不少于8个独立包装，总量不少于2L(kg) 。 约3/4作为检验样品，约1/4为复检备份样品(待检样品及复检样品包装数量均不得少于2个)。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a. 限产品明示标准或质量要求有限量规定时检测。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5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液体复合调味料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其他液体调味料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合成着色剂（柠檬黄、日落黄、胭脂红、诱惑红）、相同色泽着色剂混合使用时各自用量占其最大使用量的比例之和、菌落总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vertAlign w:val="superscript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抽取样品品量不少于8个独立包装，总量不少于2L(kg) 。 约3/4作为检验样品，约1/4为复检备份样品(待检样品及复检样品包装数量均不得少于2个)。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a. 限产品明示标准和质量要求有限量规定时检测。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饮料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饮料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固体饮料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固体饮料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质、铅（以Pb计）、苯甲酸及其钠盐（以苯甲酸计）、山梨酸及其钾盐（以山梨酸计）、防腐剂混合使用时各自用量占其最大使用量的比例之和、糖精钠（以糖精计）、合成着色剂（苋菜红、胭脂红、柠檬黄、日落黄、亮蓝）、相同色泽着色剂混合使用时各自用量占其最大使用量的比例之和、菌落总数、大肠菌群、霉菌、西布曲明、N,N-双去甲基西布曲明、N-单去甲基西布曲明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抽取样品品量不少于2kg, 不少于8个独立包装，约3/4为待检样品，约1/4为复检备份样品（待检样品和备份样品预包装数量均不少于2个)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肉制品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熟肉制品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酱卤肉制品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酱卤肉制品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29"/>
                <w:color w:val="auto"/>
                <w:bdr w:val="none" w:color="auto" w:sz="0" w:space="0"/>
                <w:lang w:val="en-US" w:eastAsia="zh-CN" w:bidi="ar"/>
              </w:rPr>
              <w:t>镉（以</w:t>
            </w:r>
            <w:r>
              <w:rPr>
                <w:rStyle w:val="30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 xml:space="preserve">Cd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计）、铬（以</w:t>
            </w:r>
            <w:r>
              <w:rPr>
                <w:rStyle w:val="30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 xml:space="preserve">Cr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计）、总砷（以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 xml:space="preserve">As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计）、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N-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二甲基亚硝胺、亚硝酸盐（以亚硝酸钠计）、苯甲</w:t>
            </w:r>
            <w:r>
              <w:rPr>
                <w:rStyle w:val="30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酸及其钠盐（以苯甲酸计）、山梨酸及其钾盐（以山梨酸计）、脱氢乙酸及其钠盐（以脱氢乙酸计）、纳他霉素、防腐剂混合使用时各自用量占其最大使用量的比例之和、糖精钠（以糖精计）、合成着色剂（柠檬</w:t>
            </w:r>
            <w:r>
              <w:rPr>
                <w:rStyle w:val="30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黄、日落黄、胭脂红、诱惑红）、氯霉素、菌落总数、大肠菌群、沙门氏菌、金黄色葡萄球菌、单核细胞</w:t>
            </w:r>
            <w:r>
              <w:rPr>
                <w:rStyle w:val="30"/>
                <w:rFonts w:eastAsia="宋体"/>
                <w:color w:val="auto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增生李斯特氏菌、商业无菌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抽样量不少于1.3kg,  且不少于8个独立包装。 约3/4为待检样品，约1/4为复检备份样品（待检样品和备份样品预包装数量均不少于2个)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罐头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罐头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果蔬罐头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蔬菜类罐头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铅（以 Pb 计）、合成着色剂（柠檬黄、 日落黄）、脱氢乙酸及其钠盐（以脱氢乙酸计）、苯甲酸及其钠盐（以苯甲酸计）、山梨酸及其钾盐（以山梨酸计）、乙二胺四乙酸二钠、二氧化硫残留量、商业无菌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抽取样品量不少于8个独立包装，总量不少于2kg。所抽取样品分为2份，约5个包装为检 验样品，约3个包装为复检备份样品(备份样品大于600g,不少于3个包装)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其他罐头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其他罐头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黄曲霉素B1</w:t>
            </w:r>
            <w:r>
              <w:rPr>
                <w:rStyle w:val="26"/>
                <w:color w:val="auto"/>
                <w:bdr w:val="none" w:color="auto" w:sz="0" w:space="0"/>
                <w:vertAlign w:val="superscript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、脱氢乙酸及其钠盐（以脱氢乙酸计）、苯甲酸及其钠盐（以苯甲酸计）</w:t>
            </w:r>
            <w:r>
              <w:rPr>
                <w:rStyle w:val="26"/>
                <w:color w:val="auto"/>
                <w:bdr w:val="none" w:color="auto" w:sz="0" w:space="0"/>
                <w:vertAlign w:val="superscript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、山梨酸及其钾盐（以山梨酸计）、乙二胺四乙酸二钠</w:t>
            </w:r>
            <w:r>
              <w:rPr>
                <w:rStyle w:val="26"/>
                <w:color w:val="auto"/>
                <w:bdr w:val="none" w:color="auto" w:sz="0" w:space="0"/>
                <w:vertAlign w:val="superscript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en-US" w:bidi="ar"/>
              </w:rPr>
              <w:t>、商业无菌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米制品、花生制品抽取样品量不少于8个独立包装，总量不少于3kg;其他样品抽取样品量不少于6个独立包装，总量不少于1.5kg。玉米制品、花生制品所抽取样品分为2份，约5个包装为检验样品，约3个包装为复检备份样品(玉米制品、花生制品备份样品大于1kg);其他产品所抽取样品分为2份，约2/3为检验样品，约1/3为复检备份样品(待检样品及复检样品包装数量均不得少于2个)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a. 限花生制品、玉米制品检测。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b. 含杏仁产品不检测。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c. 限坚果及籽类罐头和八宝粥罐头检测。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保健食品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保健食品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保健食品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保健食品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按企业标准全项目检验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固体/液体：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1、抽样量不少于6个最小独立包装且总量≥300g或300mL。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对于微生物要求二级或三级采样方案的产品，如饮料、乳制品、饼干等，抽样量不少于 9 个最小独立包装且总量≥600g 或 600mL，抽取的样品中约 2/3 为检验样品，约 1/3 为复检备份样品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 以上所列样品量是指通常情况下，特殊标准或项目除外；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 抽样及封样量要同时满足重量（容量）和包装数（独立销售包装）的要求。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01BAB"/>
    <w:rsid w:val="003E200F"/>
    <w:rsid w:val="131A421F"/>
    <w:rsid w:val="1E1A6F42"/>
    <w:rsid w:val="32FB2F51"/>
    <w:rsid w:val="3BF343BE"/>
    <w:rsid w:val="3E2E4DE5"/>
    <w:rsid w:val="4F7A6CE0"/>
    <w:rsid w:val="57C1258D"/>
    <w:rsid w:val="6AF469D7"/>
    <w:rsid w:val="7AD01BAB"/>
    <w:rsid w:val="7E38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character" w:default="1" w:styleId="7">
    <w:name w:val="Default Paragraph Font"/>
    <w:link w:val="8"/>
    <w:semiHidden/>
    <w:qFormat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  <w:rPr>
      <w:rFonts w:eastAsia="仿宋"/>
      <w:sz w:val="28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8">
    <w:name w:val=" Char Char Char Char Char Char1 Char"/>
    <w:basedOn w:val="1"/>
    <w:link w:val="7"/>
    <w:qFormat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">
    <w:name w:val="正文仿宋gb"/>
    <w:qFormat/>
    <w:uiPriority w:val="0"/>
    <w:pPr>
      <w:spacing w:line="560" w:lineRule="exact"/>
    </w:pPr>
    <w:rPr>
      <w:rFonts w:ascii="Calibri" w:hAnsi="Calibri" w:eastAsia="仿宋_GB2312" w:cstheme="minorBidi"/>
      <w:sz w:val="32"/>
    </w:rPr>
  </w:style>
  <w:style w:type="character" w:customStyle="1" w:styleId="10">
    <w:name w:val="font112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16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  <w:style w:type="character" w:customStyle="1" w:styleId="12">
    <w:name w:val="font15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41"/>
    <w:basedOn w:val="7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4">
    <w:name w:val="font111"/>
    <w:basedOn w:val="7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0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  <w:style w:type="character" w:customStyle="1" w:styleId="18">
    <w:name w:val="font1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9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1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131"/>
    <w:basedOn w:val="7"/>
    <w:qFormat/>
    <w:uiPriority w:val="0"/>
    <w:rPr>
      <w:rFonts w:ascii="Arial Unicode MS" w:hAnsi="Arial Unicode MS" w:eastAsia="Arial Unicode MS" w:cs="Arial Unicode MS"/>
      <w:color w:val="000000"/>
      <w:sz w:val="18"/>
      <w:szCs w:val="18"/>
      <w:u w:val="none"/>
    </w:rPr>
  </w:style>
  <w:style w:type="character" w:customStyle="1" w:styleId="23">
    <w:name w:val="font101"/>
    <w:basedOn w:val="7"/>
    <w:qFormat/>
    <w:uiPriority w:val="0"/>
    <w:rPr>
      <w:rFonts w:hint="eastAsia" w:ascii="宋体" w:hAnsi="宋体" w:eastAsia="宋体" w:cs="宋体"/>
      <w:color w:val="000000"/>
      <w:sz w:val="11"/>
      <w:szCs w:val="11"/>
      <w:u w:val="none"/>
    </w:rPr>
  </w:style>
  <w:style w:type="character" w:customStyle="1" w:styleId="24">
    <w:name w:val="font221"/>
    <w:basedOn w:val="7"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  <w:style w:type="character" w:customStyle="1" w:styleId="25">
    <w:name w:val="font211"/>
    <w:basedOn w:val="7"/>
    <w:uiPriority w:val="0"/>
    <w:rPr>
      <w:rFonts w:hint="eastAsia" w:ascii="宋体" w:hAnsi="宋体" w:eastAsia="宋体" w:cs="宋体"/>
      <w:color w:val="00B0F0"/>
      <w:sz w:val="18"/>
      <w:szCs w:val="18"/>
      <w:u w:val="none"/>
    </w:rPr>
  </w:style>
  <w:style w:type="character" w:customStyle="1" w:styleId="26">
    <w:name w:val="font20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27">
    <w:name w:val="font1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91"/>
    <w:basedOn w:val="7"/>
    <w:uiPriority w:val="0"/>
    <w:rPr>
      <w:rFonts w:hint="eastAsia" w:ascii="宋体" w:hAnsi="宋体" w:eastAsia="宋体" w:cs="宋体"/>
      <w:color w:val="92D050"/>
      <w:sz w:val="18"/>
      <w:szCs w:val="18"/>
      <w:u w:val="none"/>
    </w:rPr>
  </w:style>
  <w:style w:type="character" w:customStyle="1" w:styleId="29">
    <w:name w:val="font8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0">
    <w:name w:val="font181"/>
    <w:basedOn w:val="7"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2025-01-02T03:31:00Z</dcterms:created>
  <dc:creator>黄汉杰</dc:creator>
  <cp:lastModifiedBy>黄汉杰</cp:lastModifiedBy>
  <dcterms:modified xsi:type="dcterms:W3CDTF">2026-04-03T02:34:56Z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