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F32A85">
      <w:pPr>
        <w:pStyle w:val="9"/>
        <w:spacing w:line="560" w:lineRule="exact"/>
        <w:rPr>
          <w:rFonts w:hint="eastAsia" w:ascii="宋体" w:hAnsi="宋体" w:eastAsia="黑体"/>
          <w:b w:val="0"/>
          <w:bCs/>
          <w:u w:val="none"/>
          <w:lang w:eastAsia="zh-CN"/>
        </w:rPr>
      </w:pPr>
      <w:r>
        <w:rPr>
          <w:rFonts w:hint="eastAsia" w:ascii="宋体" w:hAnsi="宋体"/>
          <w:b w:val="0"/>
          <w:bCs/>
          <w:u w:val="none"/>
        </w:rPr>
        <w:t>附件</w:t>
      </w:r>
      <w:r>
        <w:rPr>
          <w:rFonts w:hint="eastAsia" w:ascii="宋体" w:hAnsi="宋体"/>
          <w:b w:val="0"/>
          <w:bCs/>
          <w:u w:val="none"/>
          <w:lang w:val="en-US" w:eastAsia="zh-CN"/>
        </w:rPr>
        <w:t>3</w:t>
      </w:r>
    </w:p>
    <w:p w14:paraId="59A7B4A3">
      <w:pPr>
        <w:pStyle w:val="3"/>
        <w:spacing w:line="560" w:lineRule="exact"/>
        <w:rPr>
          <w:b w:val="0"/>
          <w:bCs/>
          <w:u w:val="none"/>
        </w:rPr>
      </w:pPr>
    </w:p>
    <w:p w14:paraId="31E300E0">
      <w:pPr>
        <w:pStyle w:val="3"/>
        <w:spacing w:line="560" w:lineRule="exact"/>
        <w:rPr>
          <w:rFonts w:hint="eastAsia" w:ascii="方正小标宋_GBK" w:hAnsi="方正小标宋_GBK" w:eastAsia="方正小标宋_GBK" w:cs="方正小标宋_GBK"/>
          <w:b w:val="0"/>
          <w:bCs/>
          <w:u w:val="none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u w:val="none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/>
          <w:u w:val="none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 w:val="0"/>
          <w:bCs/>
          <w:u w:val="none"/>
        </w:rPr>
        <w:t>年度检验检测机构监督检查信息统计表</w:t>
      </w:r>
    </w:p>
    <w:bookmarkEnd w:id="0"/>
    <w:p w14:paraId="379912AA">
      <w:pPr>
        <w:spacing w:line="300" w:lineRule="exact"/>
        <w:ind w:firstLine="640"/>
        <w:rPr>
          <w:b w:val="0"/>
          <w:bCs/>
          <w:u w:val="none"/>
        </w:rPr>
      </w:pPr>
    </w:p>
    <w:tbl>
      <w:tblPr>
        <w:tblStyle w:val="7"/>
        <w:tblW w:w="496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1535"/>
        <w:gridCol w:w="889"/>
        <w:gridCol w:w="950"/>
        <w:gridCol w:w="950"/>
        <w:gridCol w:w="950"/>
        <w:gridCol w:w="953"/>
        <w:gridCol w:w="812"/>
        <w:gridCol w:w="809"/>
        <w:gridCol w:w="809"/>
        <w:gridCol w:w="982"/>
        <w:gridCol w:w="920"/>
        <w:gridCol w:w="920"/>
        <w:gridCol w:w="920"/>
        <w:gridCol w:w="921"/>
        <w:gridCol w:w="863"/>
      </w:tblGrid>
      <w:tr w14:paraId="3D50F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24" w:hRule="atLeast"/>
          <w:jc w:val="center"/>
        </w:trPr>
        <w:tc>
          <w:tcPr>
            <w:tcW w:w="1518" w:type="dxa"/>
            <w:vMerge w:val="restart"/>
            <w:noWrap w:val="0"/>
            <w:vAlign w:val="center"/>
          </w:tcPr>
          <w:p w14:paraId="65041C08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 w:cs="方正黑体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1"/>
                <w:szCs w:val="21"/>
                <w:u w:val="none"/>
              </w:rPr>
              <w:t>领域</w:t>
            </w:r>
          </w:p>
        </w:tc>
        <w:tc>
          <w:tcPr>
            <w:tcW w:w="5437" w:type="dxa"/>
            <w:gridSpan w:val="6"/>
            <w:noWrap w:val="0"/>
            <w:vAlign w:val="center"/>
          </w:tcPr>
          <w:p w14:paraId="35EF627C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1"/>
                <w:szCs w:val="21"/>
                <w:u w:val="none"/>
              </w:rPr>
              <w:t>全年检验检测机构监督检查情况</w:t>
            </w:r>
          </w:p>
          <w:p w14:paraId="3B515072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1"/>
                <w:szCs w:val="21"/>
                <w:u w:val="none"/>
              </w:rPr>
              <w:t>（包括批办、投诉、信访、“双随机、一公开”等）</w:t>
            </w:r>
          </w:p>
        </w:tc>
        <w:tc>
          <w:tcPr>
            <w:tcW w:w="7059" w:type="dxa"/>
            <w:gridSpan w:val="8"/>
            <w:noWrap w:val="0"/>
            <w:vAlign w:val="center"/>
          </w:tcPr>
          <w:p w14:paraId="512C1935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1"/>
                <w:szCs w:val="21"/>
                <w:u w:val="none"/>
              </w:rPr>
              <w:t>“双随机、一公开”监督抽查情况</w:t>
            </w:r>
          </w:p>
        </w:tc>
      </w:tr>
      <w:tr w14:paraId="02E00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81" w:hRule="atLeast"/>
          <w:jc w:val="center"/>
        </w:trPr>
        <w:tc>
          <w:tcPr>
            <w:tcW w:w="1518" w:type="dxa"/>
            <w:vMerge w:val="continue"/>
            <w:noWrap w:val="0"/>
            <w:vAlign w:val="center"/>
          </w:tcPr>
          <w:p w14:paraId="12CCE068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9" w:type="dxa"/>
            <w:vMerge w:val="restart"/>
            <w:noWrap w:val="0"/>
            <w:vAlign w:val="center"/>
          </w:tcPr>
          <w:p w14:paraId="0FAAA491">
            <w:pPr>
              <w:widowControl/>
              <w:overflowPunct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  <w:t>现场检查机构数（家）</w:t>
            </w:r>
          </w:p>
        </w:tc>
        <w:tc>
          <w:tcPr>
            <w:tcW w:w="3755" w:type="dxa"/>
            <w:gridSpan w:val="4"/>
            <w:noWrap w:val="0"/>
            <w:vAlign w:val="center"/>
          </w:tcPr>
          <w:p w14:paraId="362ACE35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1"/>
                <w:szCs w:val="21"/>
                <w:u w:val="none"/>
              </w:rPr>
              <w:t>处理/处罚情况</w:t>
            </w:r>
          </w:p>
        </w:tc>
        <w:tc>
          <w:tcPr>
            <w:tcW w:w="803" w:type="dxa"/>
            <w:vMerge w:val="restart"/>
            <w:noWrap w:val="0"/>
            <w:vAlign w:val="center"/>
          </w:tcPr>
          <w:p w14:paraId="45A77B48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  <w:t>移送司法机关（起）</w:t>
            </w:r>
          </w:p>
        </w:tc>
        <w:tc>
          <w:tcPr>
            <w:tcW w:w="2571" w:type="dxa"/>
            <w:gridSpan w:val="3"/>
            <w:noWrap w:val="0"/>
            <w:vAlign w:val="center"/>
          </w:tcPr>
          <w:p w14:paraId="7ED3916C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 w:cs="方正黑体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1"/>
                <w:szCs w:val="21"/>
                <w:u w:val="none"/>
              </w:rPr>
              <w:t>抽取情况</w:t>
            </w:r>
          </w:p>
        </w:tc>
        <w:tc>
          <w:tcPr>
            <w:tcW w:w="3634" w:type="dxa"/>
            <w:gridSpan w:val="4"/>
            <w:noWrap w:val="0"/>
            <w:vAlign w:val="center"/>
          </w:tcPr>
          <w:p w14:paraId="7B2477DA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 w:cs="方正黑体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1"/>
                <w:szCs w:val="21"/>
                <w:u w:val="none"/>
              </w:rPr>
              <w:t>处理/处罚情况</w:t>
            </w:r>
          </w:p>
        </w:tc>
        <w:tc>
          <w:tcPr>
            <w:tcW w:w="854" w:type="dxa"/>
            <w:vMerge w:val="restart"/>
            <w:noWrap w:val="0"/>
            <w:vAlign w:val="center"/>
          </w:tcPr>
          <w:p w14:paraId="7B574998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  <w:t>移送司法机关（起）</w:t>
            </w:r>
          </w:p>
        </w:tc>
      </w:tr>
      <w:tr w14:paraId="151B2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367" w:hRule="atLeast"/>
          <w:jc w:val="center"/>
        </w:trPr>
        <w:tc>
          <w:tcPr>
            <w:tcW w:w="1518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2E58B0DD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9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18C6781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tcBorders>
              <w:bottom w:val="single" w:color="auto" w:sz="4" w:space="0"/>
            </w:tcBorders>
            <w:noWrap w:val="0"/>
            <w:vAlign w:val="center"/>
          </w:tcPr>
          <w:p w14:paraId="2A547E45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  <w:t>查处违法违规行为（起）</w:t>
            </w:r>
          </w:p>
        </w:tc>
        <w:tc>
          <w:tcPr>
            <w:tcW w:w="938" w:type="dxa"/>
            <w:tcBorders>
              <w:bottom w:val="single" w:color="auto" w:sz="4" w:space="0"/>
            </w:tcBorders>
            <w:noWrap w:val="0"/>
            <w:vAlign w:val="center"/>
          </w:tcPr>
          <w:p w14:paraId="01E9DAD9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 w:cs="方正仿宋_GBK"/>
                <w:b w:val="0"/>
                <w:bCs/>
                <w:color w:val="000000"/>
                <w:spacing w:val="-4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/>
                <w:color w:val="000000"/>
                <w:spacing w:val="-4"/>
                <w:sz w:val="21"/>
                <w:szCs w:val="21"/>
                <w:u w:val="none"/>
              </w:rPr>
              <w:t>其中：责令改正/整改（家）</w:t>
            </w:r>
          </w:p>
        </w:tc>
        <w:tc>
          <w:tcPr>
            <w:tcW w:w="938" w:type="dxa"/>
            <w:tcBorders>
              <w:bottom w:val="single" w:color="auto" w:sz="4" w:space="0"/>
            </w:tcBorders>
            <w:noWrap w:val="0"/>
            <w:vAlign w:val="center"/>
          </w:tcPr>
          <w:p w14:paraId="5280A23C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  <w:t>撤销/注销（家）</w:t>
            </w:r>
          </w:p>
        </w:tc>
        <w:tc>
          <w:tcPr>
            <w:tcW w:w="941" w:type="dxa"/>
            <w:tcBorders>
              <w:bottom w:val="single" w:color="auto" w:sz="4" w:space="0"/>
            </w:tcBorders>
            <w:noWrap w:val="0"/>
            <w:vAlign w:val="center"/>
          </w:tcPr>
          <w:p w14:paraId="1F077324">
            <w:pPr>
              <w:widowControl/>
              <w:overflowPunct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  <w:t>罚没款（万元）</w:t>
            </w:r>
          </w:p>
        </w:tc>
        <w:tc>
          <w:tcPr>
            <w:tcW w:w="80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DE645A5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tcBorders>
              <w:bottom w:val="single" w:color="auto" w:sz="4" w:space="0"/>
            </w:tcBorders>
            <w:noWrap w:val="0"/>
            <w:vAlign w:val="center"/>
          </w:tcPr>
          <w:p w14:paraId="4946267F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  <w:t>现场抽查机构数（家次）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noWrap w:val="0"/>
            <w:vAlign w:val="center"/>
          </w:tcPr>
          <w:p w14:paraId="2DEA5817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  <w:t>抽取比例（%）</w:t>
            </w:r>
          </w:p>
        </w:tc>
        <w:tc>
          <w:tcPr>
            <w:tcW w:w="971" w:type="dxa"/>
            <w:tcBorders>
              <w:bottom w:val="single" w:color="auto" w:sz="4" w:space="0"/>
            </w:tcBorders>
            <w:noWrap w:val="0"/>
            <w:vAlign w:val="center"/>
          </w:tcPr>
          <w:p w14:paraId="7ED1C941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  <w:t>占本年度监督检查机构比例（%）</w:t>
            </w:r>
          </w:p>
        </w:tc>
        <w:tc>
          <w:tcPr>
            <w:tcW w:w="908" w:type="dxa"/>
            <w:tcBorders>
              <w:bottom w:val="single" w:color="auto" w:sz="4" w:space="0"/>
            </w:tcBorders>
            <w:noWrap w:val="0"/>
            <w:vAlign w:val="center"/>
          </w:tcPr>
          <w:p w14:paraId="178EF05C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  <w:t>查办违法违规行为数量（起）</w:t>
            </w:r>
          </w:p>
        </w:tc>
        <w:tc>
          <w:tcPr>
            <w:tcW w:w="908" w:type="dxa"/>
            <w:tcBorders>
              <w:bottom w:val="single" w:color="auto" w:sz="4" w:space="0"/>
            </w:tcBorders>
            <w:noWrap w:val="0"/>
            <w:vAlign w:val="center"/>
          </w:tcPr>
          <w:p w14:paraId="31747957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  <w:t>其中：责令改正/整改（家）</w:t>
            </w:r>
          </w:p>
        </w:tc>
        <w:tc>
          <w:tcPr>
            <w:tcW w:w="908" w:type="dxa"/>
            <w:tcBorders>
              <w:bottom w:val="single" w:color="auto" w:sz="4" w:space="0"/>
            </w:tcBorders>
            <w:noWrap w:val="0"/>
            <w:vAlign w:val="center"/>
          </w:tcPr>
          <w:p w14:paraId="2FD5B8CF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  <w:t>撤销/注销（家）</w:t>
            </w:r>
          </w:p>
        </w:tc>
        <w:tc>
          <w:tcPr>
            <w:tcW w:w="910" w:type="dxa"/>
            <w:tcBorders>
              <w:bottom w:val="single" w:color="auto" w:sz="4" w:space="0"/>
            </w:tcBorders>
            <w:noWrap w:val="0"/>
            <w:vAlign w:val="center"/>
          </w:tcPr>
          <w:p w14:paraId="3DD3655D">
            <w:pPr>
              <w:widowControl/>
              <w:overflowPunct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  <w:t>罚没款</w:t>
            </w:r>
          </w:p>
          <w:p w14:paraId="4B615E5B">
            <w:pPr>
              <w:widowControl/>
              <w:overflowPunct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  <w:t>（万元）</w:t>
            </w:r>
          </w:p>
        </w:tc>
        <w:tc>
          <w:tcPr>
            <w:tcW w:w="85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34065FDA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</w:tr>
      <w:tr w14:paraId="6DE47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16" w:hRule="atLeast"/>
          <w:jc w:val="center"/>
        </w:trPr>
        <w:tc>
          <w:tcPr>
            <w:tcW w:w="1518" w:type="dxa"/>
            <w:noWrap w:val="0"/>
            <w:vAlign w:val="center"/>
          </w:tcPr>
          <w:p w14:paraId="62CD5EFA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  <w:t>生态环境</w:t>
            </w:r>
          </w:p>
        </w:tc>
        <w:tc>
          <w:tcPr>
            <w:tcW w:w="879" w:type="dxa"/>
            <w:noWrap w:val="0"/>
            <w:vAlign w:val="center"/>
          </w:tcPr>
          <w:p w14:paraId="2113DC77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39EC5E65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1E4FE724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5DAEB6E8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1" w:type="dxa"/>
            <w:noWrap w:val="0"/>
            <w:vAlign w:val="center"/>
          </w:tcPr>
          <w:p w14:paraId="696F70CB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3" w:type="dxa"/>
            <w:noWrap w:val="0"/>
            <w:vAlign w:val="center"/>
          </w:tcPr>
          <w:p w14:paraId="18E4C655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noWrap w:val="0"/>
            <w:vAlign w:val="center"/>
          </w:tcPr>
          <w:p w14:paraId="0166D2F0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noWrap w:val="0"/>
            <w:vAlign w:val="center"/>
          </w:tcPr>
          <w:p w14:paraId="64F92CC1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1" w:type="dxa"/>
            <w:noWrap w:val="0"/>
            <w:vAlign w:val="center"/>
          </w:tcPr>
          <w:p w14:paraId="240BC6CF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623128FD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074D44BC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373F310E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0" w:type="dxa"/>
            <w:noWrap w:val="0"/>
            <w:vAlign w:val="center"/>
          </w:tcPr>
          <w:p w14:paraId="4EB45364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4" w:type="dxa"/>
            <w:noWrap w:val="0"/>
            <w:vAlign w:val="center"/>
          </w:tcPr>
          <w:p w14:paraId="06EB0920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</w:tr>
      <w:tr w14:paraId="02613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16" w:hRule="atLeast"/>
          <w:jc w:val="center"/>
        </w:trPr>
        <w:tc>
          <w:tcPr>
            <w:tcW w:w="1518" w:type="dxa"/>
            <w:noWrap w:val="0"/>
            <w:vAlign w:val="center"/>
          </w:tcPr>
          <w:p w14:paraId="2774DCE9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  <w:t>机动车</w:t>
            </w:r>
          </w:p>
        </w:tc>
        <w:tc>
          <w:tcPr>
            <w:tcW w:w="879" w:type="dxa"/>
            <w:noWrap w:val="0"/>
            <w:vAlign w:val="center"/>
          </w:tcPr>
          <w:p w14:paraId="23A0E4A2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5F2AE7CA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727BF0DF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22EEA3C6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1" w:type="dxa"/>
            <w:noWrap w:val="0"/>
            <w:vAlign w:val="center"/>
          </w:tcPr>
          <w:p w14:paraId="12DBDE5F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3" w:type="dxa"/>
            <w:noWrap w:val="0"/>
            <w:vAlign w:val="center"/>
          </w:tcPr>
          <w:p w14:paraId="243B767A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noWrap w:val="0"/>
            <w:vAlign w:val="center"/>
          </w:tcPr>
          <w:p w14:paraId="4311C437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noWrap w:val="0"/>
            <w:vAlign w:val="center"/>
          </w:tcPr>
          <w:p w14:paraId="222BFA58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1" w:type="dxa"/>
            <w:noWrap w:val="0"/>
            <w:vAlign w:val="center"/>
          </w:tcPr>
          <w:p w14:paraId="7FEC6ACA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53FB0D3B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09CA190E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01E15834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0" w:type="dxa"/>
            <w:noWrap w:val="0"/>
            <w:vAlign w:val="center"/>
          </w:tcPr>
          <w:p w14:paraId="0F9B9E76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4" w:type="dxa"/>
            <w:noWrap w:val="0"/>
            <w:vAlign w:val="center"/>
          </w:tcPr>
          <w:p w14:paraId="5559CAB2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</w:tr>
      <w:tr w14:paraId="23F13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16" w:hRule="atLeast"/>
          <w:jc w:val="center"/>
        </w:trPr>
        <w:tc>
          <w:tcPr>
            <w:tcW w:w="1518" w:type="dxa"/>
            <w:noWrap w:val="0"/>
            <w:vAlign w:val="center"/>
          </w:tcPr>
          <w:p w14:paraId="58CE2223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  <w:t>建材</w:t>
            </w:r>
          </w:p>
        </w:tc>
        <w:tc>
          <w:tcPr>
            <w:tcW w:w="879" w:type="dxa"/>
            <w:noWrap w:val="0"/>
            <w:vAlign w:val="center"/>
          </w:tcPr>
          <w:p w14:paraId="68E94B2C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4B1DA0D8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396EF2C4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7E71F484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1" w:type="dxa"/>
            <w:noWrap w:val="0"/>
            <w:vAlign w:val="center"/>
          </w:tcPr>
          <w:p w14:paraId="50ACC28E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3" w:type="dxa"/>
            <w:noWrap w:val="0"/>
            <w:vAlign w:val="center"/>
          </w:tcPr>
          <w:p w14:paraId="368FA3BF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noWrap w:val="0"/>
            <w:vAlign w:val="center"/>
          </w:tcPr>
          <w:p w14:paraId="368A0470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noWrap w:val="0"/>
            <w:vAlign w:val="center"/>
          </w:tcPr>
          <w:p w14:paraId="1D200B6C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1" w:type="dxa"/>
            <w:noWrap w:val="0"/>
            <w:vAlign w:val="center"/>
          </w:tcPr>
          <w:p w14:paraId="13B9C739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3CDE8D76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530EDBF0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0E45B671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0" w:type="dxa"/>
            <w:noWrap w:val="0"/>
            <w:vAlign w:val="center"/>
          </w:tcPr>
          <w:p w14:paraId="761F34DD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4" w:type="dxa"/>
            <w:noWrap w:val="0"/>
            <w:vAlign w:val="center"/>
          </w:tcPr>
          <w:p w14:paraId="553EAA48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</w:tr>
      <w:tr w14:paraId="7F850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16" w:hRule="atLeast"/>
          <w:jc w:val="center"/>
        </w:trPr>
        <w:tc>
          <w:tcPr>
            <w:tcW w:w="1518" w:type="dxa"/>
            <w:noWrap w:val="0"/>
            <w:vAlign w:val="center"/>
          </w:tcPr>
          <w:p w14:paraId="0E0F3327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  <w:lang w:eastAsia="zh-CN"/>
              </w:rPr>
              <w:t>人防</w:t>
            </w:r>
          </w:p>
        </w:tc>
        <w:tc>
          <w:tcPr>
            <w:tcW w:w="879" w:type="dxa"/>
            <w:noWrap w:val="0"/>
            <w:vAlign w:val="center"/>
          </w:tcPr>
          <w:p w14:paraId="7C202092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12543AAB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0FD5C1B2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09C6A4BE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1" w:type="dxa"/>
            <w:noWrap w:val="0"/>
            <w:vAlign w:val="center"/>
          </w:tcPr>
          <w:p w14:paraId="073427F0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3" w:type="dxa"/>
            <w:noWrap w:val="0"/>
            <w:vAlign w:val="center"/>
          </w:tcPr>
          <w:p w14:paraId="2FA0663E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noWrap w:val="0"/>
            <w:vAlign w:val="center"/>
          </w:tcPr>
          <w:p w14:paraId="10866DD6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noWrap w:val="0"/>
            <w:vAlign w:val="center"/>
          </w:tcPr>
          <w:p w14:paraId="1B64E5F4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1" w:type="dxa"/>
            <w:noWrap w:val="0"/>
            <w:vAlign w:val="center"/>
          </w:tcPr>
          <w:p w14:paraId="3F73DEE8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5B12F85E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780B8ECC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331E5F75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0" w:type="dxa"/>
            <w:noWrap w:val="0"/>
            <w:vAlign w:val="center"/>
          </w:tcPr>
          <w:p w14:paraId="5FE8CBDF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4" w:type="dxa"/>
            <w:noWrap w:val="0"/>
            <w:vAlign w:val="center"/>
          </w:tcPr>
          <w:p w14:paraId="3F25C6DA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</w:tr>
      <w:tr w14:paraId="126B1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16" w:hRule="atLeast"/>
          <w:jc w:val="center"/>
        </w:trPr>
        <w:tc>
          <w:tcPr>
            <w:tcW w:w="1518" w:type="dxa"/>
            <w:noWrap w:val="0"/>
            <w:vAlign w:val="center"/>
          </w:tcPr>
          <w:p w14:paraId="5CA7AFA9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  <w:t>食品</w:t>
            </w:r>
          </w:p>
        </w:tc>
        <w:tc>
          <w:tcPr>
            <w:tcW w:w="879" w:type="dxa"/>
            <w:noWrap w:val="0"/>
            <w:vAlign w:val="center"/>
          </w:tcPr>
          <w:p w14:paraId="430A8E98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52727E3B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35B148C5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57A40DCB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1" w:type="dxa"/>
            <w:noWrap w:val="0"/>
            <w:vAlign w:val="center"/>
          </w:tcPr>
          <w:p w14:paraId="67EC0B79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3" w:type="dxa"/>
            <w:noWrap w:val="0"/>
            <w:vAlign w:val="center"/>
          </w:tcPr>
          <w:p w14:paraId="5DB01B8F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noWrap w:val="0"/>
            <w:vAlign w:val="center"/>
          </w:tcPr>
          <w:p w14:paraId="4EB33DC3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noWrap w:val="0"/>
            <w:vAlign w:val="center"/>
          </w:tcPr>
          <w:p w14:paraId="74293BE1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1" w:type="dxa"/>
            <w:noWrap w:val="0"/>
            <w:vAlign w:val="center"/>
          </w:tcPr>
          <w:p w14:paraId="5830C6CF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50E5048A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54EE511B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2D561F6D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0" w:type="dxa"/>
            <w:noWrap w:val="0"/>
            <w:vAlign w:val="center"/>
          </w:tcPr>
          <w:p w14:paraId="0EAE0A43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4" w:type="dxa"/>
            <w:noWrap w:val="0"/>
            <w:vAlign w:val="center"/>
          </w:tcPr>
          <w:p w14:paraId="362C8C15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</w:tr>
      <w:tr w14:paraId="0A0AC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16" w:hRule="atLeast"/>
          <w:jc w:val="center"/>
        </w:trPr>
        <w:tc>
          <w:tcPr>
            <w:tcW w:w="1518" w:type="dxa"/>
            <w:noWrap w:val="0"/>
            <w:vAlign w:val="center"/>
          </w:tcPr>
          <w:p w14:paraId="79270AC7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  <w:t>采矿冶金</w:t>
            </w:r>
          </w:p>
        </w:tc>
        <w:tc>
          <w:tcPr>
            <w:tcW w:w="879" w:type="dxa"/>
            <w:noWrap w:val="0"/>
            <w:vAlign w:val="center"/>
          </w:tcPr>
          <w:p w14:paraId="588720B3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1BE0F2DF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6FFE21DF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7F119D92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1" w:type="dxa"/>
            <w:noWrap w:val="0"/>
            <w:vAlign w:val="center"/>
          </w:tcPr>
          <w:p w14:paraId="47DB0F6D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3" w:type="dxa"/>
            <w:noWrap w:val="0"/>
            <w:vAlign w:val="center"/>
          </w:tcPr>
          <w:p w14:paraId="51964063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noWrap w:val="0"/>
            <w:vAlign w:val="center"/>
          </w:tcPr>
          <w:p w14:paraId="6848C4B0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noWrap w:val="0"/>
            <w:vAlign w:val="center"/>
          </w:tcPr>
          <w:p w14:paraId="21D75053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1" w:type="dxa"/>
            <w:noWrap w:val="0"/>
            <w:vAlign w:val="center"/>
          </w:tcPr>
          <w:p w14:paraId="496EE5E7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4D175B35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13DB63EC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53144816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0" w:type="dxa"/>
            <w:noWrap w:val="0"/>
            <w:vAlign w:val="center"/>
          </w:tcPr>
          <w:p w14:paraId="3C12F15F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4" w:type="dxa"/>
            <w:noWrap w:val="0"/>
            <w:vAlign w:val="center"/>
          </w:tcPr>
          <w:p w14:paraId="4536ECC9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</w:tr>
      <w:tr w14:paraId="4C9C4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16" w:hRule="atLeast"/>
          <w:jc w:val="center"/>
        </w:trPr>
        <w:tc>
          <w:tcPr>
            <w:tcW w:w="1518" w:type="dxa"/>
            <w:noWrap w:val="0"/>
            <w:vAlign w:val="center"/>
          </w:tcPr>
          <w:p w14:paraId="16373F64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  <w:t>水利水质</w:t>
            </w:r>
          </w:p>
        </w:tc>
        <w:tc>
          <w:tcPr>
            <w:tcW w:w="879" w:type="dxa"/>
            <w:noWrap w:val="0"/>
            <w:vAlign w:val="center"/>
          </w:tcPr>
          <w:p w14:paraId="02371F91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19E0A09E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2B3FF23A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2D5E52F0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1" w:type="dxa"/>
            <w:noWrap w:val="0"/>
            <w:vAlign w:val="center"/>
          </w:tcPr>
          <w:p w14:paraId="398A6E9F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3" w:type="dxa"/>
            <w:noWrap w:val="0"/>
            <w:vAlign w:val="center"/>
          </w:tcPr>
          <w:p w14:paraId="7ECC8EDC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noWrap w:val="0"/>
            <w:vAlign w:val="center"/>
          </w:tcPr>
          <w:p w14:paraId="4FF41586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noWrap w:val="0"/>
            <w:vAlign w:val="center"/>
          </w:tcPr>
          <w:p w14:paraId="7DC9ACD1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1" w:type="dxa"/>
            <w:noWrap w:val="0"/>
            <w:vAlign w:val="center"/>
          </w:tcPr>
          <w:p w14:paraId="3C3B4084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23CFD4F2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3D34B075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59B0699F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0" w:type="dxa"/>
            <w:noWrap w:val="0"/>
            <w:vAlign w:val="center"/>
          </w:tcPr>
          <w:p w14:paraId="52982AD0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4" w:type="dxa"/>
            <w:noWrap w:val="0"/>
            <w:vAlign w:val="center"/>
          </w:tcPr>
          <w:p w14:paraId="3CE37669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</w:tr>
      <w:tr w14:paraId="4D67A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16" w:hRule="atLeast"/>
          <w:jc w:val="center"/>
        </w:trPr>
        <w:tc>
          <w:tcPr>
            <w:tcW w:w="1518" w:type="dxa"/>
            <w:noWrap w:val="0"/>
            <w:vAlign w:val="center"/>
          </w:tcPr>
          <w:p w14:paraId="572A862C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  <w:t>医疗器械</w:t>
            </w:r>
          </w:p>
        </w:tc>
        <w:tc>
          <w:tcPr>
            <w:tcW w:w="879" w:type="dxa"/>
            <w:noWrap w:val="0"/>
            <w:vAlign w:val="center"/>
          </w:tcPr>
          <w:p w14:paraId="7FF4569F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2E998FC1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4E876B4F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55E7AB41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1" w:type="dxa"/>
            <w:noWrap w:val="0"/>
            <w:vAlign w:val="center"/>
          </w:tcPr>
          <w:p w14:paraId="54817F9E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3" w:type="dxa"/>
            <w:noWrap w:val="0"/>
            <w:vAlign w:val="center"/>
          </w:tcPr>
          <w:p w14:paraId="1E23857D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noWrap w:val="0"/>
            <w:vAlign w:val="center"/>
          </w:tcPr>
          <w:p w14:paraId="2F212698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noWrap w:val="0"/>
            <w:vAlign w:val="center"/>
          </w:tcPr>
          <w:p w14:paraId="772F1D26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1" w:type="dxa"/>
            <w:noWrap w:val="0"/>
            <w:vAlign w:val="center"/>
          </w:tcPr>
          <w:p w14:paraId="583CF448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5311018B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6160149C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61C48AA7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0" w:type="dxa"/>
            <w:noWrap w:val="0"/>
            <w:vAlign w:val="center"/>
          </w:tcPr>
          <w:p w14:paraId="5984DECF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4" w:type="dxa"/>
            <w:noWrap w:val="0"/>
            <w:vAlign w:val="center"/>
          </w:tcPr>
          <w:p w14:paraId="1EBF196E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</w:tr>
      <w:tr w14:paraId="4A918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16" w:hRule="atLeast"/>
          <w:jc w:val="center"/>
        </w:trPr>
        <w:tc>
          <w:tcPr>
            <w:tcW w:w="1518" w:type="dxa"/>
            <w:noWrap w:val="0"/>
            <w:vAlign w:val="center"/>
          </w:tcPr>
          <w:p w14:paraId="18C519C9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  <w:t>化妆品</w:t>
            </w:r>
          </w:p>
        </w:tc>
        <w:tc>
          <w:tcPr>
            <w:tcW w:w="879" w:type="dxa"/>
            <w:noWrap w:val="0"/>
            <w:vAlign w:val="center"/>
          </w:tcPr>
          <w:p w14:paraId="3391D053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49A8AB9B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5D415B80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078FD2B6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1" w:type="dxa"/>
            <w:noWrap w:val="0"/>
            <w:vAlign w:val="center"/>
          </w:tcPr>
          <w:p w14:paraId="2FF16A3A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3" w:type="dxa"/>
            <w:noWrap w:val="0"/>
            <w:vAlign w:val="center"/>
          </w:tcPr>
          <w:p w14:paraId="579156E3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noWrap w:val="0"/>
            <w:vAlign w:val="center"/>
          </w:tcPr>
          <w:p w14:paraId="5885B95E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noWrap w:val="0"/>
            <w:vAlign w:val="center"/>
          </w:tcPr>
          <w:p w14:paraId="601D728A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1" w:type="dxa"/>
            <w:noWrap w:val="0"/>
            <w:vAlign w:val="center"/>
          </w:tcPr>
          <w:p w14:paraId="194CA018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7884A075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61FDF0CA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12B7883D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0" w:type="dxa"/>
            <w:noWrap w:val="0"/>
            <w:vAlign w:val="center"/>
          </w:tcPr>
          <w:p w14:paraId="05E8B06E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4" w:type="dxa"/>
            <w:noWrap w:val="0"/>
            <w:vAlign w:val="center"/>
          </w:tcPr>
          <w:p w14:paraId="2D16DEE2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</w:tr>
      <w:tr w14:paraId="756C1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16" w:hRule="atLeast"/>
          <w:jc w:val="center"/>
        </w:trPr>
        <w:tc>
          <w:tcPr>
            <w:tcW w:w="1518" w:type="dxa"/>
            <w:noWrap w:val="0"/>
            <w:vAlign w:val="center"/>
          </w:tcPr>
          <w:p w14:paraId="26E7EF4D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  <w:t>司法鉴定</w:t>
            </w:r>
          </w:p>
        </w:tc>
        <w:tc>
          <w:tcPr>
            <w:tcW w:w="879" w:type="dxa"/>
            <w:noWrap w:val="0"/>
            <w:vAlign w:val="center"/>
          </w:tcPr>
          <w:p w14:paraId="72934F9E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5BD4FCF4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1D14097F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28A79D7A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1" w:type="dxa"/>
            <w:noWrap w:val="0"/>
            <w:vAlign w:val="center"/>
          </w:tcPr>
          <w:p w14:paraId="65E7232B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3" w:type="dxa"/>
            <w:noWrap w:val="0"/>
            <w:vAlign w:val="center"/>
          </w:tcPr>
          <w:p w14:paraId="5275E51C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noWrap w:val="0"/>
            <w:vAlign w:val="center"/>
          </w:tcPr>
          <w:p w14:paraId="12F44B66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noWrap w:val="0"/>
            <w:vAlign w:val="center"/>
          </w:tcPr>
          <w:p w14:paraId="76CA800E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1" w:type="dxa"/>
            <w:noWrap w:val="0"/>
            <w:vAlign w:val="center"/>
          </w:tcPr>
          <w:p w14:paraId="65C7E1EF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73663171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3E192B2E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7B4335FE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0" w:type="dxa"/>
            <w:noWrap w:val="0"/>
            <w:vAlign w:val="center"/>
          </w:tcPr>
          <w:p w14:paraId="7BC20290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4" w:type="dxa"/>
            <w:noWrap w:val="0"/>
            <w:vAlign w:val="center"/>
          </w:tcPr>
          <w:p w14:paraId="70BAC9F4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</w:tr>
      <w:tr w14:paraId="00607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16" w:hRule="atLeast"/>
          <w:jc w:val="center"/>
        </w:trPr>
        <w:tc>
          <w:tcPr>
            <w:tcW w:w="1518" w:type="dxa"/>
            <w:noWrap w:val="0"/>
            <w:vAlign w:val="center"/>
          </w:tcPr>
          <w:p w14:paraId="2E0D7D65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  <w:t>珠宝玉石</w:t>
            </w:r>
          </w:p>
        </w:tc>
        <w:tc>
          <w:tcPr>
            <w:tcW w:w="879" w:type="dxa"/>
            <w:noWrap w:val="0"/>
            <w:vAlign w:val="center"/>
          </w:tcPr>
          <w:p w14:paraId="7A695C54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023D3EC6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773DB0EA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6940C419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1" w:type="dxa"/>
            <w:noWrap w:val="0"/>
            <w:vAlign w:val="center"/>
          </w:tcPr>
          <w:p w14:paraId="3A73ED5C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3" w:type="dxa"/>
            <w:noWrap w:val="0"/>
            <w:vAlign w:val="center"/>
          </w:tcPr>
          <w:p w14:paraId="590E05D6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noWrap w:val="0"/>
            <w:vAlign w:val="center"/>
          </w:tcPr>
          <w:p w14:paraId="73F2690D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noWrap w:val="0"/>
            <w:vAlign w:val="center"/>
          </w:tcPr>
          <w:p w14:paraId="2A8B6B96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1" w:type="dxa"/>
            <w:noWrap w:val="0"/>
            <w:vAlign w:val="center"/>
          </w:tcPr>
          <w:p w14:paraId="03621D96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137756A6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7D5F4883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116330D4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0" w:type="dxa"/>
            <w:noWrap w:val="0"/>
            <w:vAlign w:val="center"/>
          </w:tcPr>
          <w:p w14:paraId="0331A791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4" w:type="dxa"/>
            <w:noWrap w:val="0"/>
            <w:vAlign w:val="center"/>
          </w:tcPr>
          <w:p w14:paraId="3C21A05A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</w:tr>
      <w:tr w14:paraId="54C2B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16" w:hRule="atLeast"/>
          <w:jc w:val="center"/>
        </w:trPr>
        <w:tc>
          <w:tcPr>
            <w:tcW w:w="1518" w:type="dxa"/>
            <w:noWrap w:val="0"/>
            <w:vAlign w:val="center"/>
          </w:tcPr>
          <w:p w14:paraId="62A07FB8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  <w:t>综合</w:t>
            </w:r>
          </w:p>
        </w:tc>
        <w:tc>
          <w:tcPr>
            <w:tcW w:w="879" w:type="dxa"/>
            <w:noWrap w:val="0"/>
            <w:vAlign w:val="center"/>
          </w:tcPr>
          <w:p w14:paraId="08971BB8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548FF20B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421BE6C2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59C47090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1" w:type="dxa"/>
            <w:noWrap w:val="0"/>
            <w:vAlign w:val="center"/>
          </w:tcPr>
          <w:p w14:paraId="4581FC15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3" w:type="dxa"/>
            <w:noWrap w:val="0"/>
            <w:vAlign w:val="center"/>
          </w:tcPr>
          <w:p w14:paraId="306565FB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noWrap w:val="0"/>
            <w:vAlign w:val="center"/>
          </w:tcPr>
          <w:p w14:paraId="5248186B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noWrap w:val="0"/>
            <w:vAlign w:val="center"/>
          </w:tcPr>
          <w:p w14:paraId="70C59AAB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1" w:type="dxa"/>
            <w:noWrap w:val="0"/>
            <w:vAlign w:val="center"/>
          </w:tcPr>
          <w:p w14:paraId="23673C91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16B4CCDE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73F1521D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095B1F55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0" w:type="dxa"/>
            <w:noWrap w:val="0"/>
            <w:vAlign w:val="center"/>
          </w:tcPr>
          <w:p w14:paraId="40543D67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4" w:type="dxa"/>
            <w:noWrap w:val="0"/>
            <w:vAlign w:val="center"/>
          </w:tcPr>
          <w:p w14:paraId="3D7006D2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</w:tr>
      <w:tr w14:paraId="3C9E6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16" w:hRule="atLeast"/>
          <w:jc w:val="center"/>
        </w:trPr>
        <w:tc>
          <w:tcPr>
            <w:tcW w:w="1518" w:type="dxa"/>
            <w:noWrap w:val="0"/>
            <w:vAlign w:val="center"/>
          </w:tcPr>
          <w:p w14:paraId="7F2EE77E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  <w:t>其他</w:t>
            </w:r>
          </w:p>
        </w:tc>
        <w:tc>
          <w:tcPr>
            <w:tcW w:w="879" w:type="dxa"/>
            <w:noWrap w:val="0"/>
            <w:vAlign w:val="center"/>
          </w:tcPr>
          <w:p w14:paraId="0FDDDAFC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240610FB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07D43522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51FB675D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1" w:type="dxa"/>
            <w:noWrap w:val="0"/>
            <w:vAlign w:val="center"/>
          </w:tcPr>
          <w:p w14:paraId="391E57C4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3" w:type="dxa"/>
            <w:noWrap w:val="0"/>
            <w:vAlign w:val="center"/>
          </w:tcPr>
          <w:p w14:paraId="7DC2C824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noWrap w:val="0"/>
            <w:vAlign w:val="center"/>
          </w:tcPr>
          <w:p w14:paraId="5ED22767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noWrap w:val="0"/>
            <w:vAlign w:val="center"/>
          </w:tcPr>
          <w:p w14:paraId="05D1E9C7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1" w:type="dxa"/>
            <w:noWrap w:val="0"/>
            <w:vAlign w:val="center"/>
          </w:tcPr>
          <w:p w14:paraId="4C3D9C42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3FA820AF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593A7B58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7DE7F8E8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0" w:type="dxa"/>
            <w:noWrap w:val="0"/>
            <w:vAlign w:val="center"/>
          </w:tcPr>
          <w:p w14:paraId="3A0AA8E3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4" w:type="dxa"/>
            <w:noWrap w:val="0"/>
            <w:vAlign w:val="center"/>
          </w:tcPr>
          <w:p w14:paraId="3C76378F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</w:tr>
      <w:tr w14:paraId="38750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16" w:hRule="atLeast"/>
          <w:jc w:val="center"/>
        </w:trPr>
        <w:tc>
          <w:tcPr>
            <w:tcW w:w="1518" w:type="dxa"/>
            <w:noWrap w:val="0"/>
            <w:vAlign w:val="center"/>
          </w:tcPr>
          <w:p w14:paraId="5933A5BE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/>
                <w:color w:val="000000"/>
                <w:sz w:val="21"/>
                <w:szCs w:val="21"/>
                <w:u w:val="none"/>
              </w:rPr>
              <w:t>总数</w:t>
            </w:r>
          </w:p>
        </w:tc>
        <w:tc>
          <w:tcPr>
            <w:tcW w:w="879" w:type="dxa"/>
            <w:noWrap w:val="0"/>
            <w:vAlign w:val="center"/>
          </w:tcPr>
          <w:p w14:paraId="6E7DB6BB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71259DCD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0C3B9882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noWrap w:val="0"/>
            <w:vAlign w:val="center"/>
          </w:tcPr>
          <w:p w14:paraId="587FE3E3">
            <w:pPr>
              <w:widowControl/>
              <w:overflowPunct/>
              <w:topLinePunct w:val="0"/>
              <w:spacing w:line="300" w:lineRule="exact"/>
              <w:ind w:firstLine="0" w:firstLineChars="0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1" w:type="dxa"/>
            <w:noWrap w:val="0"/>
            <w:vAlign w:val="center"/>
          </w:tcPr>
          <w:p w14:paraId="2C9D4088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3" w:type="dxa"/>
            <w:noWrap w:val="0"/>
            <w:vAlign w:val="center"/>
          </w:tcPr>
          <w:p w14:paraId="009779FF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noWrap w:val="0"/>
            <w:vAlign w:val="center"/>
          </w:tcPr>
          <w:p w14:paraId="13D6FDEC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noWrap w:val="0"/>
            <w:vAlign w:val="center"/>
          </w:tcPr>
          <w:p w14:paraId="05DD361B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1" w:type="dxa"/>
            <w:noWrap w:val="0"/>
            <w:vAlign w:val="center"/>
          </w:tcPr>
          <w:p w14:paraId="379C23EA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31FD1B89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4324B97E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noWrap w:val="0"/>
            <w:vAlign w:val="center"/>
          </w:tcPr>
          <w:p w14:paraId="4F96F5F7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0" w:type="dxa"/>
            <w:noWrap w:val="0"/>
            <w:vAlign w:val="center"/>
          </w:tcPr>
          <w:p w14:paraId="7B412202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4" w:type="dxa"/>
            <w:noWrap w:val="0"/>
            <w:vAlign w:val="center"/>
          </w:tcPr>
          <w:p w14:paraId="290EA2C0">
            <w:pPr>
              <w:widowControl/>
              <w:overflowPunct/>
              <w:topLinePunct w:val="0"/>
              <w:spacing w:line="300" w:lineRule="exact"/>
              <w:ind w:firstLine="0" w:firstLineChars="0"/>
              <w:jc w:val="center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sz w:val="21"/>
                <w:szCs w:val="21"/>
                <w:u w:val="none"/>
              </w:rPr>
            </w:pPr>
          </w:p>
        </w:tc>
      </w:tr>
    </w:tbl>
    <w:p w14:paraId="7C07D043">
      <w:pPr>
        <w:overflowPunct/>
        <w:topLinePunct w:val="0"/>
        <w:spacing w:line="320" w:lineRule="exact"/>
        <w:ind w:firstLine="0" w:firstLineChars="0"/>
        <w:rPr>
          <w:rFonts w:eastAsia="方正仿宋_GBK" w:cs="方正仿宋_GBK"/>
          <w:b w:val="0"/>
          <w:bCs/>
          <w:color w:val="000000"/>
          <w:sz w:val="24"/>
          <w:u w:val="none"/>
        </w:rPr>
      </w:pPr>
      <w:r>
        <w:rPr>
          <w:rFonts w:eastAsia="方正仿宋_GBK" w:cs="方正仿宋_GBK"/>
          <w:b w:val="0"/>
          <w:bCs/>
          <w:color w:val="000000"/>
          <w:sz w:val="24"/>
          <w:u w:val="none"/>
        </w:rPr>
        <w:t>填表说明：</w:t>
      </w:r>
    </w:p>
    <w:p w14:paraId="0CEAA607">
      <w:pPr>
        <w:overflowPunct/>
        <w:topLinePunct w:val="0"/>
        <w:spacing w:line="400" w:lineRule="exact"/>
        <w:ind w:firstLine="480"/>
        <w:rPr>
          <w:rFonts w:ascii="宋体" w:hAnsi="宋体" w:eastAsia="方正仿宋_GBK"/>
          <w:b w:val="0"/>
          <w:bCs/>
          <w:color w:val="000000"/>
          <w:sz w:val="24"/>
          <w:u w:val="none"/>
        </w:rPr>
      </w:pPr>
      <w:r>
        <w:rPr>
          <w:rFonts w:hint="eastAsia" w:ascii="宋体" w:hAnsi="宋体" w:eastAsia="方正仿宋_GBK"/>
          <w:b w:val="0"/>
          <w:bCs/>
          <w:color w:val="000000"/>
          <w:sz w:val="24"/>
          <w:u w:val="none"/>
        </w:rPr>
        <w:t>1.上报表格请用Excel表格填报。</w:t>
      </w:r>
    </w:p>
    <w:p w14:paraId="77C361C5">
      <w:pPr>
        <w:overflowPunct/>
        <w:topLinePunct w:val="0"/>
        <w:spacing w:line="400" w:lineRule="exact"/>
        <w:ind w:firstLine="480"/>
        <w:rPr>
          <w:rFonts w:ascii="宋体" w:hAnsi="宋体" w:eastAsia="方正仿宋_GBK"/>
          <w:b w:val="0"/>
          <w:bCs/>
          <w:color w:val="000000"/>
          <w:sz w:val="24"/>
          <w:u w:val="none"/>
        </w:rPr>
      </w:pPr>
      <w:r>
        <w:rPr>
          <w:rFonts w:hint="eastAsia" w:ascii="宋体" w:hAnsi="宋体" w:eastAsia="方正仿宋_GBK"/>
          <w:b w:val="0"/>
          <w:bCs/>
          <w:color w:val="000000"/>
          <w:sz w:val="24"/>
          <w:u w:val="none"/>
        </w:rPr>
        <w:t>2.“全年检验检测机构监督检查情况”是当地全年双随机、专项检查、投诉举报</w:t>
      </w:r>
      <w:r>
        <w:rPr>
          <w:rFonts w:hint="eastAsia" w:ascii="宋体" w:hAnsi="宋体" w:eastAsia="方正仿宋_GBK"/>
          <w:b w:val="0"/>
          <w:bCs/>
          <w:color w:val="000000"/>
          <w:sz w:val="24"/>
          <w:u w:val="none"/>
          <w:shd w:val="clear" w:color="auto" w:fill="FFFFFF"/>
        </w:rPr>
        <w:t>等</w:t>
      </w:r>
      <w:r>
        <w:rPr>
          <w:rFonts w:hint="eastAsia" w:ascii="宋体" w:hAnsi="宋体" w:eastAsia="方正仿宋_GBK"/>
          <w:b w:val="0"/>
          <w:bCs/>
          <w:color w:val="000000"/>
          <w:sz w:val="24"/>
          <w:u w:val="none"/>
        </w:rPr>
        <w:t>检查的总和。</w:t>
      </w:r>
    </w:p>
    <w:p w14:paraId="30AE299E">
      <w:pPr>
        <w:overflowPunct/>
        <w:topLinePunct w:val="0"/>
        <w:spacing w:line="400" w:lineRule="exact"/>
        <w:ind w:firstLine="480"/>
        <w:rPr>
          <w:rFonts w:ascii="宋体" w:hAnsi="宋体" w:eastAsia="方正仿宋_GBK"/>
          <w:b w:val="0"/>
          <w:bCs/>
          <w:color w:val="000000"/>
          <w:sz w:val="24"/>
          <w:u w:val="none"/>
        </w:rPr>
      </w:pPr>
      <w:r>
        <w:rPr>
          <w:rFonts w:hint="eastAsia" w:ascii="宋体" w:hAnsi="宋体" w:eastAsia="方正仿宋_GBK"/>
          <w:b w:val="0"/>
          <w:bCs/>
          <w:color w:val="000000"/>
          <w:sz w:val="24"/>
          <w:u w:val="none"/>
        </w:rPr>
        <w:t>3.“双随机监督抽查”中“现场抽查机构数”是对应领域现场监督检查数量；“抽取比例”是“对应领域现场检查机构数”占当地“对应领域所有机构数”的比例；占“占本年度监督检查机构比例”是“对应领域现场检查机构数”占当地“全年所有领域现场检查机构数”的比例。</w:t>
      </w:r>
    </w:p>
    <w:p w14:paraId="293C6641">
      <w:pPr>
        <w:overflowPunct/>
        <w:topLinePunct w:val="0"/>
        <w:spacing w:line="400" w:lineRule="exact"/>
        <w:ind w:firstLine="480"/>
        <w:rPr>
          <w:rFonts w:ascii="宋体" w:hAnsi="宋体" w:eastAsia="方正仿宋_GBK"/>
          <w:b w:val="0"/>
          <w:bCs/>
          <w:color w:val="000000"/>
          <w:sz w:val="24"/>
          <w:u w:val="none"/>
        </w:rPr>
      </w:pPr>
      <w:r>
        <w:rPr>
          <w:rFonts w:hint="eastAsia" w:ascii="宋体" w:hAnsi="宋体" w:eastAsia="方正仿宋_GBK"/>
          <w:b w:val="0"/>
          <w:bCs/>
          <w:color w:val="000000"/>
          <w:sz w:val="24"/>
          <w:u w:val="none"/>
        </w:rPr>
        <w:t>4.食品领域是指单一只具备食品检验资质的机构，如果机构还有其他检验项目，则列入综合</w:t>
      </w:r>
      <w:r>
        <w:rPr>
          <w:rFonts w:hint="eastAsia" w:ascii="宋体" w:hAnsi="宋体" w:eastAsia="方正仿宋_GBK"/>
          <w:b w:val="0"/>
          <w:bCs/>
          <w:color w:val="000000"/>
          <w:sz w:val="24"/>
          <w:u w:val="none"/>
          <w:shd w:val="clear" w:color="auto" w:fill="FFFFFF"/>
        </w:rPr>
        <w:t>或</w:t>
      </w:r>
      <w:r>
        <w:rPr>
          <w:rFonts w:hint="eastAsia" w:ascii="宋体" w:hAnsi="宋体" w:eastAsia="方正仿宋_GBK"/>
          <w:b w:val="0"/>
          <w:bCs/>
          <w:color w:val="000000"/>
          <w:spacing w:val="-6"/>
          <w:sz w:val="24"/>
          <w:u w:val="none"/>
          <w:shd w:val="clear" w:color="auto" w:fill="FFFFFF"/>
        </w:rPr>
        <w:t>其它项</w:t>
      </w:r>
      <w:r>
        <w:rPr>
          <w:rFonts w:hint="eastAsia" w:ascii="宋体" w:hAnsi="宋体" w:eastAsia="方正仿宋_GBK"/>
          <w:b w:val="0"/>
          <w:bCs/>
          <w:color w:val="000000"/>
          <w:spacing w:val="-6"/>
          <w:sz w:val="24"/>
          <w:u w:val="none"/>
        </w:rPr>
        <w:t>（化妆品同）；建材</w:t>
      </w:r>
      <w:r>
        <w:rPr>
          <w:rFonts w:hint="eastAsia" w:ascii="宋体" w:hAnsi="宋体" w:eastAsia="方正仿宋_GBK"/>
          <w:b w:val="0"/>
          <w:bCs/>
          <w:color w:val="000000"/>
          <w:sz w:val="24"/>
          <w:u w:val="none"/>
        </w:rPr>
        <w:t>领域是指单一具备建材检验资质的机构，如果是建筑工程质量检验含有建材检验资质的，统一归进建筑工程领域。</w:t>
      </w:r>
    </w:p>
    <w:p w14:paraId="7EAAD535">
      <w:pPr>
        <w:overflowPunct/>
        <w:topLinePunct w:val="0"/>
        <w:spacing w:line="400" w:lineRule="exact"/>
        <w:ind w:firstLine="480"/>
        <w:rPr>
          <w:rFonts w:ascii="宋体" w:hAnsi="宋体" w:eastAsia="方正仿宋_GBK"/>
          <w:b w:val="0"/>
          <w:bCs/>
          <w:color w:val="000000"/>
          <w:sz w:val="24"/>
          <w:u w:val="none"/>
        </w:rPr>
      </w:pPr>
      <w:r>
        <w:rPr>
          <w:rFonts w:hint="eastAsia" w:ascii="宋体" w:hAnsi="宋体" w:eastAsia="方正仿宋_GBK"/>
          <w:b w:val="0"/>
          <w:bCs/>
          <w:color w:val="000000"/>
          <w:sz w:val="24"/>
          <w:u w:val="none"/>
        </w:rPr>
        <w:t>5.只要未列入所列举领域的机构都填报在</w:t>
      </w:r>
      <w:r>
        <w:rPr>
          <w:rFonts w:hint="eastAsia" w:ascii="宋体" w:hAnsi="宋体" w:eastAsia="方正仿宋_GBK"/>
          <w:b w:val="0"/>
          <w:bCs/>
          <w:color w:val="000000"/>
          <w:sz w:val="24"/>
          <w:u w:val="none"/>
          <w:shd w:val="clear" w:color="auto" w:fill="FFFFFF"/>
        </w:rPr>
        <w:t>其它项</w:t>
      </w:r>
      <w:r>
        <w:rPr>
          <w:rFonts w:hint="eastAsia" w:ascii="宋体" w:hAnsi="宋体" w:eastAsia="方正仿宋_GBK"/>
          <w:b w:val="0"/>
          <w:bCs/>
          <w:color w:val="000000"/>
          <w:sz w:val="24"/>
          <w:u w:val="none"/>
        </w:rPr>
        <w:t>。</w:t>
      </w:r>
    </w:p>
    <w:p w14:paraId="51894915">
      <w:pPr>
        <w:overflowPunct/>
        <w:topLinePunct w:val="0"/>
        <w:spacing w:line="400" w:lineRule="exact"/>
        <w:ind w:firstLine="480"/>
        <w:rPr>
          <w:rFonts w:ascii="宋体" w:hAnsi="宋体" w:eastAsia="方正仿宋_GBK"/>
          <w:b w:val="0"/>
          <w:bCs/>
          <w:color w:val="000000"/>
          <w:sz w:val="24"/>
          <w:u w:val="none"/>
        </w:rPr>
      </w:pPr>
      <w:r>
        <w:rPr>
          <w:rFonts w:hint="eastAsia" w:ascii="宋体" w:hAnsi="宋体" w:eastAsia="方正仿宋_GBK"/>
          <w:b w:val="0"/>
          <w:bCs/>
          <w:color w:val="000000"/>
          <w:sz w:val="24"/>
          <w:u w:val="none"/>
        </w:rPr>
        <w:t>6.“查处违法违规行为”是立案查处机构数量，“责令改正/整改”是除立案查处以外的下发责令改正通知书的机构数量。</w:t>
      </w:r>
    </w:p>
    <w:p w14:paraId="26046530">
      <w:pPr>
        <w:overflowPunct/>
        <w:topLinePunct w:val="0"/>
        <w:spacing w:line="240" w:lineRule="auto"/>
        <w:ind w:firstLine="480"/>
        <w:rPr>
          <w:rFonts w:ascii="宋体" w:hAnsi="宋体" w:eastAsia="方正仿宋_GBK"/>
          <w:b w:val="0"/>
          <w:bCs/>
          <w:color w:val="000000"/>
          <w:sz w:val="24"/>
          <w:u w:val="none"/>
        </w:rPr>
      </w:pPr>
      <w:r>
        <w:rPr>
          <w:rFonts w:hint="eastAsia" w:ascii="宋体" w:hAnsi="宋体" w:eastAsia="方正仿宋_GBK"/>
          <w:b w:val="0"/>
          <w:bCs/>
          <w:color w:val="000000"/>
          <w:sz w:val="24"/>
          <w:u w:val="none"/>
        </w:rPr>
        <w:t>7.每家机构只统计一个领域，不重复统计进不同领域。</w:t>
      </w:r>
    </w:p>
    <w:p w14:paraId="500037D1"/>
    <w:sectPr>
      <w:pgSz w:w="16838" w:h="11906" w:orient="landscape"/>
      <w:pgMar w:top="1417" w:right="124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B16DAD"/>
    <w:rsid w:val="52B16DAD"/>
    <w:rsid w:val="61E337F8"/>
    <w:rsid w:val="670B235C"/>
    <w:rsid w:val="71B6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topLinePunct/>
      <w:spacing w:line="592" w:lineRule="exact"/>
      <w:ind w:firstLine="200" w:firstLineChars="200"/>
      <w:jc w:val="both"/>
    </w:pPr>
    <w:rPr>
      <w:rFonts w:ascii="宋体" w:hAnsi="宋体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ind w:firstLine="0" w:firstLineChars="0"/>
      <w:jc w:val="center"/>
      <w:outlineLvl w:val="0"/>
    </w:pPr>
    <w:rPr>
      <w:rFonts w:eastAsia="方正小标宋简体" w:cs="Times New Roman"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line="240" w:lineRule="auto"/>
      <w:jc w:val="center"/>
    </w:pPr>
    <w:rPr>
      <w:kern w:val="2"/>
      <w:sz w:val="48"/>
      <w:szCs w:val="24"/>
      <w:lang w:val="en-US" w:eastAsia="zh-CN" w:bidi="ar-SA"/>
    </w:rPr>
  </w:style>
  <w:style w:type="paragraph" w:styleId="4">
    <w:name w:val="Plain Text"/>
    <w:basedOn w:val="1"/>
    <w:unhideWhenUsed/>
    <w:qFormat/>
    <w:uiPriority w:val="0"/>
    <w:pPr>
      <w:ind w:firstLine="640"/>
    </w:pPr>
    <w:rPr>
      <w:rFonts w:ascii="Times New Roman" w:hAnsi="Times New Roman" w:cs="Courier New"/>
      <w:szCs w:val="21"/>
    </w:rPr>
  </w:style>
  <w:style w:type="paragraph" w:styleId="5">
    <w:name w:val="footer"/>
    <w:basedOn w:val="1"/>
    <w:next w:val="4"/>
    <w:qFormat/>
    <w:uiPriority w:val="0"/>
    <w:pPr>
      <w:tabs>
        <w:tab w:val="center" w:pos="4153"/>
        <w:tab w:val="right" w:pos="8306"/>
      </w:tabs>
      <w:spacing w:line="434" w:lineRule="exact"/>
    </w:pPr>
    <w:rPr>
      <w:rFonts w:eastAsia="黑体" w:cs="Times New Roman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Calibri" w:hAnsi="Calibri" w:cs="Times New Roman"/>
      <w:sz w:val="18"/>
      <w:szCs w:val="18"/>
    </w:rPr>
  </w:style>
  <w:style w:type="paragraph" w:customStyle="1" w:styleId="9">
    <w:name w:val="黑体附件"/>
    <w:basedOn w:val="1"/>
    <w:qFormat/>
    <w:uiPriority w:val="99"/>
    <w:pPr>
      <w:ind w:firstLine="0" w:firstLineChars="0"/>
      <w:jc w:val="left"/>
    </w:pPr>
    <w:rPr>
      <w:rFonts w:ascii="黑体" w:hAnsi="黑体" w:eastAsia="黑体"/>
      <w:szCs w:val="21"/>
    </w:rPr>
  </w:style>
  <w:style w:type="paragraph" w:customStyle="1" w:styleId="10">
    <w:name w:val="正文1磅"/>
    <w:basedOn w:val="1"/>
    <w:qFormat/>
    <w:uiPriority w:val="0"/>
    <w:pPr>
      <w:spacing w:line="20" w:lineRule="exact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2026-05-13T07:31:00Z</dcterms:created>
  <dc:creator>解媛幈</dc:creator>
  <cp:lastModifiedBy>解媛幈</cp:lastModifiedBy>
  <dcterms:modified xsi:type="dcterms:W3CDTF">2026-05-13T07:32:14Z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A021B369381E4E35BC70EC4668A37231_11</vt:lpwstr>
  </property>
  <property fmtid="{D5CDD505-2E9C-101B-9397-08002B2CF9AE}" pid="4" name="KSOTemplateDocerSaveRecord">
    <vt:lpwstr>eyJoZGlkIjoiM2FiMTY4ZTc0ZGEwYjhlODhlZWFkOTRmNmZiZWZiNDQiLCJ1c2VySWQiOiIxNjQwMzI0MTkyIn0=</vt:lpwstr>
  </property>
</Properties>
</file>