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507B3">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0" w:firstLineChars="0"/>
        <w:jc w:val="both"/>
        <w:textAlignment w:val="auto"/>
        <w:rPr>
          <w:rFonts w:hint="eastAsia" w:ascii="黑体" w:hAnsi="黑体" w:eastAsia="黑体" w:cs="黑体"/>
          <w:color w:val="0000FF"/>
          <w:kern w:val="0"/>
          <w:sz w:val="32"/>
          <w:szCs w:val="32"/>
          <w:highlight w:val="none"/>
          <w:u w:val="none"/>
          <w:lang w:val="en-US" w:eastAsia="zh-CN"/>
        </w:rPr>
      </w:pPr>
      <w:bookmarkStart w:id="0" w:name="_Toc22876"/>
    </w:p>
    <w:p w14:paraId="7014963B">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800" w:firstLineChars="200"/>
        <w:jc w:val="center"/>
        <w:textAlignment w:val="auto"/>
        <w:rPr>
          <w:rFonts w:hint="default" w:ascii="Times New Roman" w:hAnsi="Times New Roman" w:eastAsia="仿宋_GB2312" w:cs="Times New Roman"/>
          <w:color w:val="auto"/>
          <w:kern w:val="0"/>
          <w:sz w:val="40"/>
          <w:szCs w:val="40"/>
          <w:highlight w:val="none"/>
          <w:u w:val="none"/>
        </w:rPr>
      </w:pPr>
    </w:p>
    <w:p w14:paraId="7812FF0B">
      <w:pPr>
        <w:keepNext w:val="0"/>
        <w:keepLines w:val="0"/>
        <w:pageBreakBefore w:val="0"/>
        <w:widowControl w:val="0"/>
        <w:shd w:val="clear" w:color="050000" w:fill="auto"/>
        <w:kinsoku/>
        <w:wordWrap/>
        <w:overflowPunct w:val="0"/>
        <w:topLinePunct w:val="0"/>
        <w:autoSpaceDE/>
        <w:autoSpaceDN/>
        <w:bidi w:val="0"/>
        <w:adjustRightInd w:val="0"/>
        <w:snapToGrid w:val="0"/>
        <w:spacing w:before="0" w:after="0" w:line="596" w:lineRule="exact"/>
        <w:ind w:left="0" w:leftChars="0" w:firstLine="0" w:firstLineChars="0"/>
        <w:jc w:val="center"/>
        <w:textAlignment w:val="auto"/>
        <w:rPr>
          <w:rFonts w:hint="default" w:ascii="Times New Roman" w:hAnsi="Times New Roman" w:eastAsia="仿宋_GB2312" w:cs="Times New Roman"/>
          <w:color w:val="auto"/>
          <w:kern w:val="2"/>
          <w:sz w:val="40"/>
          <w:szCs w:val="40"/>
          <w:highlight w:val="none"/>
          <w:u w:val="none"/>
          <w:lang w:val="en-US" w:eastAsia="zh-CN" w:bidi="ar-SA"/>
        </w:rPr>
      </w:pPr>
      <w:bookmarkStart w:id="1" w:name="_Toc28451"/>
      <w:bookmarkStart w:id="2" w:name="_Toc1107"/>
    </w:p>
    <w:p w14:paraId="2A79D388">
      <w:pPr>
        <w:keepNext w:val="0"/>
        <w:keepLines w:val="0"/>
        <w:pageBreakBefore w:val="0"/>
        <w:widowControl w:val="0"/>
        <w:shd w:val="clear" w:color="050000" w:fill="auto"/>
        <w:kinsoku/>
        <w:wordWrap/>
        <w:overflowPunct w:val="0"/>
        <w:topLinePunct w:val="0"/>
        <w:autoSpaceDE/>
        <w:autoSpaceDN/>
        <w:bidi w:val="0"/>
        <w:adjustRightInd w:val="0"/>
        <w:snapToGrid w:val="0"/>
        <w:spacing w:before="0" w:after="0" w:line="360" w:lineRule="auto"/>
        <w:ind w:left="0" w:leftChars="0" w:firstLine="0" w:firstLineChars="0"/>
        <w:jc w:val="center"/>
        <w:textAlignment w:val="auto"/>
        <w:outlineLvl w:val="0"/>
        <w:rPr>
          <w:rFonts w:hint="eastAsia" w:ascii="方正小标宋_GBK" w:hAnsi="方正小标宋_GBK" w:eastAsia="方正小标宋_GBK" w:cs="方正小标宋_GBK"/>
          <w:color w:val="auto"/>
          <w:kern w:val="2"/>
          <w:sz w:val="44"/>
          <w:szCs w:val="44"/>
          <w:highlight w:val="none"/>
          <w:u w:val="none"/>
          <w:lang w:val="en-US" w:eastAsia="zh-CN" w:bidi="ar-SA"/>
        </w:rPr>
      </w:pPr>
      <w:bookmarkStart w:id="3" w:name="_Toc14370"/>
      <w:bookmarkStart w:id="4" w:name="_Toc21219"/>
      <w:bookmarkStart w:id="5" w:name="_Toc1323015405"/>
      <w:r>
        <w:rPr>
          <w:rFonts w:hint="eastAsia" w:ascii="方正小标宋_GBK" w:hAnsi="方正小标宋_GBK" w:eastAsia="方正小标宋_GBK" w:cs="方正小标宋_GBK"/>
          <w:color w:val="auto"/>
          <w:kern w:val="2"/>
          <w:sz w:val="44"/>
          <w:szCs w:val="44"/>
          <w:highlight w:val="none"/>
          <w:u w:val="none"/>
          <w:lang w:val="en-US" w:eastAsia="zh-CN" w:bidi="ar-SA"/>
        </w:rPr>
        <w:t>海南省“十五五”高新技术产业发展规划</w:t>
      </w:r>
      <w:bookmarkEnd w:id="1"/>
      <w:bookmarkEnd w:id="2"/>
      <w:bookmarkEnd w:id="3"/>
      <w:bookmarkEnd w:id="4"/>
      <w:bookmarkEnd w:id="5"/>
    </w:p>
    <w:p w14:paraId="19E81AEC">
      <w:pPr>
        <w:keepNext w:val="0"/>
        <w:keepLines w:val="0"/>
        <w:pageBreakBefore w:val="0"/>
        <w:widowControl w:val="0"/>
        <w:shd w:val="clear" w:color="050000" w:fill="auto"/>
        <w:kinsoku/>
        <w:wordWrap/>
        <w:overflowPunct w:val="0"/>
        <w:topLinePunct w:val="0"/>
        <w:autoSpaceDE/>
        <w:autoSpaceDN/>
        <w:bidi w:val="0"/>
        <w:adjustRightInd w:val="0"/>
        <w:snapToGrid w:val="0"/>
        <w:spacing w:before="0" w:after="0" w:line="360" w:lineRule="auto"/>
        <w:ind w:left="0" w:leftChars="0" w:firstLine="0" w:firstLineChars="0"/>
        <w:jc w:val="center"/>
        <w:textAlignment w:val="auto"/>
        <w:rPr>
          <w:rFonts w:hint="eastAsia" w:ascii="方正小标宋_GBK" w:hAnsi="方正小标宋_GBK" w:eastAsia="方正小标宋_GBK" w:cs="方正小标宋_GBK"/>
          <w:sz w:val="44"/>
        </w:rPr>
      </w:pPr>
    </w:p>
    <w:p w14:paraId="556A3E38">
      <w:pPr>
        <w:keepNext w:val="0"/>
        <w:keepLines w:val="0"/>
        <w:pageBreakBefore w:val="0"/>
        <w:widowControl w:val="0"/>
        <w:shd w:val="clear" w:color="050000" w:fill="auto"/>
        <w:kinsoku/>
        <w:wordWrap/>
        <w:overflowPunct w:val="0"/>
        <w:topLinePunct w:val="0"/>
        <w:autoSpaceDE/>
        <w:autoSpaceDN/>
        <w:bidi w:val="0"/>
        <w:adjustRightInd w:val="0"/>
        <w:snapToGrid w:val="0"/>
        <w:spacing w:before="0" w:after="0" w:line="360" w:lineRule="auto"/>
        <w:ind w:left="0" w:leftChars="0" w:firstLine="0" w:firstLineChars="0"/>
        <w:jc w:val="center"/>
        <w:textAlignment w:val="auto"/>
        <w:rPr>
          <w:rFonts w:hint="eastAsia" w:ascii="楷体_GB2312" w:hAnsi="楷体_GB2312" w:eastAsia="楷体_GB2312" w:cs="楷体_GB2312"/>
          <w:sz w:val="32"/>
          <w:szCs w:val="32"/>
          <w:lang w:val="en-US" w:eastAsia="zh-CN"/>
        </w:rPr>
      </w:pPr>
    </w:p>
    <w:bookmarkEnd w:id="0"/>
    <w:p w14:paraId="1A0998B6">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600" w:firstLineChars="200"/>
        <w:jc w:val="both"/>
        <w:textAlignment w:val="auto"/>
        <w:rPr>
          <w:rFonts w:hint="default" w:ascii="Times New Roman" w:hAnsi="Times New Roman" w:eastAsia="仿宋_GB2312" w:cs="Times New Roman"/>
          <w:color w:val="auto"/>
          <w:kern w:val="0"/>
          <w:sz w:val="30"/>
          <w:szCs w:val="30"/>
          <w:highlight w:val="none"/>
          <w:u w:val="none"/>
          <w:lang w:val="en-US" w:eastAsia="zh-CN" w:bidi="ar-SA"/>
        </w:rPr>
      </w:pPr>
    </w:p>
    <w:p w14:paraId="4FC22C95">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600" w:firstLineChars="200"/>
        <w:jc w:val="both"/>
        <w:textAlignment w:val="auto"/>
        <w:rPr>
          <w:rFonts w:hint="default" w:ascii="Times New Roman" w:hAnsi="Times New Roman" w:eastAsia="仿宋_GB2312" w:cs="Times New Roman"/>
          <w:color w:val="auto"/>
          <w:kern w:val="0"/>
          <w:sz w:val="30"/>
          <w:szCs w:val="30"/>
          <w:highlight w:val="none"/>
          <w:u w:val="none"/>
          <w:lang w:val="en-US" w:eastAsia="zh-CN" w:bidi="ar-SA"/>
        </w:rPr>
      </w:pPr>
    </w:p>
    <w:p w14:paraId="2C5CDADA">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600" w:firstLineChars="200"/>
        <w:textAlignment w:val="auto"/>
        <w:rPr>
          <w:rFonts w:hint="default" w:ascii="Times New Roman" w:hAnsi="Times New Roman" w:eastAsia="仿宋_GB2312" w:cs="Times New Roman"/>
          <w:color w:val="auto"/>
          <w:kern w:val="0"/>
          <w:sz w:val="30"/>
          <w:szCs w:val="30"/>
          <w:highlight w:val="none"/>
          <w:u w:val="none"/>
        </w:rPr>
      </w:pPr>
    </w:p>
    <w:p w14:paraId="75842BCF">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600" w:firstLineChars="200"/>
        <w:jc w:val="both"/>
        <w:textAlignment w:val="auto"/>
        <w:rPr>
          <w:rFonts w:hint="default" w:ascii="Times New Roman" w:hAnsi="Times New Roman" w:eastAsia="仿宋_GB2312" w:cs="Times New Roman"/>
          <w:color w:val="auto"/>
          <w:kern w:val="0"/>
          <w:sz w:val="30"/>
          <w:szCs w:val="30"/>
          <w:highlight w:val="none"/>
          <w:u w:val="none"/>
          <w:lang w:val="en-US" w:eastAsia="zh-CN" w:bidi="ar-SA"/>
        </w:rPr>
      </w:pPr>
    </w:p>
    <w:p w14:paraId="5B44B122">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600" w:firstLineChars="200"/>
        <w:jc w:val="both"/>
        <w:textAlignment w:val="auto"/>
        <w:rPr>
          <w:rFonts w:hint="default" w:ascii="Times New Roman" w:hAnsi="Times New Roman" w:eastAsia="仿宋_GB2312" w:cs="Times New Roman"/>
          <w:color w:val="auto"/>
          <w:kern w:val="0"/>
          <w:sz w:val="30"/>
          <w:szCs w:val="30"/>
          <w:highlight w:val="none"/>
          <w:u w:val="none"/>
          <w:lang w:val="en-US" w:eastAsia="zh-CN" w:bidi="ar-SA"/>
        </w:rPr>
      </w:pPr>
    </w:p>
    <w:p w14:paraId="5B12B126">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600" w:firstLineChars="200"/>
        <w:textAlignment w:val="auto"/>
        <w:rPr>
          <w:rFonts w:hint="default" w:ascii="Times New Roman" w:hAnsi="Times New Roman" w:eastAsia="仿宋_GB2312" w:cs="Times New Roman"/>
          <w:color w:val="auto"/>
          <w:kern w:val="0"/>
          <w:sz w:val="30"/>
          <w:szCs w:val="30"/>
          <w:highlight w:val="none"/>
          <w:u w:val="none"/>
        </w:rPr>
      </w:pPr>
    </w:p>
    <w:p w14:paraId="5B22AC23">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600" w:firstLineChars="200"/>
        <w:jc w:val="both"/>
        <w:textAlignment w:val="auto"/>
        <w:rPr>
          <w:rFonts w:hint="default" w:ascii="Times New Roman" w:hAnsi="Times New Roman" w:eastAsia="仿宋_GB2312" w:cs="Times New Roman"/>
          <w:color w:val="auto"/>
          <w:kern w:val="0"/>
          <w:sz w:val="30"/>
          <w:szCs w:val="30"/>
          <w:highlight w:val="none"/>
          <w:u w:val="none"/>
          <w:lang w:val="en-US" w:eastAsia="zh-CN" w:bidi="ar-SA"/>
        </w:rPr>
      </w:pPr>
    </w:p>
    <w:p w14:paraId="4D130E3A">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0" w:firstLineChars="0"/>
        <w:jc w:val="center"/>
        <w:textAlignment w:val="auto"/>
        <w:rPr>
          <w:rFonts w:hint="default" w:ascii="Times New Roman" w:hAnsi="Times New Roman" w:eastAsia="仿宋_GB2312" w:cs="Times New Roman"/>
          <w:color w:val="auto"/>
          <w:kern w:val="0"/>
          <w:sz w:val="28"/>
          <w:szCs w:val="28"/>
          <w:highlight w:val="none"/>
          <w:u w:val="none"/>
          <w:lang w:val="en-US" w:eastAsia="zh-CN" w:bidi="ar-SA"/>
        </w:rPr>
      </w:pPr>
    </w:p>
    <w:p w14:paraId="642B95B5">
      <w:pPr>
        <w:keepNext w:val="0"/>
        <w:keepLines w:val="0"/>
        <w:pageBreakBefore w:val="0"/>
        <w:widowControl w:val="0"/>
        <w:kinsoku/>
        <w:wordWrap/>
        <w:overflowPunct w:val="0"/>
        <w:topLinePunct w:val="0"/>
        <w:autoSpaceDE/>
        <w:autoSpaceDN/>
        <w:bidi w:val="0"/>
        <w:adjustRightInd w:val="0"/>
        <w:snapToGrid w:val="0"/>
        <w:spacing w:line="596" w:lineRule="exact"/>
        <w:ind w:firstLine="400" w:firstLineChars="200"/>
        <w:jc w:val="both"/>
        <w:textAlignment w:val="auto"/>
        <w:rPr>
          <w:rFonts w:hint="default" w:ascii="Times New Roman" w:hAnsi="Times New Roman" w:eastAsia="仿宋_GB2312" w:cs="Times New Roman"/>
          <w:color w:val="auto"/>
          <w:kern w:val="0"/>
          <w:sz w:val="20"/>
          <w:szCs w:val="28"/>
          <w:highlight w:val="none"/>
          <w:u w:val="none"/>
          <w:lang w:val="en-US" w:eastAsia="zh-CN" w:bidi="ar-SA"/>
        </w:rPr>
      </w:pPr>
    </w:p>
    <w:p w14:paraId="37C4B470">
      <w:pPr>
        <w:keepNext w:val="0"/>
        <w:keepLines w:val="0"/>
        <w:pageBreakBefore w:val="0"/>
        <w:widowControl w:val="0"/>
        <w:kinsoku/>
        <w:wordWrap/>
        <w:overflowPunct w:val="0"/>
        <w:topLinePunct w:val="0"/>
        <w:autoSpaceDE/>
        <w:autoSpaceDN/>
        <w:bidi w:val="0"/>
        <w:adjustRightInd w:val="0"/>
        <w:snapToGrid w:val="0"/>
        <w:spacing w:line="596" w:lineRule="exact"/>
        <w:ind w:firstLine="600" w:firstLineChars="200"/>
        <w:textAlignment w:val="auto"/>
        <w:rPr>
          <w:rFonts w:hint="default" w:ascii="Times New Roman" w:hAnsi="Times New Roman" w:eastAsia="仿宋_GB2312" w:cs="Times New Roman"/>
          <w:color w:val="auto"/>
          <w:sz w:val="30"/>
          <w:szCs w:val="30"/>
          <w:highlight w:val="none"/>
        </w:rPr>
      </w:pPr>
    </w:p>
    <w:p w14:paraId="0B6E9FD9">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0" w:firstLineChars="0"/>
        <w:jc w:val="center"/>
        <w:textAlignment w:val="auto"/>
        <w:rPr>
          <w:rFonts w:hint="default" w:ascii="Times New Roman" w:hAnsi="Times New Roman" w:eastAsia="仿宋_GB2312" w:cs="Times New Roman"/>
          <w:color w:val="auto"/>
          <w:kern w:val="0"/>
          <w:sz w:val="28"/>
          <w:szCs w:val="28"/>
          <w:highlight w:val="none"/>
          <w:u w:val="none"/>
          <w:lang w:val="en-US" w:eastAsia="zh-CN" w:bidi="ar-SA"/>
        </w:rPr>
      </w:pPr>
    </w:p>
    <w:p w14:paraId="7D469217">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0" w:firstLineChars="0"/>
        <w:jc w:val="center"/>
        <w:textAlignment w:val="auto"/>
        <w:rPr>
          <w:rFonts w:hint="eastAsia" w:ascii="仿宋_GB2312" w:hAnsi="仿宋_GB2312" w:eastAsia="仿宋_GB2312" w:cs="仿宋_GB2312"/>
          <w:b w:val="0"/>
          <w:bCs w:val="0"/>
          <w:color w:val="auto"/>
          <w:kern w:val="0"/>
          <w:sz w:val="36"/>
          <w:szCs w:val="36"/>
          <w:highlight w:val="none"/>
          <w:u w:val="none"/>
          <w:lang w:val="en-US" w:eastAsia="zh-CN" w:bidi="ar-SA"/>
        </w:rPr>
      </w:pPr>
    </w:p>
    <w:p w14:paraId="1488BCFF">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0" w:firstLineChars="0"/>
        <w:jc w:val="center"/>
        <w:textAlignment w:val="auto"/>
        <w:rPr>
          <w:rFonts w:hint="eastAsia" w:ascii="黑体" w:hAnsi="黑体" w:eastAsia="黑体" w:cs="黑体"/>
          <w:b w:val="0"/>
          <w:bCs w:val="0"/>
          <w:color w:val="auto"/>
          <w:kern w:val="0"/>
          <w:sz w:val="36"/>
          <w:szCs w:val="36"/>
          <w:highlight w:val="none"/>
          <w:u w:val="none"/>
          <w:lang w:val="en-US" w:eastAsia="zh-CN" w:bidi="ar-SA"/>
        </w:rPr>
        <w:sectPr>
          <w:headerReference r:id="rId4" w:type="first"/>
          <w:footerReference r:id="rId6" w:type="first"/>
          <w:headerReference r:id="rId3" w:type="default"/>
          <w:footerReference r:id="rId5" w:type="default"/>
          <w:pgSz w:w="11906" w:h="16838"/>
          <w:pgMar w:top="1928" w:right="1531" w:bottom="1701" w:left="1531" w:header="0" w:footer="1247" w:gutter="0"/>
          <w:paperSrc/>
          <w:pgNumType w:fmt="decimal" w:start="1"/>
          <w:cols w:space="720" w:num="1"/>
          <w:titlePg/>
          <w:rtlGutter w:val="0"/>
          <w:docGrid w:type="lines" w:linePitch="420" w:charSpace="0"/>
        </w:sectPr>
      </w:pPr>
      <w:r>
        <w:rPr>
          <w:rFonts w:hint="eastAsia" w:ascii="黑体" w:hAnsi="黑体" w:eastAsia="黑体" w:cs="黑体"/>
          <w:b w:val="0"/>
          <w:bCs w:val="0"/>
          <w:color w:val="auto"/>
          <w:kern w:val="0"/>
          <w:sz w:val="36"/>
          <w:szCs w:val="36"/>
          <w:highlight w:val="none"/>
          <w:u w:val="none"/>
          <w:lang w:val="en-US" w:eastAsia="zh-CN" w:bidi="ar-SA"/>
        </w:rPr>
        <w:t>2026年6月</w:t>
      </w:r>
    </w:p>
    <w:p w14:paraId="6F050EDE">
      <w:pPr>
        <w:keepNext w:val="0"/>
        <w:keepLines w:val="0"/>
        <w:pageBreakBefore w:val="0"/>
        <w:widowControl w:val="0"/>
        <w:kinsoku/>
        <w:wordWrap/>
        <w:overflowPunct w:val="0"/>
        <w:topLinePunct w:val="0"/>
        <w:autoSpaceDE/>
        <w:autoSpaceDN/>
        <w:bidi w:val="0"/>
        <w:adjustRightInd w:val="0"/>
        <w:snapToGrid w:val="0"/>
        <w:spacing w:before="0" w:after="0" w:line="596" w:lineRule="exact"/>
        <w:ind w:left="0" w:leftChars="0" w:firstLine="0" w:firstLineChars="0"/>
        <w:jc w:val="both"/>
        <w:textAlignment w:val="auto"/>
        <w:rPr>
          <w:rFonts w:hint="eastAsia" w:ascii="仿宋_GB2312" w:hAnsi="仿宋_GB2312" w:eastAsia="仿宋_GB2312" w:cs="仿宋_GB2312"/>
          <w:b w:val="0"/>
          <w:bCs w:val="0"/>
          <w:color w:val="auto"/>
          <w:kern w:val="0"/>
          <w:sz w:val="36"/>
          <w:szCs w:val="36"/>
          <w:highlight w:val="none"/>
          <w:u w:val="none"/>
          <w:lang w:val="en-US" w:eastAsia="zh-CN" w:bidi="ar-SA"/>
        </w:rPr>
        <w:sectPr>
          <w:pgSz w:w="11906" w:h="16838"/>
          <w:pgMar w:top="1928" w:right="1531" w:bottom="1701" w:left="1531" w:header="0" w:footer="1247" w:gutter="0"/>
          <w:paperSrc/>
          <w:pgNumType w:fmt="decimal" w:start="1"/>
          <w:cols w:space="720" w:num="1"/>
          <w:titlePg/>
          <w:rtlGutter w:val="0"/>
          <w:docGrid w:type="lines" w:linePitch="420" w:charSpace="0"/>
        </w:sectPr>
      </w:pPr>
    </w:p>
    <w:p w14:paraId="7BE71A1B">
      <w:pPr>
        <w:keepNext w:val="0"/>
        <w:keepLines w:val="0"/>
        <w:pageBreakBefore w:val="0"/>
        <w:widowControl w:val="0"/>
        <w:kinsoku/>
        <w:wordWrap/>
        <w:overflowPunct w:val="0"/>
        <w:topLinePunct w:val="0"/>
        <w:autoSpaceDE/>
        <w:autoSpaceDN/>
        <w:bidi w:val="0"/>
        <w:adjustRightInd w:val="0"/>
        <w:snapToGrid w:val="0"/>
        <w:spacing w:before="313" w:beforeLines="100" w:after="313" w:afterLines="100" w:line="596" w:lineRule="exact"/>
        <w:jc w:val="center"/>
        <w:textAlignment w:val="auto"/>
        <w:outlineLvl w:val="0"/>
        <w:rPr>
          <w:rFonts w:hint="default" w:ascii="Times New Roman" w:hAnsi="Times New Roman" w:eastAsia="方正小标宋简体" w:cs="Times New Roman"/>
          <w:sz w:val="36"/>
          <w:szCs w:val="36"/>
        </w:rPr>
      </w:pPr>
      <w:bookmarkStart w:id="6" w:name="_Toc18516"/>
      <w:bookmarkStart w:id="7" w:name="_Toc927388162"/>
      <w:bookmarkStart w:id="8" w:name="_Toc120023862"/>
      <w:bookmarkStart w:id="9" w:name="_Toc20966"/>
      <w:bookmarkStart w:id="10" w:name="_Toc30364"/>
      <w:bookmarkStart w:id="11" w:name="_Toc2124065204"/>
      <w:bookmarkStart w:id="12" w:name="_Toc12618"/>
      <w:bookmarkStart w:id="13" w:name="_Toc9683"/>
      <w:r>
        <w:rPr>
          <w:rFonts w:hint="default" w:ascii="Times New Roman" w:hAnsi="Times New Roman" w:eastAsia="方正小标宋简体" w:cs="Times New Roman"/>
          <w:sz w:val="36"/>
          <w:szCs w:val="36"/>
        </w:rPr>
        <w:t>目  录</w:t>
      </w:r>
      <w:bookmarkEnd w:id="6"/>
      <w:bookmarkEnd w:id="7"/>
    </w:p>
    <w:p w14:paraId="7A21F2D6">
      <w:pPr>
        <w:pStyle w:val="19"/>
        <w:tabs>
          <w:tab w:val="right" w:leader="dot" w:pos="8844"/>
          <w:tab w:val="clear" w:pos="8674"/>
        </w:tabs>
        <w:spacing w:line="520" w:lineRule="exact"/>
        <w:rPr>
          <w:sz w:val="28"/>
          <w:szCs w:val="28"/>
        </w:rPr>
      </w:pPr>
      <w:r>
        <w:rPr>
          <w:rFonts w:hint="default" w:ascii="Times New Roman" w:hAnsi="Times New Roman" w:eastAsia="仿宋_GB2312" w:cs="Times New Roman"/>
          <w:b w:val="0"/>
          <w:bCs/>
          <w:kern w:val="2"/>
          <w:sz w:val="28"/>
          <w:szCs w:val="28"/>
          <w:lang w:val="en-US" w:eastAsia="zh-CN" w:bidi="ar-SA"/>
        </w:rPr>
        <w:fldChar w:fldCharType="begin"/>
      </w:r>
      <w:r>
        <w:rPr>
          <w:rFonts w:hint="default" w:ascii="Times New Roman" w:hAnsi="Times New Roman" w:eastAsia="仿宋_GB2312" w:cs="Times New Roman"/>
          <w:b w:val="0"/>
          <w:bCs/>
          <w:kern w:val="2"/>
          <w:sz w:val="28"/>
          <w:szCs w:val="28"/>
          <w:lang w:val="en-US" w:eastAsia="zh-CN" w:bidi="ar-SA"/>
        </w:rPr>
        <w:instrText xml:space="preserve">TOC \o "1-3" \h \u </w:instrText>
      </w:r>
      <w:r>
        <w:rPr>
          <w:rFonts w:hint="default" w:ascii="Times New Roman" w:hAnsi="Times New Roman" w:eastAsia="仿宋_GB2312" w:cs="Times New Roman"/>
          <w:b w:val="0"/>
          <w:bCs/>
          <w:kern w:val="2"/>
          <w:sz w:val="28"/>
          <w:szCs w:val="28"/>
          <w:lang w:val="en-US" w:eastAsia="zh-CN" w:bidi="ar-SA"/>
        </w:rPr>
        <w:fldChar w:fldCharType="separate"/>
      </w: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_Toc1291794527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sz w:val="28"/>
          <w:szCs w:val="28"/>
        </w:rPr>
        <w:t>前  言</w:t>
      </w:r>
      <w:r>
        <w:rPr>
          <w:sz w:val="28"/>
          <w:szCs w:val="28"/>
        </w:rPr>
        <w:tab/>
      </w:r>
      <w:r>
        <w:rPr>
          <w:sz w:val="28"/>
          <w:szCs w:val="28"/>
        </w:rPr>
        <w:fldChar w:fldCharType="begin"/>
      </w:r>
      <w:r>
        <w:rPr>
          <w:sz w:val="28"/>
          <w:szCs w:val="28"/>
        </w:rPr>
        <w:instrText xml:space="preserve"> PAGEREF _Toc1291794527 \h </w:instrText>
      </w:r>
      <w:r>
        <w:rPr>
          <w:sz w:val="28"/>
          <w:szCs w:val="28"/>
        </w:rPr>
        <w:fldChar w:fldCharType="separate"/>
      </w:r>
      <w:r>
        <w:rPr>
          <w:sz w:val="28"/>
          <w:szCs w:val="28"/>
        </w:rPr>
        <w:t>1</w:t>
      </w:r>
      <w:r>
        <w:rPr>
          <w:sz w:val="28"/>
          <w:szCs w:val="28"/>
        </w:rPr>
        <w:fldChar w:fldCharType="end"/>
      </w:r>
      <w:r>
        <w:rPr>
          <w:rFonts w:hint="eastAsia" w:ascii="仿宋_GB2312" w:hAnsi="仿宋_GB2312" w:eastAsia="仿宋_GB2312" w:cs="仿宋_GB2312"/>
          <w:bCs/>
          <w:sz w:val="28"/>
          <w:szCs w:val="28"/>
        </w:rPr>
        <w:fldChar w:fldCharType="end"/>
      </w:r>
    </w:p>
    <w:p w14:paraId="69850E7A">
      <w:pPr>
        <w:pStyle w:val="19"/>
        <w:tabs>
          <w:tab w:val="right" w:leader="dot" w:pos="8844"/>
          <w:tab w:val="clear" w:pos="8674"/>
        </w:tabs>
        <w:spacing w:line="520" w:lineRule="exact"/>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_Toc1920793855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sz w:val="28"/>
          <w:szCs w:val="28"/>
        </w:rPr>
        <w:t xml:space="preserve">第一章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发展环境</w:t>
      </w:r>
      <w:r>
        <w:rPr>
          <w:sz w:val="28"/>
          <w:szCs w:val="28"/>
        </w:rPr>
        <w:tab/>
      </w:r>
      <w:r>
        <w:rPr>
          <w:sz w:val="28"/>
          <w:szCs w:val="28"/>
        </w:rPr>
        <w:fldChar w:fldCharType="begin"/>
      </w:r>
      <w:r>
        <w:rPr>
          <w:sz w:val="28"/>
          <w:szCs w:val="28"/>
        </w:rPr>
        <w:instrText xml:space="preserve"> PAGEREF _Toc1920793855 \h </w:instrText>
      </w:r>
      <w:r>
        <w:rPr>
          <w:sz w:val="28"/>
          <w:szCs w:val="28"/>
        </w:rPr>
        <w:fldChar w:fldCharType="separate"/>
      </w:r>
      <w:r>
        <w:rPr>
          <w:sz w:val="28"/>
          <w:szCs w:val="28"/>
        </w:rPr>
        <w:t>2</w:t>
      </w:r>
      <w:r>
        <w:rPr>
          <w:sz w:val="28"/>
          <w:szCs w:val="28"/>
        </w:rPr>
        <w:fldChar w:fldCharType="end"/>
      </w:r>
      <w:r>
        <w:rPr>
          <w:rFonts w:hint="eastAsia" w:ascii="仿宋_GB2312" w:hAnsi="仿宋_GB2312" w:eastAsia="仿宋_GB2312" w:cs="仿宋_GB2312"/>
          <w:bCs/>
          <w:sz w:val="28"/>
          <w:szCs w:val="28"/>
        </w:rPr>
        <w:fldChar w:fldCharType="end"/>
      </w:r>
    </w:p>
    <w:p w14:paraId="7234DC8D">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_Toc1046269411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第一节  发展基础</w:t>
      </w:r>
      <w:r>
        <w:rPr>
          <w:sz w:val="28"/>
          <w:szCs w:val="28"/>
        </w:rPr>
        <w:tab/>
      </w:r>
      <w:r>
        <w:rPr>
          <w:sz w:val="28"/>
          <w:szCs w:val="28"/>
        </w:rPr>
        <w:fldChar w:fldCharType="begin"/>
      </w:r>
      <w:r>
        <w:rPr>
          <w:sz w:val="28"/>
          <w:szCs w:val="28"/>
        </w:rPr>
        <w:instrText xml:space="preserve"> PAGEREF _Toc1046269411 \h </w:instrText>
      </w:r>
      <w:r>
        <w:rPr>
          <w:sz w:val="28"/>
          <w:szCs w:val="28"/>
        </w:rPr>
        <w:fldChar w:fldCharType="separate"/>
      </w:r>
      <w:r>
        <w:rPr>
          <w:sz w:val="28"/>
          <w:szCs w:val="28"/>
        </w:rPr>
        <w:t>2</w:t>
      </w:r>
      <w:r>
        <w:rPr>
          <w:sz w:val="28"/>
          <w:szCs w:val="28"/>
        </w:rPr>
        <w:fldChar w:fldCharType="end"/>
      </w:r>
      <w:r>
        <w:rPr>
          <w:rFonts w:hint="eastAsia" w:ascii="仿宋_GB2312" w:hAnsi="仿宋_GB2312" w:eastAsia="仿宋_GB2312" w:cs="仿宋_GB2312"/>
          <w:bCs/>
          <w:sz w:val="28"/>
          <w:szCs w:val="28"/>
        </w:rPr>
        <w:fldChar w:fldCharType="end"/>
      </w:r>
    </w:p>
    <w:p w14:paraId="642182B6">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_Toc976995233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sz w:val="28"/>
          <w:szCs w:val="28"/>
        </w:rPr>
        <w:fldChar w:fldCharType="end"/>
      </w: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_Toc975760603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w:t>
      </w:r>
      <w:r>
        <w:rPr>
          <w:rFonts w:hint="eastAsia" w:cs="仿宋_GB2312"/>
          <w:bCs/>
          <w:kern w:val="2"/>
          <w:sz w:val="28"/>
          <w:szCs w:val="28"/>
          <w:lang w:val="en-US" w:eastAsia="zh-CN" w:bidi="ar-SA"/>
        </w:rPr>
        <w:t>二</w:t>
      </w:r>
      <w:r>
        <w:rPr>
          <w:rFonts w:hint="eastAsia" w:ascii="仿宋_GB2312" w:hAnsi="仿宋_GB2312" w:eastAsia="仿宋_GB2312" w:cs="仿宋_GB2312"/>
          <w:bCs/>
          <w:kern w:val="2"/>
          <w:sz w:val="28"/>
          <w:szCs w:val="28"/>
          <w:lang w:val="en-US" w:eastAsia="zh-CN" w:bidi="ar-SA"/>
        </w:rPr>
        <w:t>节  面临形势</w:t>
      </w:r>
      <w:r>
        <w:rPr>
          <w:sz w:val="28"/>
          <w:szCs w:val="28"/>
        </w:rPr>
        <w:tab/>
      </w:r>
      <w:r>
        <w:rPr>
          <w:sz w:val="28"/>
          <w:szCs w:val="28"/>
        </w:rPr>
        <w:fldChar w:fldCharType="begin"/>
      </w:r>
      <w:r>
        <w:rPr>
          <w:sz w:val="28"/>
          <w:szCs w:val="28"/>
        </w:rPr>
        <w:instrText xml:space="preserve"> PAGEREF _Toc975760603 \h </w:instrText>
      </w:r>
      <w:r>
        <w:rPr>
          <w:sz w:val="28"/>
          <w:szCs w:val="28"/>
        </w:rPr>
        <w:fldChar w:fldCharType="separate"/>
      </w:r>
      <w:r>
        <w:rPr>
          <w:sz w:val="28"/>
          <w:szCs w:val="28"/>
        </w:rPr>
        <w:t>4</w:t>
      </w:r>
      <w:r>
        <w:rPr>
          <w:sz w:val="28"/>
          <w:szCs w:val="28"/>
        </w:rPr>
        <w:fldChar w:fldCharType="end"/>
      </w:r>
      <w:r>
        <w:rPr>
          <w:rFonts w:hint="eastAsia" w:ascii="仿宋_GB2312" w:hAnsi="仿宋_GB2312" w:eastAsia="仿宋_GB2312" w:cs="仿宋_GB2312"/>
          <w:bCs/>
          <w:sz w:val="28"/>
          <w:szCs w:val="28"/>
        </w:rPr>
        <w:fldChar w:fldCharType="end"/>
      </w:r>
    </w:p>
    <w:p w14:paraId="0E8F95A6">
      <w:pPr>
        <w:pStyle w:val="19"/>
        <w:tabs>
          <w:tab w:val="right" w:leader="dot" w:pos="8844"/>
          <w:tab w:val="clear" w:pos="8674"/>
        </w:tabs>
        <w:spacing w:line="520" w:lineRule="exact"/>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_Toc92822443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sz w:val="28"/>
          <w:szCs w:val="28"/>
        </w:rPr>
        <w:t>第二章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总体要求</w:t>
      </w:r>
      <w:r>
        <w:rPr>
          <w:sz w:val="28"/>
          <w:szCs w:val="28"/>
        </w:rPr>
        <w:tab/>
      </w:r>
      <w:r>
        <w:rPr>
          <w:sz w:val="28"/>
          <w:szCs w:val="28"/>
        </w:rPr>
        <w:fldChar w:fldCharType="begin"/>
      </w:r>
      <w:r>
        <w:rPr>
          <w:sz w:val="28"/>
          <w:szCs w:val="28"/>
        </w:rPr>
        <w:instrText xml:space="preserve"> PAGEREF _Toc92822443 \h </w:instrText>
      </w:r>
      <w:r>
        <w:rPr>
          <w:sz w:val="28"/>
          <w:szCs w:val="28"/>
        </w:rPr>
        <w:fldChar w:fldCharType="separate"/>
      </w:r>
      <w:r>
        <w:rPr>
          <w:sz w:val="28"/>
          <w:szCs w:val="28"/>
        </w:rPr>
        <w:t>5</w:t>
      </w:r>
      <w:r>
        <w:rPr>
          <w:sz w:val="28"/>
          <w:szCs w:val="28"/>
        </w:rPr>
        <w:fldChar w:fldCharType="end"/>
      </w:r>
      <w:r>
        <w:rPr>
          <w:rFonts w:hint="eastAsia" w:ascii="仿宋_GB2312" w:hAnsi="仿宋_GB2312" w:eastAsia="仿宋_GB2312" w:cs="仿宋_GB2312"/>
          <w:bCs/>
          <w:sz w:val="28"/>
          <w:szCs w:val="28"/>
        </w:rPr>
        <w:fldChar w:fldCharType="end"/>
      </w:r>
    </w:p>
    <w:p w14:paraId="2379D8E3">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_Toc1874479866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第一节  指导思想</w:t>
      </w:r>
      <w:r>
        <w:rPr>
          <w:sz w:val="28"/>
          <w:szCs w:val="28"/>
        </w:rPr>
        <w:tab/>
      </w:r>
      <w:r>
        <w:rPr>
          <w:sz w:val="28"/>
          <w:szCs w:val="28"/>
        </w:rPr>
        <w:fldChar w:fldCharType="begin"/>
      </w:r>
      <w:r>
        <w:rPr>
          <w:sz w:val="28"/>
          <w:szCs w:val="28"/>
        </w:rPr>
        <w:instrText xml:space="preserve"> PAGEREF _Toc1874479866 \h </w:instrText>
      </w:r>
      <w:r>
        <w:rPr>
          <w:sz w:val="28"/>
          <w:szCs w:val="28"/>
        </w:rPr>
        <w:fldChar w:fldCharType="separate"/>
      </w:r>
      <w:r>
        <w:rPr>
          <w:sz w:val="28"/>
          <w:szCs w:val="28"/>
        </w:rPr>
        <w:t>5</w:t>
      </w:r>
      <w:r>
        <w:rPr>
          <w:sz w:val="28"/>
          <w:szCs w:val="28"/>
        </w:rPr>
        <w:fldChar w:fldCharType="end"/>
      </w:r>
      <w:r>
        <w:rPr>
          <w:rFonts w:hint="eastAsia" w:ascii="仿宋_GB2312" w:hAnsi="仿宋_GB2312" w:eastAsia="仿宋_GB2312" w:cs="仿宋_GB2312"/>
          <w:bCs/>
          <w:sz w:val="28"/>
          <w:szCs w:val="28"/>
        </w:rPr>
        <w:fldChar w:fldCharType="end"/>
      </w:r>
    </w:p>
    <w:p w14:paraId="2A50F029">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_Toc1870935594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第二节  基本原则</w:t>
      </w:r>
      <w:r>
        <w:rPr>
          <w:sz w:val="28"/>
          <w:szCs w:val="28"/>
        </w:rPr>
        <w:tab/>
      </w:r>
      <w:r>
        <w:rPr>
          <w:sz w:val="28"/>
          <w:szCs w:val="28"/>
        </w:rPr>
        <w:fldChar w:fldCharType="begin"/>
      </w:r>
      <w:r>
        <w:rPr>
          <w:sz w:val="28"/>
          <w:szCs w:val="28"/>
        </w:rPr>
        <w:instrText xml:space="preserve"> PAGEREF _Toc1870935594 \h </w:instrText>
      </w:r>
      <w:r>
        <w:rPr>
          <w:sz w:val="28"/>
          <w:szCs w:val="28"/>
        </w:rPr>
        <w:fldChar w:fldCharType="separate"/>
      </w:r>
      <w:r>
        <w:rPr>
          <w:sz w:val="28"/>
          <w:szCs w:val="28"/>
        </w:rPr>
        <w:t>6</w:t>
      </w:r>
      <w:r>
        <w:rPr>
          <w:sz w:val="28"/>
          <w:szCs w:val="28"/>
        </w:rPr>
        <w:fldChar w:fldCharType="end"/>
      </w:r>
      <w:r>
        <w:rPr>
          <w:rFonts w:hint="eastAsia" w:ascii="仿宋_GB2312" w:hAnsi="仿宋_GB2312" w:eastAsia="仿宋_GB2312" w:cs="仿宋_GB2312"/>
          <w:bCs/>
          <w:sz w:val="28"/>
          <w:szCs w:val="28"/>
        </w:rPr>
        <w:fldChar w:fldCharType="end"/>
      </w:r>
    </w:p>
    <w:p w14:paraId="025B3A4D">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_Toc1548682978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第三节  发展目标</w:t>
      </w:r>
      <w:r>
        <w:rPr>
          <w:sz w:val="28"/>
          <w:szCs w:val="28"/>
        </w:rPr>
        <w:tab/>
      </w:r>
      <w:r>
        <w:rPr>
          <w:sz w:val="28"/>
          <w:szCs w:val="28"/>
        </w:rPr>
        <w:fldChar w:fldCharType="begin"/>
      </w:r>
      <w:r>
        <w:rPr>
          <w:sz w:val="28"/>
          <w:szCs w:val="28"/>
        </w:rPr>
        <w:instrText xml:space="preserve"> PAGEREF _Toc1548682978 \h </w:instrText>
      </w:r>
      <w:r>
        <w:rPr>
          <w:sz w:val="28"/>
          <w:szCs w:val="28"/>
        </w:rPr>
        <w:fldChar w:fldCharType="separate"/>
      </w:r>
      <w:r>
        <w:rPr>
          <w:sz w:val="28"/>
          <w:szCs w:val="28"/>
        </w:rPr>
        <w:t>7</w:t>
      </w:r>
      <w:r>
        <w:rPr>
          <w:sz w:val="28"/>
          <w:szCs w:val="28"/>
        </w:rPr>
        <w:fldChar w:fldCharType="end"/>
      </w:r>
      <w:r>
        <w:rPr>
          <w:rFonts w:hint="eastAsia" w:ascii="仿宋_GB2312" w:hAnsi="仿宋_GB2312" w:eastAsia="仿宋_GB2312" w:cs="仿宋_GB2312"/>
          <w:bCs/>
          <w:sz w:val="28"/>
          <w:szCs w:val="28"/>
        </w:rPr>
        <w:fldChar w:fldCharType="end"/>
      </w:r>
    </w:p>
    <w:p w14:paraId="1669908C">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_Toc1178512793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第四节  发展布局</w:t>
      </w:r>
      <w:r>
        <w:rPr>
          <w:sz w:val="28"/>
          <w:szCs w:val="28"/>
        </w:rPr>
        <w:tab/>
      </w:r>
      <w:r>
        <w:rPr>
          <w:sz w:val="28"/>
          <w:szCs w:val="28"/>
        </w:rPr>
        <w:fldChar w:fldCharType="begin"/>
      </w:r>
      <w:r>
        <w:rPr>
          <w:sz w:val="28"/>
          <w:szCs w:val="28"/>
        </w:rPr>
        <w:instrText xml:space="preserve"> PAGEREF _Toc1178512793 \h </w:instrText>
      </w:r>
      <w:r>
        <w:rPr>
          <w:sz w:val="28"/>
          <w:szCs w:val="28"/>
        </w:rPr>
        <w:fldChar w:fldCharType="separate"/>
      </w:r>
      <w:r>
        <w:rPr>
          <w:sz w:val="28"/>
          <w:szCs w:val="28"/>
        </w:rPr>
        <w:t>10</w:t>
      </w:r>
      <w:r>
        <w:rPr>
          <w:sz w:val="28"/>
          <w:szCs w:val="28"/>
        </w:rPr>
        <w:fldChar w:fldCharType="end"/>
      </w:r>
      <w:r>
        <w:rPr>
          <w:rFonts w:hint="eastAsia" w:ascii="仿宋_GB2312" w:hAnsi="仿宋_GB2312" w:eastAsia="仿宋_GB2312" w:cs="仿宋_GB2312"/>
          <w:bCs/>
          <w:sz w:val="28"/>
          <w:szCs w:val="28"/>
        </w:rPr>
        <w:fldChar w:fldCharType="end"/>
      </w:r>
    </w:p>
    <w:p w14:paraId="43FC29A2">
      <w:pPr>
        <w:pStyle w:val="19"/>
        <w:tabs>
          <w:tab w:val="right" w:leader="dot" w:pos="8844"/>
          <w:tab w:val="clear" w:pos="8674"/>
        </w:tabs>
        <w:spacing w:line="520" w:lineRule="exact"/>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_Toc67676203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sz w:val="28"/>
          <w:szCs w:val="28"/>
        </w:rPr>
        <w:t xml:space="preserve">第三章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重点领域</w:t>
      </w:r>
      <w:r>
        <w:rPr>
          <w:sz w:val="28"/>
          <w:szCs w:val="28"/>
        </w:rPr>
        <w:tab/>
      </w:r>
      <w:r>
        <w:rPr>
          <w:sz w:val="28"/>
          <w:szCs w:val="28"/>
        </w:rPr>
        <w:fldChar w:fldCharType="begin"/>
      </w:r>
      <w:r>
        <w:rPr>
          <w:sz w:val="28"/>
          <w:szCs w:val="28"/>
        </w:rPr>
        <w:instrText xml:space="preserve"> PAGEREF _Toc67676203 \h </w:instrText>
      </w:r>
      <w:r>
        <w:rPr>
          <w:sz w:val="28"/>
          <w:szCs w:val="28"/>
        </w:rPr>
        <w:fldChar w:fldCharType="separate"/>
      </w:r>
      <w:r>
        <w:rPr>
          <w:sz w:val="28"/>
          <w:szCs w:val="28"/>
        </w:rPr>
        <w:t>11</w:t>
      </w:r>
      <w:r>
        <w:rPr>
          <w:sz w:val="28"/>
          <w:szCs w:val="28"/>
        </w:rPr>
        <w:fldChar w:fldCharType="end"/>
      </w:r>
      <w:r>
        <w:rPr>
          <w:rFonts w:hint="eastAsia" w:ascii="仿宋_GB2312" w:hAnsi="仿宋_GB2312" w:eastAsia="仿宋_GB2312" w:cs="仿宋_GB2312"/>
          <w:bCs/>
          <w:sz w:val="28"/>
          <w:szCs w:val="28"/>
        </w:rPr>
        <w:fldChar w:fldCharType="end"/>
      </w:r>
    </w:p>
    <w:p w14:paraId="14D8469A">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_Toc1475722538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第一节  提质升级三大千亿级产业集群</w:t>
      </w:r>
      <w:r>
        <w:rPr>
          <w:sz w:val="28"/>
          <w:szCs w:val="28"/>
        </w:rPr>
        <w:tab/>
      </w:r>
      <w:r>
        <w:rPr>
          <w:sz w:val="28"/>
          <w:szCs w:val="28"/>
        </w:rPr>
        <w:fldChar w:fldCharType="begin"/>
      </w:r>
      <w:r>
        <w:rPr>
          <w:sz w:val="28"/>
          <w:szCs w:val="28"/>
        </w:rPr>
        <w:instrText xml:space="preserve"> PAGEREF _Toc1475722538 \h </w:instrText>
      </w:r>
      <w:r>
        <w:rPr>
          <w:sz w:val="28"/>
          <w:szCs w:val="28"/>
        </w:rPr>
        <w:fldChar w:fldCharType="separate"/>
      </w:r>
      <w:r>
        <w:rPr>
          <w:sz w:val="28"/>
          <w:szCs w:val="28"/>
        </w:rPr>
        <w:t>12</w:t>
      </w:r>
      <w:r>
        <w:rPr>
          <w:sz w:val="28"/>
          <w:szCs w:val="28"/>
        </w:rPr>
        <w:fldChar w:fldCharType="end"/>
      </w:r>
      <w:r>
        <w:rPr>
          <w:rFonts w:hint="eastAsia" w:ascii="仿宋_GB2312" w:hAnsi="仿宋_GB2312" w:eastAsia="仿宋_GB2312" w:cs="仿宋_GB2312"/>
          <w:bCs/>
          <w:sz w:val="28"/>
          <w:szCs w:val="28"/>
        </w:rPr>
        <w:fldChar w:fldCharType="end"/>
      </w:r>
    </w:p>
    <w:p w14:paraId="674F8DFC">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_Toc1594680542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一、数字经济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_Toc1594680542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4CA4BE55">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_Toc1465301333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二、石油化工新材料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_Toc1465301333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59B553A2">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_Toc210995488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三、高端消费品</w:t>
      </w:r>
      <w:r>
        <w:rPr>
          <w:rFonts w:hint="eastAsia" w:ascii="仿宋_GB2312" w:hAnsi="仿宋_GB2312" w:eastAsia="仿宋_GB2312" w:cs="仿宋_GB2312"/>
          <w:bCs w:val="0"/>
          <w:sz w:val="28"/>
          <w:szCs w:val="28"/>
          <w:lang w:val="en-US" w:eastAsia="zh-CN"/>
        </w:rPr>
        <w:t>加工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_Toc210995488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1F9F2156">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_Toc414898843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第二节  壮大做强四个五百亿级产业集群</w:t>
      </w:r>
      <w:r>
        <w:rPr>
          <w:sz w:val="28"/>
          <w:szCs w:val="28"/>
        </w:rPr>
        <w:tab/>
      </w:r>
      <w:r>
        <w:rPr>
          <w:sz w:val="28"/>
          <w:szCs w:val="28"/>
        </w:rPr>
        <w:fldChar w:fldCharType="begin"/>
      </w:r>
      <w:r>
        <w:rPr>
          <w:sz w:val="28"/>
          <w:szCs w:val="28"/>
        </w:rPr>
        <w:instrText xml:space="preserve"> PAGEREF _Toc414898843 \h </w:instrText>
      </w:r>
      <w:r>
        <w:rPr>
          <w:sz w:val="28"/>
          <w:szCs w:val="28"/>
        </w:rPr>
        <w:fldChar w:fldCharType="separate"/>
      </w:r>
      <w:r>
        <w:rPr>
          <w:sz w:val="28"/>
          <w:szCs w:val="28"/>
        </w:rPr>
        <w:t>20</w:t>
      </w:r>
      <w:r>
        <w:rPr>
          <w:sz w:val="28"/>
          <w:szCs w:val="28"/>
        </w:rPr>
        <w:fldChar w:fldCharType="end"/>
      </w:r>
      <w:r>
        <w:rPr>
          <w:rFonts w:hint="eastAsia" w:ascii="仿宋_GB2312" w:hAnsi="仿宋_GB2312" w:eastAsia="仿宋_GB2312" w:cs="仿宋_GB2312"/>
          <w:bCs/>
          <w:sz w:val="28"/>
          <w:szCs w:val="28"/>
        </w:rPr>
        <w:fldChar w:fldCharType="end"/>
      </w:r>
    </w:p>
    <w:p w14:paraId="477533DA">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_Toc1611967265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一、现代生物医药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_Toc1611967265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33FD98CA">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_Toc1283773277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二、商业航天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_Toc1283773277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3142D302">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_Toc933108647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三、深海科技</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_Toc933108647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22909DF9">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_Toc808231875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四、节能环保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_Toc808231875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72EFB8B2">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_Toc135835677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第三节  做精做优五个百亿级产业集群</w:t>
      </w:r>
      <w:r>
        <w:rPr>
          <w:sz w:val="28"/>
          <w:szCs w:val="28"/>
        </w:rPr>
        <w:tab/>
      </w:r>
      <w:r>
        <w:rPr>
          <w:sz w:val="28"/>
          <w:szCs w:val="28"/>
        </w:rPr>
        <w:fldChar w:fldCharType="begin"/>
      </w:r>
      <w:r>
        <w:rPr>
          <w:sz w:val="28"/>
          <w:szCs w:val="28"/>
        </w:rPr>
        <w:instrText xml:space="preserve"> PAGEREF _Toc135835677 \h </w:instrText>
      </w:r>
      <w:r>
        <w:rPr>
          <w:sz w:val="28"/>
          <w:szCs w:val="28"/>
        </w:rPr>
        <w:fldChar w:fldCharType="separate"/>
      </w:r>
      <w:r>
        <w:rPr>
          <w:sz w:val="28"/>
          <w:szCs w:val="28"/>
        </w:rPr>
        <w:t>29</w:t>
      </w:r>
      <w:r>
        <w:rPr>
          <w:sz w:val="28"/>
          <w:szCs w:val="28"/>
        </w:rPr>
        <w:fldChar w:fldCharType="end"/>
      </w:r>
      <w:r>
        <w:rPr>
          <w:rFonts w:hint="eastAsia" w:ascii="仿宋_GB2312" w:hAnsi="仿宋_GB2312" w:eastAsia="仿宋_GB2312" w:cs="仿宋_GB2312"/>
          <w:bCs/>
          <w:sz w:val="28"/>
          <w:szCs w:val="28"/>
        </w:rPr>
        <w:fldChar w:fldCharType="end"/>
      </w:r>
    </w:p>
    <w:p w14:paraId="2A560107">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_Toc2014245082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一、清洁能源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_Toc2014245082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2B75985B">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_Toc1843975562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二、新能源汽车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_Toc1843975562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2576BC67">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_Toc441996527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三、维修和再制造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_Toc441996527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6DD650F5">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_Toc404198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四、低空经济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_Toc404198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042E8327">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_Toc2108565320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五、南繁种业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_Toc2108565320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1390A4E5">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_Toc1087075342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第四节 探索培育X个未来产业集群</w:t>
      </w:r>
      <w:r>
        <w:rPr>
          <w:sz w:val="28"/>
          <w:szCs w:val="28"/>
        </w:rPr>
        <w:tab/>
      </w:r>
      <w:r>
        <w:rPr>
          <w:sz w:val="28"/>
          <w:szCs w:val="28"/>
        </w:rPr>
        <w:fldChar w:fldCharType="begin"/>
      </w:r>
      <w:r>
        <w:rPr>
          <w:sz w:val="28"/>
          <w:szCs w:val="28"/>
        </w:rPr>
        <w:instrText xml:space="preserve"> PAGEREF _Toc1087075342 \h </w:instrText>
      </w:r>
      <w:r>
        <w:rPr>
          <w:sz w:val="28"/>
          <w:szCs w:val="28"/>
        </w:rPr>
        <w:fldChar w:fldCharType="separate"/>
      </w:r>
      <w:r>
        <w:rPr>
          <w:sz w:val="28"/>
          <w:szCs w:val="28"/>
        </w:rPr>
        <w:t>37</w:t>
      </w:r>
      <w:r>
        <w:rPr>
          <w:sz w:val="28"/>
          <w:szCs w:val="28"/>
        </w:rPr>
        <w:fldChar w:fldCharType="end"/>
      </w:r>
      <w:r>
        <w:rPr>
          <w:rFonts w:hint="eastAsia" w:ascii="仿宋_GB2312" w:hAnsi="仿宋_GB2312" w:eastAsia="仿宋_GB2312" w:cs="仿宋_GB2312"/>
          <w:bCs/>
          <w:sz w:val="28"/>
          <w:szCs w:val="28"/>
        </w:rPr>
        <w:fldChar w:fldCharType="end"/>
      </w:r>
    </w:p>
    <w:p w14:paraId="08ADEF9D">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_Toc1097082460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一、生物制造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_Toc1097082460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061B20F8">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_Toc751847944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二、氢能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_Toc751847944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4073DD60">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_Toc262607099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三、脑机接口</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_Toc262607099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5768C2BD">
      <w:pPr>
        <w:pStyle w:val="13"/>
        <w:tabs>
          <w:tab w:val="right" w:leader="dot" w:pos="8844"/>
        </w:tabs>
        <w:spacing w:line="52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_Toc2024470622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val="0"/>
          <w:sz w:val="28"/>
          <w:szCs w:val="28"/>
        </w:rPr>
        <w:t>四、具身智能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_Toc2024470622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bCs/>
          <w:sz w:val="28"/>
          <w:szCs w:val="28"/>
        </w:rPr>
        <w:fldChar w:fldCharType="end"/>
      </w:r>
    </w:p>
    <w:p w14:paraId="231A2D11">
      <w:pPr>
        <w:pStyle w:val="19"/>
        <w:tabs>
          <w:tab w:val="right" w:leader="dot" w:pos="8844"/>
          <w:tab w:val="clear" w:pos="8674"/>
        </w:tabs>
        <w:spacing w:line="520" w:lineRule="exact"/>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_Toc2043642471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sz w:val="28"/>
          <w:szCs w:val="28"/>
        </w:rPr>
        <w:t xml:space="preserve">第四章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任务体系</w:t>
      </w:r>
      <w:r>
        <w:rPr>
          <w:sz w:val="28"/>
          <w:szCs w:val="28"/>
        </w:rPr>
        <w:tab/>
      </w:r>
      <w:r>
        <w:rPr>
          <w:sz w:val="28"/>
          <w:szCs w:val="28"/>
        </w:rPr>
        <w:fldChar w:fldCharType="begin"/>
      </w:r>
      <w:r>
        <w:rPr>
          <w:sz w:val="28"/>
          <w:szCs w:val="28"/>
        </w:rPr>
        <w:instrText xml:space="preserve"> PAGEREF _Toc2043642471 \h </w:instrText>
      </w:r>
      <w:r>
        <w:rPr>
          <w:sz w:val="28"/>
          <w:szCs w:val="28"/>
        </w:rPr>
        <w:fldChar w:fldCharType="separate"/>
      </w:r>
      <w:r>
        <w:rPr>
          <w:sz w:val="28"/>
          <w:szCs w:val="28"/>
        </w:rPr>
        <w:t>41</w:t>
      </w:r>
      <w:r>
        <w:rPr>
          <w:sz w:val="28"/>
          <w:szCs w:val="28"/>
        </w:rPr>
        <w:fldChar w:fldCharType="end"/>
      </w:r>
      <w:r>
        <w:rPr>
          <w:rFonts w:hint="eastAsia" w:ascii="仿宋_GB2312" w:hAnsi="仿宋_GB2312" w:eastAsia="仿宋_GB2312" w:cs="仿宋_GB2312"/>
          <w:bCs/>
          <w:sz w:val="28"/>
          <w:szCs w:val="28"/>
        </w:rPr>
        <w:fldChar w:fldCharType="end"/>
      </w:r>
    </w:p>
    <w:p w14:paraId="59D58661">
      <w:pPr>
        <w:pStyle w:val="23"/>
        <w:tabs>
          <w:tab w:val="right" w:leader="dot" w:pos="8844"/>
          <w:tab w:val="clear" w:pos="8674"/>
        </w:tabs>
        <w:spacing w:line="520" w:lineRule="exact"/>
        <w:ind w:firstLine="560" w:firstLineChars="200"/>
        <w:rPr>
          <w:rFonts w:hint="default" w:eastAsia="仿宋_GB2312"/>
          <w:sz w:val="28"/>
          <w:szCs w:val="28"/>
          <w:lang w:val="en-US" w:eastAsia="zh-CN"/>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_Toc35917306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第一节  实施科技创新引领工程</w:t>
      </w:r>
      <w:r>
        <w:rPr>
          <w:sz w:val="28"/>
          <w:szCs w:val="28"/>
        </w:rPr>
        <w:tab/>
      </w:r>
      <w:r>
        <w:rPr>
          <w:rFonts w:hint="eastAsia" w:ascii="仿宋_GB2312" w:hAnsi="仿宋_GB2312" w:eastAsia="仿宋_GB2312" w:cs="仿宋_GB2312"/>
          <w:bCs/>
          <w:sz w:val="28"/>
          <w:szCs w:val="28"/>
        </w:rPr>
        <w:fldChar w:fldCharType="end"/>
      </w:r>
      <w:r>
        <w:rPr>
          <w:rFonts w:hint="eastAsia" w:cs="仿宋_GB2312"/>
          <w:bCs/>
          <w:sz w:val="28"/>
          <w:szCs w:val="28"/>
          <w:lang w:val="en-US" w:eastAsia="zh-CN"/>
        </w:rPr>
        <w:t>41</w:t>
      </w:r>
    </w:p>
    <w:p w14:paraId="113F1291">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_Toc923256385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第二节  实施产业质效提升工程</w:t>
      </w:r>
      <w:r>
        <w:rPr>
          <w:sz w:val="28"/>
          <w:szCs w:val="28"/>
        </w:rPr>
        <w:tab/>
      </w:r>
      <w:r>
        <w:rPr>
          <w:sz w:val="28"/>
          <w:szCs w:val="28"/>
        </w:rPr>
        <w:fldChar w:fldCharType="begin"/>
      </w:r>
      <w:r>
        <w:rPr>
          <w:sz w:val="28"/>
          <w:szCs w:val="28"/>
        </w:rPr>
        <w:instrText xml:space="preserve"> PAGEREF _Toc923256385 \h </w:instrText>
      </w:r>
      <w:r>
        <w:rPr>
          <w:sz w:val="28"/>
          <w:szCs w:val="28"/>
        </w:rPr>
        <w:fldChar w:fldCharType="separate"/>
      </w:r>
      <w:r>
        <w:rPr>
          <w:sz w:val="28"/>
          <w:szCs w:val="28"/>
        </w:rPr>
        <w:t>42</w:t>
      </w:r>
      <w:r>
        <w:rPr>
          <w:sz w:val="28"/>
          <w:szCs w:val="28"/>
        </w:rPr>
        <w:fldChar w:fldCharType="end"/>
      </w:r>
      <w:r>
        <w:rPr>
          <w:rFonts w:hint="eastAsia" w:ascii="仿宋_GB2312" w:hAnsi="仿宋_GB2312" w:eastAsia="仿宋_GB2312" w:cs="仿宋_GB2312"/>
          <w:bCs/>
          <w:sz w:val="28"/>
          <w:szCs w:val="28"/>
        </w:rPr>
        <w:fldChar w:fldCharType="end"/>
      </w:r>
    </w:p>
    <w:p w14:paraId="5ADDE1B8">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_Toc873154056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第三节  实施企业梯度引育工程</w:t>
      </w:r>
      <w:r>
        <w:rPr>
          <w:sz w:val="28"/>
          <w:szCs w:val="28"/>
        </w:rPr>
        <w:tab/>
      </w:r>
      <w:r>
        <w:rPr>
          <w:sz w:val="28"/>
          <w:szCs w:val="28"/>
        </w:rPr>
        <w:fldChar w:fldCharType="begin"/>
      </w:r>
      <w:r>
        <w:rPr>
          <w:sz w:val="28"/>
          <w:szCs w:val="28"/>
        </w:rPr>
        <w:instrText xml:space="preserve"> PAGEREF _Toc873154056 \h </w:instrText>
      </w:r>
      <w:r>
        <w:rPr>
          <w:sz w:val="28"/>
          <w:szCs w:val="28"/>
        </w:rPr>
        <w:fldChar w:fldCharType="separate"/>
      </w:r>
      <w:r>
        <w:rPr>
          <w:sz w:val="28"/>
          <w:szCs w:val="28"/>
        </w:rPr>
        <w:t>43</w:t>
      </w:r>
      <w:r>
        <w:rPr>
          <w:sz w:val="28"/>
          <w:szCs w:val="28"/>
        </w:rPr>
        <w:fldChar w:fldCharType="end"/>
      </w:r>
      <w:r>
        <w:rPr>
          <w:rFonts w:hint="eastAsia" w:ascii="仿宋_GB2312" w:hAnsi="仿宋_GB2312" w:eastAsia="仿宋_GB2312" w:cs="仿宋_GB2312"/>
          <w:bCs/>
          <w:sz w:val="28"/>
          <w:szCs w:val="28"/>
        </w:rPr>
        <w:fldChar w:fldCharType="end"/>
      </w:r>
    </w:p>
    <w:p w14:paraId="2D3F4163">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_Toc1011677910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第四节  实施“人工智能+”工程</w:t>
      </w:r>
      <w:r>
        <w:rPr>
          <w:sz w:val="28"/>
          <w:szCs w:val="28"/>
        </w:rPr>
        <w:tab/>
      </w:r>
      <w:r>
        <w:rPr>
          <w:sz w:val="28"/>
          <w:szCs w:val="28"/>
        </w:rPr>
        <w:fldChar w:fldCharType="begin"/>
      </w:r>
      <w:r>
        <w:rPr>
          <w:sz w:val="28"/>
          <w:szCs w:val="28"/>
        </w:rPr>
        <w:instrText xml:space="preserve"> PAGEREF _Toc1011677910 \h </w:instrText>
      </w:r>
      <w:r>
        <w:rPr>
          <w:sz w:val="28"/>
          <w:szCs w:val="28"/>
        </w:rPr>
        <w:fldChar w:fldCharType="separate"/>
      </w:r>
      <w:r>
        <w:rPr>
          <w:sz w:val="28"/>
          <w:szCs w:val="28"/>
        </w:rPr>
        <w:t>44</w:t>
      </w:r>
      <w:r>
        <w:rPr>
          <w:sz w:val="28"/>
          <w:szCs w:val="28"/>
        </w:rPr>
        <w:fldChar w:fldCharType="end"/>
      </w:r>
      <w:r>
        <w:rPr>
          <w:rFonts w:hint="eastAsia" w:ascii="仿宋_GB2312" w:hAnsi="仿宋_GB2312" w:eastAsia="仿宋_GB2312" w:cs="仿宋_GB2312"/>
          <w:bCs/>
          <w:sz w:val="28"/>
          <w:szCs w:val="28"/>
        </w:rPr>
        <w:fldChar w:fldCharType="end"/>
      </w:r>
    </w:p>
    <w:p w14:paraId="464B0333">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_Toc1016078829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第五节  实施产业融合推进工程</w:t>
      </w:r>
      <w:r>
        <w:rPr>
          <w:sz w:val="28"/>
          <w:szCs w:val="28"/>
        </w:rPr>
        <w:tab/>
      </w:r>
      <w:r>
        <w:rPr>
          <w:sz w:val="28"/>
          <w:szCs w:val="28"/>
        </w:rPr>
        <w:fldChar w:fldCharType="begin"/>
      </w:r>
      <w:r>
        <w:rPr>
          <w:sz w:val="28"/>
          <w:szCs w:val="28"/>
        </w:rPr>
        <w:instrText xml:space="preserve"> PAGEREF _Toc1016078829 \h </w:instrText>
      </w:r>
      <w:r>
        <w:rPr>
          <w:sz w:val="28"/>
          <w:szCs w:val="28"/>
        </w:rPr>
        <w:fldChar w:fldCharType="separate"/>
      </w:r>
      <w:r>
        <w:rPr>
          <w:sz w:val="28"/>
          <w:szCs w:val="28"/>
        </w:rPr>
        <w:t>46</w:t>
      </w:r>
      <w:r>
        <w:rPr>
          <w:sz w:val="28"/>
          <w:szCs w:val="28"/>
        </w:rPr>
        <w:fldChar w:fldCharType="end"/>
      </w:r>
      <w:r>
        <w:rPr>
          <w:rFonts w:hint="eastAsia" w:ascii="仿宋_GB2312" w:hAnsi="仿宋_GB2312" w:eastAsia="仿宋_GB2312" w:cs="仿宋_GB2312"/>
          <w:bCs/>
          <w:sz w:val="28"/>
          <w:szCs w:val="28"/>
        </w:rPr>
        <w:fldChar w:fldCharType="end"/>
      </w:r>
    </w:p>
    <w:p w14:paraId="5A1CF43E">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_Toc600150274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第六节  实施开放合作深化工程</w:t>
      </w:r>
      <w:r>
        <w:rPr>
          <w:sz w:val="28"/>
          <w:szCs w:val="28"/>
        </w:rPr>
        <w:tab/>
      </w:r>
      <w:r>
        <w:rPr>
          <w:sz w:val="28"/>
          <w:szCs w:val="28"/>
        </w:rPr>
        <w:fldChar w:fldCharType="begin"/>
      </w:r>
      <w:r>
        <w:rPr>
          <w:sz w:val="28"/>
          <w:szCs w:val="28"/>
        </w:rPr>
        <w:instrText xml:space="preserve"> PAGEREF _Toc600150274 \h </w:instrText>
      </w:r>
      <w:r>
        <w:rPr>
          <w:sz w:val="28"/>
          <w:szCs w:val="28"/>
        </w:rPr>
        <w:fldChar w:fldCharType="separate"/>
      </w:r>
      <w:r>
        <w:rPr>
          <w:sz w:val="28"/>
          <w:szCs w:val="28"/>
        </w:rPr>
        <w:t>46</w:t>
      </w:r>
      <w:r>
        <w:rPr>
          <w:sz w:val="28"/>
          <w:szCs w:val="28"/>
        </w:rPr>
        <w:fldChar w:fldCharType="end"/>
      </w:r>
      <w:r>
        <w:rPr>
          <w:rFonts w:hint="eastAsia" w:ascii="仿宋_GB2312" w:hAnsi="仿宋_GB2312" w:eastAsia="仿宋_GB2312" w:cs="仿宋_GB2312"/>
          <w:bCs/>
          <w:sz w:val="28"/>
          <w:szCs w:val="28"/>
        </w:rPr>
        <w:fldChar w:fldCharType="end"/>
      </w:r>
    </w:p>
    <w:p w14:paraId="4677BF3C">
      <w:pPr>
        <w:pStyle w:val="19"/>
        <w:tabs>
          <w:tab w:val="right" w:leader="dot" w:pos="8844"/>
          <w:tab w:val="clear" w:pos="8674"/>
        </w:tabs>
        <w:spacing w:line="520" w:lineRule="exact"/>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_Toc735129856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sz w:val="28"/>
          <w:szCs w:val="28"/>
        </w:rPr>
        <w:t>第五章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保障举措</w:t>
      </w:r>
      <w:r>
        <w:rPr>
          <w:sz w:val="28"/>
          <w:szCs w:val="28"/>
        </w:rPr>
        <w:tab/>
      </w:r>
      <w:r>
        <w:rPr>
          <w:sz w:val="28"/>
          <w:szCs w:val="28"/>
        </w:rPr>
        <w:fldChar w:fldCharType="begin"/>
      </w:r>
      <w:r>
        <w:rPr>
          <w:sz w:val="28"/>
          <w:szCs w:val="28"/>
        </w:rPr>
        <w:instrText xml:space="preserve"> PAGEREF _Toc735129856 \h </w:instrText>
      </w:r>
      <w:r>
        <w:rPr>
          <w:sz w:val="28"/>
          <w:szCs w:val="28"/>
        </w:rPr>
        <w:fldChar w:fldCharType="separate"/>
      </w:r>
      <w:r>
        <w:rPr>
          <w:sz w:val="28"/>
          <w:szCs w:val="28"/>
        </w:rPr>
        <w:t>48</w:t>
      </w:r>
      <w:r>
        <w:rPr>
          <w:sz w:val="28"/>
          <w:szCs w:val="28"/>
        </w:rPr>
        <w:fldChar w:fldCharType="end"/>
      </w:r>
      <w:r>
        <w:rPr>
          <w:rFonts w:hint="eastAsia" w:ascii="仿宋_GB2312" w:hAnsi="仿宋_GB2312" w:eastAsia="仿宋_GB2312" w:cs="仿宋_GB2312"/>
          <w:bCs/>
          <w:sz w:val="28"/>
          <w:szCs w:val="28"/>
        </w:rPr>
        <w:fldChar w:fldCharType="end"/>
      </w:r>
    </w:p>
    <w:p w14:paraId="0705DF1E">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_Toc417278159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第一节  统筹组织实施</w:t>
      </w:r>
      <w:r>
        <w:rPr>
          <w:sz w:val="28"/>
          <w:szCs w:val="28"/>
        </w:rPr>
        <w:tab/>
      </w:r>
      <w:r>
        <w:rPr>
          <w:sz w:val="28"/>
          <w:szCs w:val="28"/>
        </w:rPr>
        <w:fldChar w:fldCharType="begin"/>
      </w:r>
      <w:r>
        <w:rPr>
          <w:sz w:val="28"/>
          <w:szCs w:val="28"/>
        </w:rPr>
        <w:instrText xml:space="preserve"> PAGEREF _Toc417278159 \h </w:instrText>
      </w:r>
      <w:r>
        <w:rPr>
          <w:sz w:val="28"/>
          <w:szCs w:val="28"/>
        </w:rPr>
        <w:fldChar w:fldCharType="separate"/>
      </w:r>
      <w:r>
        <w:rPr>
          <w:sz w:val="28"/>
          <w:szCs w:val="28"/>
        </w:rPr>
        <w:t>48</w:t>
      </w:r>
      <w:r>
        <w:rPr>
          <w:sz w:val="28"/>
          <w:szCs w:val="28"/>
        </w:rPr>
        <w:fldChar w:fldCharType="end"/>
      </w:r>
      <w:r>
        <w:rPr>
          <w:rFonts w:hint="eastAsia" w:ascii="仿宋_GB2312" w:hAnsi="仿宋_GB2312" w:eastAsia="仿宋_GB2312" w:cs="仿宋_GB2312"/>
          <w:bCs/>
          <w:sz w:val="28"/>
          <w:szCs w:val="28"/>
        </w:rPr>
        <w:fldChar w:fldCharType="end"/>
      </w:r>
    </w:p>
    <w:p w14:paraId="15AA28CA">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_Toc1778663067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第二节  夯实要素保障</w:t>
      </w:r>
      <w:r>
        <w:rPr>
          <w:sz w:val="28"/>
          <w:szCs w:val="28"/>
        </w:rPr>
        <w:tab/>
      </w:r>
      <w:r>
        <w:rPr>
          <w:sz w:val="28"/>
          <w:szCs w:val="28"/>
        </w:rPr>
        <w:fldChar w:fldCharType="begin"/>
      </w:r>
      <w:r>
        <w:rPr>
          <w:sz w:val="28"/>
          <w:szCs w:val="28"/>
        </w:rPr>
        <w:instrText xml:space="preserve"> PAGEREF _Toc1778663067 \h </w:instrText>
      </w:r>
      <w:r>
        <w:rPr>
          <w:sz w:val="28"/>
          <w:szCs w:val="28"/>
        </w:rPr>
        <w:fldChar w:fldCharType="separate"/>
      </w:r>
      <w:r>
        <w:rPr>
          <w:sz w:val="28"/>
          <w:szCs w:val="28"/>
        </w:rPr>
        <w:t>49</w:t>
      </w:r>
      <w:r>
        <w:rPr>
          <w:sz w:val="28"/>
          <w:szCs w:val="28"/>
        </w:rPr>
        <w:fldChar w:fldCharType="end"/>
      </w:r>
      <w:r>
        <w:rPr>
          <w:rFonts w:hint="eastAsia" w:ascii="仿宋_GB2312" w:hAnsi="仿宋_GB2312" w:eastAsia="仿宋_GB2312" w:cs="仿宋_GB2312"/>
          <w:bCs/>
          <w:sz w:val="28"/>
          <w:szCs w:val="28"/>
        </w:rPr>
        <w:fldChar w:fldCharType="end"/>
      </w:r>
    </w:p>
    <w:p w14:paraId="0325EA58">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_Toc802806059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第三节  强化资金支持</w:t>
      </w:r>
      <w:r>
        <w:rPr>
          <w:sz w:val="28"/>
          <w:szCs w:val="28"/>
        </w:rPr>
        <w:tab/>
      </w:r>
      <w:r>
        <w:rPr>
          <w:sz w:val="28"/>
          <w:szCs w:val="28"/>
        </w:rPr>
        <w:fldChar w:fldCharType="begin"/>
      </w:r>
      <w:r>
        <w:rPr>
          <w:sz w:val="28"/>
          <w:szCs w:val="28"/>
        </w:rPr>
        <w:instrText xml:space="preserve"> PAGEREF _Toc802806059 \h </w:instrText>
      </w:r>
      <w:r>
        <w:rPr>
          <w:sz w:val="28"/>
          <w:szCs w:val="28"/>
        </w:rPr>
        <w:fldChar w:fldCharType="separate"/>
      </w:r>
      <w:r>
        <w:rPr>
          <w:sz w:val="28"/>
          <w:szCs w:val="28"/>
        </w:rPr>
        <w:t>49</w:t>
      </w:r>
      <w:r>
        <w:rPr>
          <w:sz w:val="28"/>
          <w:szCs w:val="28"/>
        </w:rPr>
        <w:fldChar w:fldCharType="end"/>
      </w:r>
      <w:r>
        <w:rPr>
          <w:rFonts w:hint="eastAsia" w:ascii="仿宋_GB2312" w:hAnsi="仿宋_GB2312" w:eastAsia="仿宋_GB2312" w:cs="仿宋_GB2312"/>
          <w:bCs/>
          <w:sz w:val="28"/>
          <w:szCs w:val="28"/>
        </w:rPr>
        <w:fldChar w:fldCharType="end"/>
      </w:r>
    </w:p>
    <w:p w14:paraId="6194FB0C">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_Toc1893000698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第四节  壮大人才队伍</w:t>
      </w:r>
      <w:r>
        <w:rPr>
          <w:sz w:val="28"/>
          <w:szCs w:val="28"/>
        </w:rPr>
        <w:tab/>
      </w:r>
      <w:r>
        <w:rPr>
          <w:sz w:val="28"/>
          <w:szCs w:val="28"/>
        </w:rPr>
        <w:fldChar w:fldCharType="begin"/>
      </w:r>
      <w:r>
        <w:rPr>
          <w:sz w:val="28"/>
          <w:szCs w:val="28"/>
        </w:rPr>
        <w:instrText xml:space="preserve"> PAGEREF _Toc1893000698 \h </w:instrText>
      </w:r>
      <w:r>
        <w:rPr>
          <w:sz w:val="28"/>
          <w:szCs w:val="28"/>
        </w:rPr>
        <w:fldChar w:fldCharType="separate"/>
      </w:r>
      <w:r>
        <w:rPr>
          <w:sz w:val="28"/>
          <w:szCs w:val="28"/>
        </w:rPr>
        <w:t>50</w:t>
      </w:r>
      <w:r>
        <w:rPr>
          <w:sz w:val="28"/>
          <w:szCs w:val="28"/>
        </w:rPr>
        <w:fldChar w:fldCharType="end"/>
      </w:r>
      <w:r>
        <w:rPr>
          <w:rFonts w:hint="eastAsia" w:ascii="仿宋_GB2312" w:hAnsi="仿宋_GB2312" w:eastAsia="仿宋_GB2312" w:cs="仿宋_GB2312"/>
          <w:bCs/>
          <w:sz w:val="28"/>
          <w:szCs w:val="28"/>
        </w:rPr>
        <w:fldChar w:fldCharType="end"/>
      </w:r>
    </w:p>
    <w:p w14:paraId="72E2A933">
      <w:pPr>
        <w:pStyle w:val="23"/>
        <w:tabs>
          <w:tab w:val="right" w:leader="dot" w:pos="8844"/>
          <w:tab w:val="clear" w:pos="8674"/>
        </w:tabs>
        <w:spacing w:line="520" w:lineRule="exact"/>
        <w:ind w:firstLine="560" w:firstLineChars="200"/>
        <w:rPr>
          <w:sz w:val="28"/>
          <w:szCs w:val="28"/>
        </w:rPr>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_Toc1225859962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第五节  优化营商环境</w:t>
      </w:r>
      <w:r>
        <w:rPr>
          <w:sz w:val="28"/>
          <w:szCs w:val="28"/>
        </w:rPr>
        <w:tab/>
      </w:r>
      <w:r>
        <w:rPr>
          <w:sz w:val="28"/>
          <w:szCs w:val="28"/>
        </w:rPr>
        <w:fldChar w:fldCharType="begin"/>
      </w:r>
      <w:r>
        <w:rPr>
          <w:sz w:val="28"/>
          <w:szCs w:val="28"/>
        </w:rPr>
        <w:instrText xml:space="preserve"> PAGEREF _Toc1225859962 \h </w:instrText>
      </w:r>
      <w:r>
        <w:rPr>
          <w:sz w:val="28"/>
          <w:szCs w:val="28"/>
        </w:rPr>
        <w:fldChar w:fldCharType="separate"/>
      </w:r>
      <w:r>
        <w:rPr>
          <w:sz w:val="28"/>
          <w:szCs w:val="28"/>
        </w:rPr>
        <w:t>50</w:t>
      </w:r>
      <w:r>
        <w:rPr>
          <w:sz w:val="28"/>
          <w:szCs w:val="28"/>
        </w:rPr>
        <w:fldChar w:fldCharType="end"/>
      </w:r>
      <w:r>
        <w:rPr>
          <w:rFonts w:hint="eastAsia" w:ascii="仿宋_GB2312" w:hAnsi="仿宋_GB2312" w:eastAsia="仿宋_GB2312" w:cs="仿宋_GB2312"/>
          <w:bCs/>
          <w:sz w:val="28"/>
          <w:szCs w:val="28"/>
        </w:rPr>
        <w:fldChar w:fldCharType="end"/>
      </w:r>
    </w:p>
    <w:p w14:paraId="55589B35">
      <w:pPr>
        <w:pStyle w:val="23"/>
        <w:tabs>
          <w:tab w:val="right" w:leader="dot" w:pos="8844"/>
          <w:tab w:val="clear" w:pos="8674"/>
        </w:tabs>
        <w:spacing w:line="520" w:lineRule="exact"/>
        <w:ind w:firstLine="560" w:firstLineChars="200"/>
      </w:pPr>
      <w:r>
        <w:rPr>
          <w:rFonts w:hint="eastAsia" w:ascii="仿宋_GB2312" w:hAnsi="仿宋_GB2312" w:eastAsia="仿宋_GB2312" w:cs="仿宋_GB2312"/>
          <w:bCs/>
          <w:sz w:val="28"/>
          <w:szCs w:val="28"/>
        </w:rPr>
        <w:fldChar w:fldCharType="begin"/>
      </w:r>
      <w:r>
        <w:rPr>
          <w:rFonts w:hint="eastAsia" w:ascii="仿宋_GB2312" w:hAnsi="仿宋_GB2312" w:eastAsia="仿宋_GB2312" w:cs="仿宋_GB2312"/>
          <w:bCs/>
          <w:sz w:val="28"/>
          <w:szCs w:val="28"/>
        </w:rPr>
        <w:instrText xml:space="preserve"> HYPERLINK \l _Toc120623744 </w:instrText>
      </w:r>
      <w:r>
        <w:rPr>
          <w:rFonts w:hint="eastAsia" w:ascii="仿宋_GB2312" w:hAnsi="仿宋_GB2312" w:eastAsia="仿宋_GB2312" w:cs="仿宋_GB2312"/>
          <w:bCs/>
          <w:sz w:val="28"/>
          <w:szCs w:val="28"/>
        </w:rPr>
        <w:fldChar w:fldCharType="separate"/>
      </w:r>
      <w:r>
        <w:rPr>
          <w:rFonts w:hint="eastAsia" w:ascii="仿宋_GB2312" w:hAnsi="仿宋_GB2312" w:eastAsia="仿宋_GB2312" w:cs="仿宋_GB2312"/>
          <w:bCs/>
          <w:kern w:val="2"/>
          <w:sz w:val="28"/>
          <w:szCs w:val="28"/>
          <w:lang w:val="en-US" w:eastAsia="zh-CN" w:bidi="ar-SA"/>
        </w:rPr>
        <w:t>第六节  筑牢安全防线</w:t>
      </w:r>
      <w:r>
        <w:rPr>
          <w:sz w:val="28"/>
          <w:szCs w:val="28"/>
        </w:rPr>
        <w:tab/>
      </w:r>
      <w:r>
        <w:rPr>
          <w:sz w:val="28"/>
          <w:szCs w:val="28"/>
        </w:rPr>
        <w:fldChar w:fldCharType="begin"/>
      </w:r>
      <w:r>
        <w:rPr>
          <w:sz w:val="28"/>
          <w:szCs w:val="28"/>
        </w:rPr>
        <w:instrText xml:space="preserve"> PAGEREF _Toc120623744 \h </w:instrText>
      </w:r>
      <w:r>
        <w:rPr>
          <w:sz w:val="28"/>
          <w:szCs w:val="28"/>
        </w:rPr>
        <w:fldChar w:fldCharType="separate"/>
      </w:r>
      <w:r>
        <w:rPr>
          <w:sz w:val="28"/>
          <w:szCs w:val="28"/>
        </w:rPr>
        <w:t>50</w:t>
      </w:r>
      <w:r>
        <w:rPr>
          <w:sz w:val="28"/>
          <w:szCs w:val="28"/>
        </w:rPr>
        <w:fldChar w:fldCharType="end"/>
      </w:r>
      <w:r>
        <w:rPr>
          <w:rFonts w:hint="eastAsia" w:ascii="仿宋_GB2312" w:hAnsi="仿宋_GB2312" w:eastAsia="仿宋_GB2312" w:cs="仿宋_GB2312"/>
          <w:bCs/>
          <w:sz w:val="28"/>
          <w:szCs w:val="28"/>
        </w:rPr>
        <w:fldChar w:fldCharType="end"/>
      </w:r>
    </w:p>
    <w:p w14:paraId="67980092">
      <w:pPr>
        <w:keepNext w:val="0"/>
        <w:keepLines w:val="0"/>
        <w:pageBreakBefore w:val="0"/>
        <w:widowControl w:val="0"/>
        <w:tabs>
          <w:tab w:val="right" w:leader="dot" w:pos="8845"/>
        </w:tabs>
        <w:kinsoku/>
        <w:wordWrap/>
        <w:overflowPunct w:val="0"/>
        <w:topLinePunct w:val="0"/>
        <w:autoSpaceDE/>
        <w:autoSpaceDN/>
        <w:bidi w:val="0"/>
        <w:adjustRightInd w:val="0"/>
        <w:snapToGrid w:val="0"/>
        <w:spacing w:line="500" w:lineRule="exact"/>
        <w:ind w:left="420" w:leftChars="200"/>
        <w:jc w:val="both"/>
        <w:textAlignment w:val="auto"/>
        <w:rPr>
          <w:rFonts w:hint="default" w:ascii="Times New Roman" w:hAnsi="Times New Roman" w:eastAsia="仿宋_GB2312" w:cs="Times New Roman"/>
          <w:sz w:val="1240"/>
          <w:szCs w:val="1240"/>
        </w:rPr>
      </w:pPr>
      <w:r>
        <w:rPr>
          <w:rFonts w:hint="default" w:ascii="Times New Roman" w:hAnsi="Times New Roman" w:eastAsia="仿宋_GB2312" w:cs="Times New Roman"/>
          <w:b w:val="0"/>
          <w:bCs/>
          <w:sz w:val="28"/>
          <w:szCs w:val="28"/>
        </w:rPr>
        <w:fldChar w:fldCharType="end"/>
      </w:r>
    </w:p>
    <w:p w14:paraId="02BAA7BA">
      <w:pPr>
        <w:keepNext w:val="0"/>
        <w:keepLines w:val="0"/>
        <w:pageBreakBefore w:val="0"/>
        <w:widowControl w:val="0"/>
        <w:kinsoku/>
        <w:wordWrap/>
        <w:overflowPunct w:val="0"/>
        <w:topLinePunct w:val="0"/>
        <w:autoSpaceDE/>
        <w:autoSpaceDN/>
        <w:bidi w:val="0"/>
        <w:adjustRightInd w:val="0"/>
        <w:snapToGrid w:val="0"/>
        <w:spacing w:line="596" w:lineRule="exact"/>
        <w:textAlignment w:val="auto"/>
        <w:rPr>
          <w:rFonts w:hint="default" w:ascii="Times New Roman" w:hAnsi="Times New Roman" w:eastAsia="仿宋_GB2312" w:cs="Times New Roman"/>
          <w:sz w:val="1180"/>
          <w:szCs w:val="1120"/>
        </w:rPr>
        <w:sectPr>
          <w:footerReference r:id="rId7" w:type="default"/>
          <w:pgSz w:w="11906" w:h="16838"/>
          <w:pgMar w:top="1928" w:right="1531" w:bottom="1701" w:left="1531" w:header="851" w:footer="1247" w:gutter="0"/>
          <w:paperSrc/>
          <w:pgNumType w:fmt="decimal" w:start="1"/>
          <w:cols w:space="720" w:num="1"/>
          <w:rtlGutter w:val="0"/>
          <w:docGrid w:type="lines" w:linePitch="312" w:charSpace="0"/>
        </w:sectPr>
      </w:pPr>
    </w:p>
    <w:p w14:paraId="735112C5">
      <w:pPr>
        <w:keepNext w:val="0"/>
        <w:keepLines w:val="0"/>
        <w:pageBreakBefore w:val="0"/>
        <w:widowControl w:val="0"/>
        <w:kinsoku/>
        <w:wordWrap/>
        <w:overflowPunct w:val="0"/>
        <w:topLinePunct w:val="0"/>
        <w:autoSpaceDE/>
        <w:autoSpaceDN/>
        <w:bidi w:val="0"/>
        <w:adjustRightInd w:val="0"/>
        <w:snapToGrid w:val="0"/>
        <w:spacing w:before="313" w:beforeLines="100" w:after="313" w:afterLines="100" w:line="596" w:lineRule="exact"/>
        <w:jc w:val="center"/>
        <w:textAlignment w:val="auto"/>
        <w:outlineLvl w:val="0"/>
        <w:rPr>
          <w:rFonts w:hint="default" w:ascii="Times New Roman" w:hAnsi="Times New Roman" w:eastAsia="方正小标宋简体" w:cs="Times New Roman"/>
          <w:sz w:val="36"/>
          <w:szCs w:val="36"/>
        </w:rPr>
      </w:pPr>
      <w:bookmarkStart w:id="14" w:name="_Toc1291794527"/>
      <w:bookmarkStart w:id="15" w:name="_Toc6188"/>
      <w:bookmarkStart w:id="16" w:name="_Toc22757"/>
      <w:bookmarkStart w:id="17" w:name="_Toc13945"/>
      <w:bookmarkStart w:id="18" w:name="_Toc6319"/>
      <w:bookmarkStart w:id="19" w:name="_Toc31483"/>
      <w:bookmarkStart w:id="20" w:name="_Toc5757"/>
      <w:bookmarkStart w:id="21" w:name="_Toc21543"/>
      <w:bookmarkStart w:id="22" w:name="_Toc13902"/>
      <w:bookmarkStart w:id="23" w:name="_Toc4539"/>
      <w:bookmarkStart w:id="24" w:name="_Toc129785490"/>
      <w:bookmarkStart w:id="25" w:name="_Toc29874"/>
      <w:bookmarkStart w:id="26" w:name="_Toc25861"/>
      <w:r>
        <w:rPr>
          <w:rFonts w:hint="default" w:ascii="Times New Roman" w:hAnsi="Times New Roman" w:eastAsia="方正小标宋简体" w:cs="Times New Roman"/>
          <w:sz w:val="36"/>
          <w:szCs w:val="36"/>
        </w:rPr>
        <w:t>前  言</w:t>
      </w:r>
      <w:bookmarkEnd w:id="14"/>
    </w:p>
    <w:p w14:paraId="12A9E0D4">
      <w:pPr>
        <w:keepNext w:val="0"/>
        <w:keepLines w:val="0"/>
        <w:pageBreakBefore w:val="0"/>
        <w:widowControl w:val="0"/>
        <w:kinsoku/>
        <w:wordWrap/>
        <w:overflowPunct w:val="0"/>
        <w:topLinePunct w:val="0"/>
        <w:autoSpaceDE/>
        <w:autoSpaceDN/>
        <w:bidi w:val="0"/>
        <w:adjustRightInd w:val="0"/>
        <w:snapToGrid w:val="0"/>
        <w:spacing w:after="0" w:line="59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高新技术产业是海南自由贸易港建设四大主导产业之一，是构建现代化产业体系、推动科技创</w:t>
      </w:r>
      <w:r>
        <w:rPr>
          <w:rFonts w:hint="eastAsia" w:ascii="仿宋_GB2312" w:hAnsi="仿宋_GB2312" w:eastAsia="仿宋_GB2312" w:cs="仿宋_GB2312"/>
          <w:kern w:val="2"/>
          <w:sz w:val="32"/>
          <w:szCs w:val="32"/>
          <w:lang w:val="en-US" w:eastAsia="zh-CN" w:bidi="ar-SA"/>
        </w:rPr>
        <w:t>新和产业创新深度融合的主阵地与重要抓手。“十四五”期间，海南着力构建“3+3+3”高新技术产业体系，产业主导地位不断提高、发展质效稳步提升，经济社会“加速器”作用日益凸显。</w:t>
      </w:r>
    </w:p>
    <w:p w14:paraId="63E59C12">
      <w:pPr>
        <w:keepNext w:val="0"/>
        <w:keepLines w:val="0"/>
        <w:pageBreakBefore w:val="0"/>
        <w:widowControl w:val="0"/>
        <w:kinsoku/>
        <w:wordWrap/>
        <w:overflowPunct w:val="0"/>
        <w:topLinePunct w:val="0"/>
        <w:autoSpaceDE/>
        <w:autoSpaceDN/>
        <w:bidi w:val="0"/>
        <w:adjustRightInd w:val="0"/>
        <w:snapToGrid w:val="0"/>
        <w:spacing w:after="0" w:line="59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
        </w:rPr>
        <w:t>“十五五”是高标准建设海南自由贸易港的关键战略期，是全岛封关运作后的重要历史机遇期，海南</w:t>
      </w:r>
      <w:r>
        <w:rPr>
          <w:rFonts w:hint="eastAsia" w:ascii="仿宋_GB2312" w:hAnsi="仿宋_GB2312" w:eastAsia="仿宋_GB2312" w:cs="仿宋_GB2312"/>
          <w:kern w:val="2"/>
          <w:sz w:val="32"/>
          <w:szCs w:val="32"/>
          <w:lang w:val="en-US" w:eastAsia="zh-CN" w:bidi="ar-SA"/>
        </w:rPr>
        <w:t>将紧紧围绕建设“三区一中心”战略定位和“45432”发展架构，以推进新型工业化为核心，以因地制宜打造新质生产力重要实践地为主线，以科技创新和产业创新深度融合为路径，聚焦“五向图强”，前瞻布局“四新”未来产业，着力构建具有海南特色和优势的“345X”高新技术产业体系，推动高新技术产业向集群化、智能化、绿色化、融合化发展。</w:t>
      </w:r>
    </w:p>
    <w:p w14:paraId="02DB1540">
      <w:pPr>
        <w:keepNext w:val="0"/>
        <w:keepLines w:val="0"/>
        <w:pageBreakBefore w:val="0"/>
        <w:widowControl w:val="0"/>
        <w:kinsoku/>
        <w:wordWrap/>
        <w:overflowPunct w:val="0"/>
        <w:topLinePunct w:val="0"/>
        <w:autoSpaceDE/>
        <w:autoSpaceDN/>
        <w:bidi w:val="0"/>
        <w:adjustRightInd w:val="0"/>
        <w:snapToGrid w:val="0"/>
        <w:spacing w:line="596" w:lineRule="exact"/>
        <w:ind w:firstLine="640" w:firstLineChars="200"/>
        <w:jc w:val="left"/>
        <w:textAlignment w:val="auto"/>
        <w:outlineLvl w:val="9"/>
        <w:rPr>
          <w:rFonts w:hint="eastAsia" w:ascii="仿宋_GB2312" w:hAnsi="仿宋_GB2312" w:eastAsia="仿宋_GB2312" w:cs="仿宋_GB2312"/>
          <w:sz w:val="32"/>
          <w:szCs w:val="32"/>
        </w:rPr>
        <w:sectPr>
          <w:footerReference r:id="rId8" w:type="default"/>
          <w:pgSz w:w="11906" w:h="16838"/>
          <w:pgMar w:top="1928" w:right="1531" w:bottom="1701" w:left="1531" w:header="851" w:footer="1247" w:gutter="0"/>
          <w:pgNumType w:fmt="decimal" w:start="1"/>
          <w:cols w:space="720" w:num="1"/>
          <w:rtlGutter w:val="0"/>
          <w:docGrid w:type="lines" w:linePitch="312" w:charSpace="0"/>
        </w:sectPr>
      </w:pPr>
      <w:r>
        <w:rPr>
          <w:rFonts w:hint="eastAsia" w:ascii="仿宋_GB2312" w:hAnsi="仿宋_GB2312" w:eastAsia="仿宋_GB2312" w:cs="仿宋_GB2312"/>
          <w:bCs/>
          <w:kern w:val="2"/>
          <w:sz w:val="32"/>
          <w:szCs w:val="32"/>
          <w:lang w:val="en-US" w:eastAsia="zh-CN" w:bidi="ar"/>
        </w:rPr>
        <w:t>本规划依据《中华人民共和国国民经济和社会发展第十五个五年规划纲要》《海南省国民经济和社会发展第十五个五年规划纲要》编制，衔接科技创新、新质生产力、商业航天、深海科技等领域相关专项规划，是推动海南省高新技术产业</w:t>
      </w:r>
      <w:r>
        <w:rPr>
          <w:rFonts w:hint="eastAsia" w:ascii="仿宋_GB2312" w:hAnsi="仿宋_GB2312" w:eastAsia="仿宋_GB2312" w:cs="仿宋_GB2312"/>
          <w:bCs/>
          <w:kern w:val="2"/>
          <w:sz w:val="32"/>
          <w:szCs w:val="32"/>
          <w:lang w:val="en-US" w:eastAsia="zh" w:bidi="ar"/>
        </w:rPr>
        <w:t>高质量</w:t>
      </w:r>
      <w:r>
        <w:rPr>
          <w:rFonts w:hint="eastAsia" w:ascii="仿宋_GB2312" w:hAnsi="仿宋_GB2312" w:eastAsia="仿宋_GB2312" w:cs="仿宋_GB2312"/>
          <w:bCs/>
          <w:kern w:val="2"/>
          <w:sz w:val="32"/>
          <w:szCs w:val="32"/>
          <w:lang w:val="en-US" w:eastAsia="zh-CN" w:bidi="ar"/>
        </w:rPr>
        <w:t>发展的行动指南。规划期为2026至2030年。</w:t>
      </w:r>
    </w:p>
    <w:p w14:paraId="6764C8F8">
      <w:pPr>
        <w:keepNext w:val="0"/>
        <w:keepLines w:val="0"/>
        <w:pageBreakBefore w:val="0"/>
        <w:widowControl w:val="0"/>
        <w:kinsoku/>
        <w:wordWrap/>
        <w:overflowPunct w:val="0"/>
        <w:topLinePunct w:val="0"/>
        <w:autoSpaceDE/>
        <w:autoSpaceDN/>
        <w:bidi w:val="0"/>
        <w:adjustRightInd w:val="0"/>
        <w:snapToGrid w:val="0"/>
        <w:spacing w:before="313" w:beforeLines="100" w:after="313" w:afterLines="100" w:line="596" w:lineRule="exact"/>
        <w:jc w:val="center"/>
        <w:textAlignment w:val="auto"/>
        <w:outlineLvl w:val="0"/>
        <w:rPr>
          <w:rFonts w:hint="default" w:ascii="Times New Roman" w:hAnsi="Times New Roman" w:eastAsia="方正小标宋简体" w:cs="Times New Roman"/>
          <w:sz w:val="36"/>
          <w:szCs w:val="36"/>
        </w:rPr>
      </w:pPr>
      <w:bookmarkStart w:id="27" w:name="_Toc1920793855"/>
      <w:r>
        <w:rPr>
          <w:rFonts w:hint="default" w:ascii="Times New Roman" w:hAnsi="Times New Roman" w:eastAsia="方正小标宋简体" w:cs="Times New Roman"/>
          <w:sz w:val="36"/>
          <w:szCs w:val="36"/>
        </w:rPr>
        <w:t xml:space="preserve">第一章 </w:t>
      </w:r>
      <w:r>
        <w:rPr>
          <w:rFonts w:hint="default"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rPr>
        <w:t>发展环境</w:t>
      </w:r>
      <w:bookmarkEnd w:id="8"/>
      <w:bookmarkEnd w:id="15"/>
      <w:bookmarkEnd w:id="16"/>
      <w:bookmarkEnd w:id="17"/>
      <w:bookmarkEnd w:id="18"/>
      <w:bookmarkEnd w:id="19"/>
      <w:bookmarkEnd w:id="20"/>
      <w:bookmarkEnd w:id="21"/>
      <w:bookmarkEnd w:id="22"/>
      <w:bookmarkEnd w:id="23"/>
      <w:bookmarkEnd w:id="24"/>
      <w:bookmarkEnd w:id="25"/>
      <w:bookmarkEnd w:id="26"/>
      <w:bookmarkEnd w:id="27"/>
    </w:p>
    <w:p w14:paraId="2CA6421B">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28" w:name="_Toc120023863"/>
      <w:bookmarkStart w:id="29" w:name="_Toc129785491"/>
      <w:bookmarkStart w:id="30" w:name="_Toc10012"/>
      <w:bookmarkStart w:id="31" w:name="_Toc19167"/>
      <w:bookmarkStart w:id="32" w:name="_Toc28700"/>
      <w:bookmarkStart w:id="33" w:name="_Toc6870"/>
      <w:bookmarkStart w:id="34" w:name="_Toc9874"/>
      <w:bookmarkStart w:id="35" w:name="_Toc1806"/>
      <w:bookmarkStart w:id="36" w:name="_Toc9622"/>
      <w:bookmarkStart w:id="37" w:name="_Toc1046269411"/>
      <w:bookmarkStart w:id="38" w:name="_Toc11974"/>
      <w:bookmarkStart w:id="39" w:name="_Toc15773"/>
      <w:bookmarkStart w:id="40" w:name="_Toc9957"/>
      <w:bookmarkStart w:id="41" w:name="_Toc26926"/>
      <w:r>
        <w:rPr>
          <w:rFonts w:hint="default" w:ascii="Times New Roman" w:hAnsi="Times New Roman" w:eastAsia="楷体_GB2312" w:cs="Times New Roman"/>
          <w:b/>
          <w:bCs/>
          <w:kern w:val="2"/>
          <w:sz w:val="32"/>
          <w:szCs w:val="32"/>
          <w:lang w:val="en-US" w:eastAsia="zh-CN" w:bidi="ar-SA"/>
        </w:rPr>
        <w:t>第一节  发展</w:t>
      </w:r>
      <w:bookmarkEnd w:id="28"/>
      <w:bookmarkEnd w:id="29"/>
      <w:r>
        <w:rPr>
          <w:rFonts w:hint="default" w:ascii="Times New Roman" w:hAnsi="Times New Roman" w:eastAsia="楷体_GB2312" w:cs="Times New Roman"/>
          <w:b/>
          <w:bCs/>
          <w:kern w:val="2"/>
          <w:sz w:val="32"/>
          <w:szCs w:val="32"/>
          <w:lang w:val="en-US" w:eastAsia="zh-CN" w:bidi="ar-SA"/>
        </w:rPr>
        <w:t>基础</w:t>
      </w:r>
      <w:bookmarkEnd w:id="30"/>
      <w:bookmarkEnd w:id="31"/>
      <w:bookmarkEnd w:id="32"/>
      <w:bookmarkEnd w:id="33"/>
      <w:bookmarkEnd w:id="34"/>
      <w:bookmarkEnd w:id="35"/>
      <w:bookmarkEnd w:id="36"/>
      <w:bookmarkEnd w:id="37"/>
      <w:bookmarkEnd w:id="38"/>
      <w:bookmarkEnd w:id="39"/>
      <w:bookmarkEnd w:id="40"/>
      <w:bookmarkEnd w:id="41"/>
    </w:p>
    <w:p w14:paraId="2BB63084">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kern w:val="2"/>
          <w:sz w:val="32"/>
          <w:szCs w:val="32"/>
          <w:lang w:val="en-US" w:eastAsia="zh-CN" w:bidi="ar"/>
        </w:rPr>
      </w:pPr>
      <w:bookmarkStart w:id="397" w:name="_GoBack"/>
      <w:r>
        <w:rPr>
          <w:rFonts w:hint="eastAsia" w:ascii="仿宋_GB2312" w:hAnsi="仿宋_GB2312" w:eastAsia="仿宋_GB2312" w:cs="仿宋_GB2312"/>
          <w:kern w:val="2"/>
          <w:sz w:val="32"/>
          <w:szCs w:val="32"/>
          <w:lang w:val="en-US" w:eastAsia="zh-CN" w:bidi="ar"/>
        </w:rPr>
        <w:t>“十四五”期间，海南依托独特区位、开放政策和资源优势，着力构建“3+3+3”高新技术产业体系，</w:t>
      </w:r>
      <w:r>
        <w:rPr>
          <w:rFonts w:hint="eastAsia" w:ascii="仿宋_GB2312" w:hAnsi="仿宋_GB2312" w:eastAsia="仿宋_GB2312" w:cs="仿宋_GB2312"/>
          <w:kern w:val="2"/>
          <w:sz w:val="32"/>
          <w:szCs w:val="32"/>
          <w:lang w:val="en-US" w:eastAsia="zh-CN" w:bidi="ar-SA"/>
        </w:rPr>
        <w:t>推动产业规模、创新能力、企业活力、基础设施、绿色发展与营商环境全面提升，</w:t>
      </w:r>
      <w:r>
        <w:rPr>
          <w:rFonts w:hint="eastAsia" w:ascii="仿宋_GB2312" w:hAnsi="仿宋_GB2312" w:eastAsia="仿宋_GB2312" w:cs="仿宋_GB2312"/>
          <w:kern w:val="2"/>
          <w:sz w:val="32"/>
          <w:szCs w:val="32"/>
          <w:lang w:val="en-US" w:eastAsia="zh-CN" w:bidi="ar"/>
        </w:rPr>
        <w:t>为“十五五”海南省经济高质量发展奠定坚实基础。</w:t>
      </w:r>
    </w:p>
    <w:bookmarkEnd w:id="397"/>
    <w:p w14:paraId="3162D028">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产业规模效益显著提升。</w:t>
      </w:r>
      <w:r>
        <w:rPr>
          <w:rFonts w:hint="eastAsia" w:ascii="仿宋_GB2312" w:hAnsi="仿宋_GB2312" w:eastAsia="仿宋_GB2312" w:cs="仿宋_GB2312"/>
          <w:sz w:val="32"/>
          <w:szCs w:val="32"/>
          <w:lang w:bidi="ar"/>
        </w:rPr>
        <w:t>全省高新技术产业快速发展</w:t>
      </w:r>
      <w:r>
        <w:rPr>
          <w:rFonts w:hint="eastAsia" w:ascii="仿宋_GB2312" w:hAnsi="仿宋_GB2312" w:eastAsia="仿宋_GB2312" w:cs="仿宋_GB2312"/>
          <w:sz w:val="32"/>
          <w:szCs w:val="32"/>
        </w:rPr>
        <w:t>，石化新材料产业产值、生物医药出口额连续四年两位数增长，装备制造业、高端食品加工业年均增速超20%。数字经济核心产业营收较2021年实现翻番</w:t>
      </w:r>
      <w:r>
        <w:rPr>
          <w:rFonts w:hint="eastAsia" w:ascii="仿宋_GB2312" w:hAnsi="仿宋_GB2312" w:eastAsia="仿宋_GB2312" w:cs="仿宋_GB2312"/>
          <w:sz w:val="32"/>
          <w:szCs w:val="48"/>
        </w:rPr>
        <w:t>。“五向图强”特色产业成型起势，</w:t>
      </w:r>
      <w:r>
        <w:rPr>
          <w:rFonts w:hint="eastAsia" w:ascii="仿宋_GB2312" w:hAnsi="仿宋_GB2312" w:eastAsia="仿宋_GB2312" w:cs="仿宋_GB2312"/>
          <w:sz w:val="32"/>
          <w:szCs w:val="32"/>
        </w:rPr>
        <w:t>“向种图强”小步快跑，全力打造“南繁硅谷”；“向海图强”全面推进，深海科技和海洋装备制造产业加速发展；“向天图强”实现突破，全国首个</w:t>
      </w:r>
      <w:r>
        <w:rPr>
          <w:rFonts w:hint="eastAsia" w:ascii="仿宋_GB2312" w:hAnsi="仿宋_GB2312" w:eastAsia="仿宋_GB2312" w:cs="仿宋_GB2312"/>
          <w:spacing w:val="-2"/>
          <w:sz w:val="32"/>
          <w:szCs w:val="32"/>
        </w:rPr>
        <w:t>商业航天发射场常态化发射，“以场带产”壮大火箭链、卫星链、数据链和“航天+”产业；“向绿图强”特色鲜明，以节能环保、新能源汽车为重点打造绿色低碳产业链；“向数图强”</w:t>
      </w:r>
      <w:r>
        <w:rPr>
          <w:rFonts w:hint="eastAsia" w:ascii="仿宋_GB2312" w:hAnsi="仿宋_GB2312" w:eastAsia="仿宋_GB2312" w:cs="仿宋_GB2312"/>
          <w:spacing w:val="-6"/>
          <w:sz w:val="32"/>
          <w:szCs w:val="32"/>
        </w:rPr>
        <w:t>势头强劲，</w:t>
      </w:r>
      <w:r>
        <w:rPr>
          <w:rFonts w:hint="eastAsia" w:ascii="仿宋_GB2312" w:hAnsi="仿宋_GB2312" w:eastAsia="仿宋_GB2312" w:cs="仿宋_GB2312"/>
          <w:spacing w:val="-6"/>
          <w:sz w:val="32"/>
          <w:szCs w:val="48"/>
        </w:rPr>
        <w:t>电子信息制造业实现破局发展，国际数据产业加速布局</w:t>
      </w:r>
      <w:r>
        <w:rPr>
          <w:rFonts w:hint="eastAsia" w:ascii="仿宋_GB2312" w:hAnsi="仿宋_GB2312" w:eastAsia="仿宋_GB2312" w:cs="仿宋_GB2312"/>
          <w:spacing w:val="-6"/>
          <w:sz w:val="32"/>
          <w:szCs w:val="32"/>
        </w:rPr>
        <w:t>。</w:t>
      </w:r>
    </w:p>
    <w:p w14:paraId="27FAA037">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48"/>
        </w:rPr>
      </w:pPr>
      <w:r>
        <w:rPr>
          <w:rFonts w:hint="eastAsia" w:ascii="仿宋_GB2312" w:hAnsi="仿宋_GB2312" w:eastAsia="仿宋_GB2312" w:cs="仿宋_GB2312"/>
          <w:b/>
          <w:bCs/>
          <w:sz w:val="32"/>
          <w:szCs w:val="48"/>
        </w:rPr>
        <w:t>科技创新生态明显改善。</w:t>
      </w:r>
      <w:r>
        <w:rPr>
          <w:rFonts w:hint="eastAsia" w:ascii="仿宋_GB2312" w:hAnsi="仿宋_GB2312" w:eastAsia="仿宋_GB2312" w:cs="仿宋_GB2312"/>
          <w:sz w:val="32"/>
          <w:szCs w:val="48"/>
        </w:rPr>
        <w:t>加快构建多层级科技创新体系，打造种业、深海、航天等特色优势领域创新策源地。崖州湾国家实验室落地并转段运行。首套国产化深水水下采油树完成安装，全球最大风电叶片在琼下线，实现重大装备自主化新突破。“深海一号”超深水大气田开发与“玲龙一号”小型模块化反应堆等核心技术跻身世界前列。科技人才队伍稳步壮大，每万名就业人员中研发人员全时当量保持增长。</w:t>
      </w:r>
    </w:p>
    <w:p w14:paraId="6C776927">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24"/>
        </w:rPr>
        <w:t>企业梯度培育迸发活力。</w:t>
      </w:r>
      <w:r>
        <w:rPr>
          <w:rFonts w:hint="eastAsia" w:ascii="仿宋_GB2312" w:hAnsi="仿宋_GB2312" w:eastAsia="仿宋_GB2312" w:cs="仿宋_GB2312"/>
          <w:sz w:val="32"/>
          <w:szCs w:val="32"/>
        </w:rPr>
        <w:t>优质企业梯度培育体系加快构建，持续</w:t>
      </w:r>
      <w:r>
        <w:rPr>
          <w:rFonts w:hint="eastAsia" w:ascii="仿宋_GB2312" w:hAnsi="仿宋_GB2312" w:eastAsia="仿宋_GB2312" w:cs="仿宋_GB2312"/>
          <w:sz w:val="32"/>
          <w:szCs w:val="32"/>
          <w:lang w:val="en-US" w:eastAsia="zh-CN"/>
        </w:rPr>
        <w:t>促进</w:t>
      </w:r>
      <w:r>
        <w:rPr>
          <w:rFonts w:hint="eastAsia" w:ascii="仿宋_GB2312" w:hAnsi="仿宋_GB2312" w:eastAsia="仿宋_GB2312" w:cs="仿宋_GB2312"/>
          <w:sz w:val="32"/>
          <w:szCs w:val="32"/>
        </w:rPr>
        <w:t>中小企业专精特新发展。全省有效期内高新技术企业</w:t>
      </w:r>
      <w:r>
        <w:rPr>
          <w:rFonts w:hint="eastAsia" w:ascii="仿宋_GB2312" w:hAnsi="仿宋_GB2312" w:eastAsia="仿宋_GB2312" w:cs="仿宋_GB2312"/>
          <w:sz w:val="32"/>
          <w:szCs w:val="32"/>
          <w:lang w:val="en-US" w:eastAsia="zh-CN"/>
        </w:rPr>
        <w:t>最高达</w:t>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家。累计培育国家级专精特新“小巨人”企业17家，专精特新中小企业600家，创新型中小企业1329家</w:t>
      </w:r>
      <w:r>
        <w:rPr>
          <w:rFonts w:hint="eastAsia" w:ascii="仿宋_GB2312" w:hAnsi="仿宋_GB2312" w:eastAsia="仿宋_GB2312" w:cs="仿宋_GB2312"/>
          <w:sz w:val="32"/>
          <w:szCs w:val="32"/>
          <w:lang w:bidi="ar"/>
        </w:rPr>
        <w:t>。累计认定省级中小企业特色产业集群16个，其中</w:t>
      </w:r>
      <w:r>
        <w:rPr>
          <w:rFonts w:hint="eastAsia" w:ascii="仿宋_GB2312" w:hAnsi="仿宋_GB2312" w:eastAsia="仿宋_GB2312" w:cs="仿宋_GB2312"/>
          <w:sz w:val="32"/>
          <w:szCs w:val="32"/>
        </w:rPr>
        <w:t>4个</w:t>
      </w:r>
      <w:r>
        <w:rPr>
          <w:rFonts w:hint="eastAsia" w:ascii="仿宋_GB2312" w:hAnsi="仿宋_GB2312" w:eastAsia="仿宋_GB2312" w:cs="仿宋_GB2312"/>
          <w:sz w:val="32"/>
          <w:szCs w:val="32"/>
          <w:lang w:bidi="ar"/>
        </w:rPr>
        <w:t>入选</w:t>
      </w:r>
      <w:r>
        <w:rPr>
          <w:rFonts w:hint="eastAsia" w:ascii="仿宋_GB2312" w:hAnsi="仿宋_GB2312" w:eastAsia="仿宋_GB2312" w:cs="仿宋_GB2312"/>
          <w:sz w:val="32"/>
          <w:szCs w:val="32"/>
        </w:rPr>
        <w:t>国家级集群</w:t>
      </w:r>
      <w:r>
        <w:rPr>
          <w:rFonts w:hint="eastAsia" w:ascii="仿宋_GB2312" w:hAnsi="仿宋_GB2312" w:eastAsia="仿宋_GB2312" w:cs="仿宋_GB2312"/>
          <w:kern w:val="0"/>
          <w:sz w:val="32"/>
          <w:szCs w:val="32"/>
        </w:rPr>
        <w:t>。制造业企业标杆引领作用不断增强，</w:t>
      </w:r>
      <w:r>
        <w:rPr>
          <w:rFonts w:hint="eastAsia" w:ascii="仿宋_GB2312" w:hAnsi="仿宋_GB2312" w:eastAsia="仿宋_GB2312" w:cs="仿宋_GB2312"/>
          <w:sz w:val="32"/>
          <w:szCs w:val="32"/>
        </w:rPr>
        <w:t>培育国家制造业“单项冠军”1家，</w:t>
      </w:r>
      <w:r>
        <w:rPr>
          <w:rFonts w:hint="eastAsia" w:ascii="仿宋_GB2312" w:hAnsi="仿宋_GB2312" w:eastAsia="仿宋_GB2312" w:cs="仿宋_GB2312"/>
          <w:spacing w:val="-6"/>
          <w:sz w:val="32"/>
          <w:szCs w:val="32"/>
          <w:lang w:bidi="ar"/>
        </w:rPr>
        <w:t>获批国家卓越级智能工厂2家，</w:t>
      </w:r>
      <w:r>
        <w:rPr>
          <w:rFonts w:hint="eastAsia" w:ascii="仿宋_GB2312" w:hAnsi="仿宋_GB2312" w:eastAsia="仿宋_GB2312" w:cs="仿宋_GB2312"/>
          <w:spacing w:val="-6"/>
          <w:sz w:val="32"/>
          <w:szCs w:val="32"/>
        </w:rPr>
        <w:t>入选国家“数字三品”典型案例3家。</w:t>
      </w:r>
    </w:p>
    <w:p w14:paraId="291942DB">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24"/>
        </w:rPr>
      </w:pPr>
      <w:r>
        <w:rPr>
          <w:rFonts w:hint="eastAsia" w:ascii="仿宋_GB2312" w:hAnsi="仿宋_GB2312" w:eastAsia="仿宋_GB2312" w:cs="仿宋_GB2312"/>
          <w:b/>
          <w:bCs/>
          <w:sz w:val="32"/>
          <w:szCs w:val="24"/>
        </w:rPr>
        <w:t>信息基础设施扩容提速。</w:t>
      </w:r>
      <w:r>
        <w:rPr>
          <w:rFonts w:hint="eastAsia" w:ascii="仿宋_GB2312" w:hAnsi="仿宋_GB2312" w:eastAsia="仿宋_GB2312" w:cs="仿宋_GB2312"/>
          <w:sz w:val="32"/>
          <w:szCs w:val="24"/>
        </w:rPr>
        <w:t>“双千兆网络”</w:t>
      </w:r>
      <w:r>
        <w:rPr>
          <w:rFonts w:hint="eastAsia" w:ascii="仿宋_GB2312" w:hAnsi="仿宋_GB2312" w:eastAsia="仿宋_GB2312" w:cs="仿宋_GB2312"/>
          <w:bCs/>
          <w:sz w:val="32"/>
          <w:szCs w:val="32"/>
        </w:rPr>
        <w:t>实现城乡一体化覆盖</w:t>
      </w:r>
      <w:r>
        <w:rPr>
          <w:rFonts w:hint="eastAsia" w:ascii="仿宋_GB2312" w:hAnsi="仿宋_GB2312" w:eastAsia="仿宋_GB2312" w:cs="仿宋_GB2312"/>
          <w:sz w:val="32"/>
          <w:szCs w:val="24"/>
        </w:rPr>
        <w:t>，全省20户以上自然村千兆光网和5G通达率分别达到100%和98%，海口、三亚、儋州3个地级市建成“千兆城市”。三大运营商海口国际通信业务出入口局启动建设，连接香港和东南亚的2条新增国际海缆加速贯通，国际通信服务能力不断提升。陵水海底数据中心、海南人工智能计算中心、文昌航天超算中心等建成投用，初步形成通算、智算、超算等多元化算力布局。</w:t>
      </w:r>
    </w:p>
    <w:p w14:paraId="3EFC1AFD">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24"/>
        </w:rPr>
      </w:pPr>
      <w:r>
        <w:rPr>
          <w:rFonts w:hint="eastAsia" w:ascii="仿宋_GB2312" w:hAnsi="仿宋_GB2312" w:eastAsia="仿宋_GB2312" w:cs="仿宋_GB2312"/>
          <w:b/>
          <w:bCs/>
          <w:sz w:val="32"/>
          <w:szCs w:val="24"/>
        </w:rPr>
        <w:t>绿色发展底色更加鲜明。</w:t>
      </w:r>
      <w:r>
        <w:rPr>
          <w:rFonts w:hint="eastAsia" w:ascii="仿宋_GB2312" w:hAnsi="仿宋_GB2312" w:eastAsia="仿宋_GB2312" w:cs="仿宋_GB2312"/>
          <w:sz w:val="32"/>
          <w:szCs w:val="24"/>
        </w:rPr>
        <w:t>清洁能源岛建设成效显著</w:t>
      </w:r>
      <w:r>
        <w:rPr>
          <w:rFonts w:hint="eastAsia" w:ascii="仿宋_GB2312" w:hAnsi="仿宋_GB2312" w:eastAsia="仿宋_GB2312" w:cs="仿宋_GB2312"/>
          <w:b w:val="0"/>
          <w:bCs w:val="0"/>
          <w:sz w:val="32"/>
          <w:szCs w:val="24"/>
        </w:rPr>
        <w:t>，</w:t>
      </w:r>
      <w:r>
        <w:rPr>
          <w:rFonts w:hint="eastAsia" w:ascii="仿宋_GB2312" w:hAnsi="仿宋_GB2312" w:eastAsia="仿宋_GB2312" w:cs="仿宋_GB2312"/>
          <w:sz w:val="32"/>
          <w:szCs w:val="24"/>
        </w:rPr>
        <w:t>清洁能源发电量和装机占比分别超过70%和80%。新能源汽车市场渗透率居全国第一，保有量占比全国第二。绿色制造水平显著提升，</w:t>
      </w:r>
      <w:r>
        <w:rPr>
          <w:rFonts w:hint="eastAsia" w:ascii="仿宋_GB2312" w:hAnsi="仿宋_GB2312" w:eastAsia="仿宋_GB2312" w:cs="仿宋_GB2312"/>
          <w:sz w:val="32"/>
          <w:szCs w:val="24"/>
          <w:lang w:val="en-US" w:eastAsia="zh-CN"/>
        </w:rPr>
        <w:t>省级及以上</w:t>
      </w:r>
      <w:r>
        <w:rPr>
          <w:rFonts w:hint="eastAsia" w:ascii="仿宋_GB2312" w:hAnsi="仿宋_GB2312" w:eastAsia="仿宋_GB2312" w:cs="仿宋_GB2312"/>
          <w:sz w:val="32"/>
          <w:szCs w:val="24"/>
        </w:rPr>
        <w:t>绿色工厂</w:t>
      </w:r>
      <w:r>
        <w:rPr>
          <w:rFonts w:hint="eastAsia" w:ascii="仿宋_GB2312" w:hAnsi="仿宋_GB2312" w:eastAsia="仿宋_GB2312" w:cs="仿宋_GB2312"/>
          <w:sz w:val="32"/>
          <w:szCs w:val="24"/>
          <w:lang w:val="en-US" w:eastAsia="zh-CN"/>
        </w:rPr>
        <w:t>数量达到58家</w:t>
      </w:r>
      <w:r>
        <w:rPr>
          <w:rFonts w:hint="eastAsia" w:ascii="仿宋_GB2312" w:hAnsi="仿宋_GB2312" w:eastAsia="仿宋_GB2312" w:cs="仿宋_GB2312"/>
          <w:sz w:val="32"/>
          <w:szCs w:val="24"/>
        </w:rPr>
        <w:t>。</w:t>
      </w:r>
    </w:p>
    <w:p w14:paraId="7E70018C">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24"/>
        </w:rPr>
      </w:pPr>
      <w:r>
        <w:rPr>
          <w:rFonts w:hint="eastAsia" w:ascii="仿宋_GB2312" w:hAnsi="仿宋_GB2312" w:eastAsia="仿宋_GB2312" w:cs="仿宋_GB2312"/>
          <w:b/>
          <w:bCs/>
          <w:sz w:val="32"/>
          <w:szCs w:val="24"/>
        </w:rPr>
        <w:t>营商环境持续优化提升。</w:t>
      </w:r>
      <w:r>
        <w:rPr>
          <w:rFonts w:hint="eastAsia" w:ascii="仿宋_GB2312" w:hAnsi="仿宋_GB2312" w:eastAsia="仿宋_GB2312" w:cs="仿宋_GB2312"/>
          <w:sz w:val="32"/>
          <w:szCs w:val="24"/>
          <w:lang w:eastAsia="zh-CN"/>
        </w:rPr>
        <w:t>海南自由贸易港</w:t>
      </w:r>
      <w:r>
        <w:rPr>
          <w:rFonts w:hint="eastAsia" w:ascii="仿宋_GB2312" w:hAnsi="仿宋_GB2312" w:eastAsia="仿宋_GB2312" w:cs="仿宋_GB2312"/>
          <w:sz w:val="32"/>
          <w:szCs w:val="24"/>
        </w:rPr>
        <w:t>政策制度体系初步建立，全国首张跨境服务贸易负面清单、首个放宽市场准入特别措施出台实施，多功能账户上线运行，数据出境实现负面清单管理。</w:t>
      </w:r>
      <w:r>
        <w:rPr>
          <w:rFonts w:hint="eastAsia" w:ascii="仿宋_GB2312" w:hAnsi="仿宋_GB2312" w:eastAsia="仿宋_GB2312" w:cs="仿宋_GB2312"/>
          <w:sz w:val="32"/>
          <w:szCs w:val="32"/>
        </w:rPr>
        <w:t>清理拖欠企业账款成效显著，清偿率居全国第一。创新推行“免申即享”服务新模式，推动惠企资金精准直达、高效兑现。</w:t>
      </w:r>
    </w:p>
    <w:p w14:paraId="2B9CE41A">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42" w:name="_Toc31849"/>
      <w:bookmarkStart w:id="43" w:name="_Toc9763"/>
      <w:bookmarkStart w:id="44" w:name="_Toc18498"/>
      <w:bookmarkStart w:id="45" w:name="_Toc975760603"/>
      <w:bookmarkStart w:id="46" w:name="_Toc18888"/>
      <w:bookmarkStart w:id="47" w:name="_Toc21490"/>
      <w:bookmarkStart w:id="48" w:name="_Toc12035"/>
      <w:bookmarkStart w:id="49" w:name="_Toc20599"/>
      <w:bookmarkStart w:id="50" w:name="_Toc4444"/>
      <w:bookmarkStart w:id="51" w:name="_Toc9649"/>
      <w:bookmarkStart w:id="52" w:name="_Toc20689"/>
      <w:bookmarkStart w:id="53" w:name="_Toc20274"/>
      <w:bookmarkStart w:id="54" w:name="_Toc129785493"/>
      <w:bookmarkStart w:id="55" w:name="_Toc120023866"/>
      <w:bookmarkStart w:id="56" w:name="_Toc120023874"/>
      <w:r>
        <w:rPr>
          <w:rFonts w:hint="default" w:ascii="Times New Roman" w:hAnsi="Times New Roman" w:eastAsia="楷体_GB2312" w:cs="Times New Roman"/>
          <w:b/>
          <w:bCs/>
          <w:kern w:val="2"/>
          <w:sz w:val="32"/>
          <w:szCs w:val="32"/>
          <w:lang w:val="en-US" w:eastAsia="zh-CN" w:bidi="ar-SA"/>
        </w:rPr>
        <w:t>第</w:t>
      </w:r>
      <w:r>
        <w:rPr>
          <w:rFonts w:hint="eastAsia" w:eastAsia="楷体_GB2312" w:cs="Times New Roman"/>
          <w:b/>
          <w:bCs/>
          <w:kern w:val="2"/>
          <w:sz w:val="32"/>
          <w:szCs w:val="32"/>
          <w:lang w:val="en-US" w:eastAsia="zh-CN" w:bidi="ar-SA"/>
        </w:rPr>
        <w:t>二</w:t>
      </w:r>
      <w:r>
        <w:rPr>
          <w:rFonts w:hint="default" w:ascii="Times New Roman" w:hAnsi="Times New Roman" w:eastAsia="楷体_GB2312" w:cs="Times New Roman"/>
          <w:b/>
          <w:bCs/>
          <w:kern w:val="2"/>
          <w:sz w:val="32"/>
          <w:szCs w:val="32"/>
          <w:lang w:val="en-US" w:eastAsia="zh-CN" w:bidi="ar-SA"/>
        </w:rPr>
        <w:t>节  面临形势</w:t>
      </w:r>
      <w:bookmarkEnd w:id="42"/>
      <w:bookmarkEnd w:id="43"/>
      <w:bookmarkEnd w:id="44"/>
      <w:bookmarkEnd w:id="45"/>
      <w:bookmarkEnd w:id="46"/>
      <w:bookmarkEnd w:id="47"/>
      <w:bookmarkEnd w:id="48"/>
      <w:bookmarkEnd w:id="49"/>
      <w:bookmarkEnd w:id="50"/>
      <w:bookmarkEnd w:id="51"/>
      <w:bookmarkEnd w:id="52"/>
      <w:bookmarkEnd w:id="53"/>
    </w:p>
    <w:p w14:paraId="2DEA58D7">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bookmarkStart w:id="57" w:name="_Toc9392"/>
      <w:bookmarkStart w:id="58" w:name="_Toc22157"/>
      <w:bookmarkStart w:id="59" w:name="_Toc24222"/>
      <w:r>
        <w:rPr>
          <w:rFonts w:hint="eastAsia" w:ascii="仿宋_GB2312" w:hAnsi="仿宋_GB2312" w:eastAsia="仿宋_GB2312" w:cs="仿宋_GB2312"/>
          <w:sz w:val="32"/>
          <w:szCs w:val="32"/>
        </w:rPr>
        <w:t>“十五五”时期是海南全面深化改革开放、以</w:t>
      </w:r>
      <w:r>
        <w:rPr>
          <w:rFonts w:hint="eastAsia" w:ascii="仿宋_GB2312" w:hAnsi="仿宋_GB2312" w:eastAsia="仿宋_GB2312" w:cs="仿宋_GB2312"/>
          <w:sz w:val="32"/>
          <w:szCs w:val="32"/>
          <w:lang w:eastAsia="zh-CN"/>
        </w:rPr>
        <w:t>全岛</w:t>
      </w:r>
      <w:r>
        <w:rPr>
          <w:rFonts w:hint="eastAsia" w:ascii="仿宋_GB2312" w:hAnsi="仿宋_GB2312" w:eastAsia="仿宋_GB2312" w:cs="仿宋_GB2312"/>
          <w:sz w:val="32"/>
          <w:szCs w:val="32"/>
        </w:rPr>
        <w:t>封关运作为契机开启海南自由贸易港建设新征程的关键五年。</w:t>
      </w:r>
    </w:p>
    <w:p w14:paraId="30132930">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从国际环境看</w:t>
      </w:r>
      <w:r>
        <w:rPr>
          <w:rFonts w:hint="eastAsia" w:ascii="仿宋_GB2312" w:hAnsi="仿宋_GB2312" w:eastAsia="仿宋_GB2312" w:cs="仿宋_GB2312"/>
          <w:sz w:val="32"/>
          <w:szCs w:val="32"/>
        </w:rPr>
        <w:t>，新一轮科技革命和产业变革纵深推进，</w:t>
      </w:r>
      <w:r>
        <w:rPr>
          <w:rFonts w:hint="eastAsia" w:ascii="仿宋_GB2312" w:hAnsi="仿宋_GB2312" w:eastAsia="仿宋_GB2312" w:cs="仿宋_GB2312"/>
          <w:sz w:val="32"/>
          <w:szCs w:val="24"/>
        </w:rPr>
        <w:t>人工智能（AI）、大数据、区块链等新一代信息技术加速迭代，深刻重塑生产方式与发展模式，特别是人工智能正成为引领颠覆性创新的核心领域，加速形成经济增长新浪潮。与此同时，世界百年变局加速演进，经济全球化遭遇逆流，贸易保护主义蔓延加剧，</w:t>
      </w:r>
      <w:r>
        <w:rPr>
          <w:rFonts w:hint="eastAsia" w:ascii="仿宋_GB2312" w:hAnsi="仿宋_GB2312" w:eastAsia="仿宋_GB2312" w:cs="仿宋_GB2312"/>
          <w:sz w:val="32"/>
          <w:szCs w:val="32"/>
        </w:rPr>
        <w:t>国际产业链供应链加速重构，我国产业发展的外部阻力和不确定性显著上升。</w:t>
      </w:r>
    </w:p>
    <w:p w14:paraId="41F91849">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从国内形势看</w:t>
      </w:r>
      <w:r>
        <w:rPr>
          <w:rFonts w:hint="eastAsia" w:ascii="仿宋_GB2312" w:hAnsi="仿宋_GB2312" w:eastAsia="仿宋_GB2312" w:cs="仿宋_GB2312"/>
          <w:sz w:val="32"/>
          <w:szCs w:val="32"/>
        </w:rPr>
        <w:t>，我国深入推进高质量发展，聚焦新质生产力培育，推进新型工业化，深化“人工智能+”，推动科技创新和产业创新融合，催生新产业、新模式、新业态。国内产业正通过创新驱动、绿色转型、自主可控，塑造未来核心竞争力。</w:t>
      </w:r>
      <w:r>
        <w:rPr>
          <w:rFonts w:hint="eastAsia" w:ascii="仿宋_GB2312" w:hAnsi="仿宋_GB2312" w:eastAsia="仿宋_GB2312" w:cs="仿宋_GB2312"/>
          <w:sz w:val="32"/>
          <w:szCs w:val="32"/>
          <w:lang w:eastAsia="zh"/>
        </w:rPr>
        <w:t>但</w:t>
      </w:r>
      <w:r>
        <w:rPr>
          <w:rFonts w:hint="eastAsia" w:ascii="仿宋_GB2312" w:hAnsi="仿宋_GB2312" w:eastAsia="仿宋_GB2312" w:cs="仿宋_GB2312"/>
          <w:sz w:val="32"/>
          <w:szCs w:val="24"/>
          <w:lang w:val="en-US" w:eastAsia="zh-CN"/>
        </w:rPr>
        <w:t>经济</w:t>
      </w:r>
      <w:r>
        <w:rPr>
          <w:rFonts w:hint="eastAsia" w:ascii="仿宋_GB2312" w:hAnsi="仿宋_GB2312" w:eastAsia="仿宋_GB2312" w:cs="仿宋_GB2312"/>
          <w:sz w:val="32"/>
          <w:szCs w:val="32"/>
        </w:rPr>
        <w:t>由高速增长</w:t>
      </w:r>
      <w:r>
        <w:rPr>
          <w:rFonts w:hint="eastAsia" w:ascii="仿宋_GB2312" w:hAnsi="仿宋_GB2312" w:eastAsia="仿宋_GB2312" w:cs="仿宋_GB2312"/>
          <w:sz w:val="32"/>
          <w:szCs w:val="32"/>
          <w:lang w:eastAsia="zh"/>
        </w:rPr>
        <w:t>转</w:t>
      </w:r>
      <w:r>
        <w:rPr>
          <w:rFonts w:hint="eastAsia" w:ascii="仿宋_GB2312" w:hAnsi="仿宋_GB2312" w:eastAsia="仿宋_GB2312" w:cs="仿宋_GB2312"/>
          <w:sz w:val="32"/>
          <w:szCs w:val="32"/>
        </w:rPr>
        <w:t>向高质量发展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
        </w:rPr>
        <w:t>也</w:t>
      </w:r>
      <w:r>
        <w:rPr>
          <w:rFonts w:hint="eastAsia" w:ascii="仿宋_GB2312" w:hAnsi="仿宋_GB2312" w:eastAsia="仿宋_GB2312" w:cs="仿宋_GB2312"/>
          <w:sz w:val="32"/>
          <w:szCs w:val="32"/>
          <w:lang w:val="en-US" w:eastAsia="zh-CN"/>
        </w:rPr>
        <w:t>带来</w:t>
      </w:r>
      <w:r>
        <w:rPr>
          <w:rFonts w:hint="eastAsia" w:ascii="仿宋_GB2312" w:hAnsi="仿宋_GB2312" w:eastAsia="仿宋_GB2312" w:cs="仿宋_GB2312"/>
          <w:sz w:val="32"/>
          <w:szCs w:val="32"/>
        </w:rPr>
        <w:t>有效需求不足、企业利润下滑、“内卷式”竞争等挑战，对产业高质量发展提出更高要求。</w:t>
      </w:r>
    </w:p>
    <w:p w14:paraId="64FC2AAE">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从海南自身看</w:t>
      </w:r>
      <w:r>
        <w:rPr>
          <w:rFonts w:hint="eastAsia" w:ascii="仿宋_GB2312" w:hAnsi="仿宋_GB2312" w:eastAsia="仿宋_GB2312" w:cs="仿宋_GB2312"/>
          <w:sz w:val="32"/>
          <w:szCs w:val="32"/>
        </w:rPr>
        <w:t>，作为国家赋予的新时代全面深化改革开放试验田，</w:t>
      </w:r>
      <w:r>
        <w:rPr>
          <w:rFonts w:hint="eastAsia" w:ascii="仿宋_GB2312" w:hAnsi="仿宋_GB2312" w:eastAsia="仿宋_GB2312" w:cs="仿宋_GB2312"/>
          <w:sz w:val="32"/>
          <w:szCs w:val="32"/>
          <w:lang w:eastAsia="zh-CN"/>
        </w:rPr>
        <w:t>全岛</w:t>
      </w:r>
      <w:r>
        <w:rPr>
          <w:rFonts w:hint="eastAsia" w:ascii="仿宋_GB2312" w:hAnsi="仿宋_GB2312" w:eastAsia="仿宋_GB2312" w:cs="仿宋_GB2312"/>
          <w:sz w:val="32"/>
          <w:szCs w:val="32"/>
        </w:rPr>
        <w:t>封关运作后，“零关税、低税率、简税制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五自由便利和一安全有序流动”</w:t>
      </w:r>
      <w:r>
        <w:rPr>
          <w:rFonts w:hint="eastAsia" w:ascii="仿宋_GB2312" w:hAnsi="仿宋_GB2312" w:eastAsia="仿宋_GB2312" w:cs="仿宋_GB2312"/>
          <w:sz w:val="32"/>
          <w:szCs w:val="32"/>
          <w:lang w:eastAsia="zh"/>
        </w:rPr>
        <w:t>等</w:t>
      </w:r>
      <w:r>
        <w:rPr>
          <w:rFonts w:hint="eastAsia" w:ascii="仿宋_GB2312" w:hAnsi="仿宋_GB2312" w:eastAsia="仿宋_GB2312" w:cs="仿宋_GB2312"/>
          <w:sz w:val="32"/>
          <w:szCs w:val="32"/>
        </w:rPr>
        <w:t>政策制度体系更趋完善，独特的“陆海空”区位和“三度一色”资源优势更加凸显。海南正迎来融入国内国际双循环、推进高水平对外开放的战略关键期。</w:t>
      </w:r>
      <w:r>
        <w:rPr>
          <w:rFonts w:hint="eastAsia" w:ascii="仿宋_GB2312" w:hAnsi="仿宋_GB2312" w:eastAsia="仿宋_GB2312" w:cs="仿宋_GB2312"/>
          <w:b/>
          <w:bCs/>
          <w:sz w:val="32"/>
          <w:szCs w:val="32"/>
        </w:rPr>
        <w:t>有利条件</w:t>
      </w:r>
      <w:r>
        <w:rPr>
          <w:rFonts w:hint="eastAsia" w:ascii="仿宋_GB2312" w:hAnsi="仿宋_GB2312" w:eastAsia="仿宋_GB2312" w:cs="仿宋_GB2312"/>
          <w:b/>
          <w:bCs/>
          <w:sz w:val="32"/>
          <w:szCs w:val="32"/>
          <w:lang w:eastAsia="zh"/>
        </w:rPr>
        <w:t>方面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24"/>
        </w:rPr>
        <w:t>“十五五”时期，国家一揽子增量政策落地实施、叠加</w:t>
      </w:r>
      <w:r>
        <w:rPr>
          <w:rFonts w:hint="eastAsia" w:ascii="仿宋_GB2312" w:hAnsi="仿宋_GB2312" w:eastAsia="仿宋_GB2312" w:cs="仿宋_GB2312"/>
          <w:color w:val="auto"/>
          <w:sz w:val="32"/>
          <w:szCs w:val="24"/>
          <w:lang w:eastAsia="zh-CN"/>
        </w:rPr>
        <w:t>海南自由贸易港</w:t>
      </w:r>
      <w:r>
        <w:rPr>
          <w:rFonts w:hint="eastAsia" w:ascii="仿宋_GB2312" w:hAnsi="仿宋_GB2312" w:eastAsia="仿宋_GB2312" w:cs="仿宋_GB2312"/>
          <w:color w:val="auto"/>
          <w:sz w:val="32"/>
          <w:szCs w:val="24"/>
        </w:rPr>
        <w:t>政策的优化升级，将进一步放大高新技术产业发展的“热点效应”</w:t>
      </w:r>
      <w:r>
        <w:rPr>
          <w:rFonts w:hint="eastAsia" w:ascii="仿宋_GB2312" w:hAnsi="仿宋_GB2312" w:eastAsia="仿宋_GB2312" w:cs="仿宋_GB2312"/>
          <w:sz w:val="32"/>
          <w:szCs w:val="24"/>
        </w:rPr>
        <w:t>和“乘数效应”，可有效降低企业经营成本、激活市场活力、拓宽市场空间，</w:t>
      </w:r>
      <w:r>
        <w:rPr>
          <w:rFonts w:hint="eastAsia" w:ascii="仿宋_GB2312" w:hAnsi="仿宋_GB2312" w:eastAsia="仿宋_GB2312" w:cs="仿宋_GB2312"/>
          <w:sz w:val="32"/>
          <w:szCs w:val="32"/>
        </w:rPr>
        <w:t>有利于稳定</w:t>
      </w:r>
      <w:r>
        <w:rPr>
          <w:rFonts w:hint="eastAsia" w:ascii="仿宋_GB2312" w:hAnsi="仿宋_GB2312" w:eastAsia="仿宋_GB2312" w:cs="仿宋_GB2312"/>
          <w:sz w:val="32"/>
          <w:szCs w:val="32"/>
          <w:lang w:eastAsia="zh-CN"/>
        </w:rPr>
        <w:t>市场</w:t>
      </w:r>
      <w:r>
        <w:rPr>
          <w:rFonts w:hint="eastAsia" w:ascii="仿宋_GB2312" w:hAnsi="仿宋_GB2312" w:eastAsia="仿宋_GB2312" w:cs="仿宋_GB2312"/>
          <w:sz w:val="32"/>
          <w:szCs w:val="32"/>
        </w:rPr>
        <w:t>预期、提振发展信心。</w:t>
      </w:r>
      <w:r>
        <w:rPr>
          <w:rFonts w:hint="eastAsia" w:ascii="仿宋_GB2312" w:hAnsi="仿宋_GB2312" w:eastAsia="仿宋_GB2312" w:cs="仿宋_GB2312"/>
          <w:b/>
          <w:bCs/>
          <w:sz w:val="32"/>
          <w:szCs w:val="32"/>
        </w:rPr>
        <w:t>面临挑战</w:t>
      </w:r>
      <w:r>
        <w:rPr>
          <w:rFonts w:hint="eastAsia" w:ascii="仿宋_GB2312" w:hAnsi="仿宋_GB2312" w:eastAsia="仿宋_GB2312" w:cs="仿宋_GB2312"/>
          <w:b/>
          <w:bCs/>
          <w:sz w:val="32"/>
          <w:szCs w:val="32"/>
          <w:lang w:eastAsia="zh"/>
        </w:rPr>
        <w:t>方面</w:t>
      </w:r>
      <w:r>
        <w:rPr>
          <w:rFonts w:hint="eastAsia" w:ascii="仿宋_GB2312" w:hAnsi="仿宋_GB2312" w:eastAsia="仿宋_GB2312" w:cs="仿宋_GB2312"/>
          <w:sz w:val="32"/>
          <w:szCs w:val="32"/>
        </w:rPr>
        <w:t>，国内外不确定性因素增多，经济下行压力加大，高水平对外开放的外部环境趋于复杂。与此同时，全省高新技术产业虽取得长足进步，但产业基础相对薄弱、关键产业链条不够健全、技术储备与人才供给匹配不足，整体核心竞争力有待增强，</w:t>
      </w:r>
      <w:r>
        <w:rPr>
          <w:rFonts w:hint="eastAsia" w:ascii="仿宋_GB2312" w:hAnsi="仿宋_GB2312" w:eastAsia="仿宋_GB2312" w:cs="仿宋_GB2312"/>
          <w:sz w:val="32"/>
          <w:szCs w:val="24"/>
        </w:rPr>
        <w:t>对全省经济增长的引领支撑作用有待进一步提升</w:t>
      </w:r>
      <w:r>
        <w:rPr>
          <w:rFonts w:hint="eastAsia" w:ascii="仿宋_GB2312" w:hAnsi="仿宋_GB2312" w:eastAsia="仿宋_GB2312" w:cs="仿宋_GB2312"/>
          <w:sz w:val="32"/>
          <w:szCs w:val="32"/>
        </w:rPr>
        <w:t>。</w:t>
      </w:r>
    </w:p>
    <w:bookmarkEnd w:id="57"/>
    <w:bookmarkEnd w:id="58"/>
    <w:bookmarkEnd w:id="59"/>
    <w:p w14:paraId="10D40637">
      <w:pPr>
        <w:keepNext w:val="0"/>
        <w:keepLines w:val="0"/>
        <w:pageBreakBefore w:val="0"/>
        <w:widowControl w:val="0"/>
        <w:kinsoku/>
        <w:wordWrap/>
        <w:overflowPunct w:val="0"/>
        <w:topLinePunct w:val="0"/>
        <w:autoSpaceDE/>
        <w:autoSpaceDN/>
        <w:bidi w:val="0"/>
        <w:adjustRightInd w:val="0"/>
        <w:snapToGrid w:val="0"/>
        <w:spacing w:before="313" w:beforeLines="100" w:after="313" w:afterLines="100" w:line="596" w:lineRule="exact"/>
        <w:jc w:val="center"/>
        <w:textAlignment w:val="auto"/>
        <w:outlineLvl w:val="0"/>
        <w:rPr>
          <w:rFonts w:hint="default" w:ascii="Times New Roman" w:hAnsi="Times New Roman" w:eastAsia="方正小标宋简体" w:cs="Times New Roman"/>
          <w:sz w:val="36"/>
          <w:szCs w:val="36"/>
        </w:rPr>
      </w:pPr>
      <w:bookmarkStart w:id="60" w:name="_Toc18747"/>
      <w:bookmarkStart w:id="61" w:name="_Toc22930"/>
      <w:bookmarkStart w:id="62" w:name="_Toc1168"/>
      <w:bookmarkStart w:id="63" w:name="_Toc7935"/>
      <w:bookmarkStart w:id="64" w:name="_Toc8337"/>
      <w:bookmarkStart w:id="65" w:name="_Toc92822443"/>
      <w:bookmarkStart w:id="66" w:name="_Toc3346"/>
      <w:bookmarkStart w:id="67" w:name="_Toc10186"/>
      <w:bookmarkStart w:id="68" w:name="_Toc31229"/>
      <w:bookmarkStart w:id="69" w:name="_Toc7852"/>
      <w:bookmarkStart w:id="70" w:name="_Toc14011"/>
      <w:bookmarkStart w:id="71" w:name="_Toc8122"/>
      <w:r>
        <w:rPr>
          <w:rFonts w:hint="default" w:ascii="Times New Roman" w:hAnsi="Times New Roman" w:eastAsia="方正小标宋简体" w:cs="Times New Roman"/>
          <w:sz w:val="36"/>
          <w:szCs w:val="36"/>
        </w:rPr>
        <w:t>第二章</w:t>
      </w:r>
      <w:r>
        <w:rPr>
          <w:rFonts w:hint="default"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rPr>
        <w:t xml:space="preserve"> 总体要求</w:t>
      </w:r>
      <w:bookmarkEnd w:id="54"/>
      <w:bookmarkEnd w:id="55"/>
      <w:bookmarkEnd w:id="60"/>
      <w:bookmarkEnd w:id="61"/>
      <w:bookmarkEnd w:id="62"/>
      <w:bookmarkEnd w:id="63"/>
      <w:bookmarkEnd w:id="64"/>
      <w:bookmarkEnd w:id="65"/>
      <w:bookmarkEnd w:id="66"/>
      <w:bookmarkEnd w:id="67"/>
      <w:bookmarkEnd w:id="68"/>
      <w:bookmarkEnd w:id="69"/>
      <w:bookmarkEnd w:id="70"/>
      <w:bookmarkEnd w:id="71"/>
    </w:p>
    <w:p w14:paraId="4B116A00">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72" w:name="_Toc120023867"/>
      <w:bookmarkStart w:id="73" w:name="_Toc25762"/>
      <w:bookmarkStart w:id="74" w:name="_Toc6415"/>
      <w:bookmarkStart w:id="75" w:name="_Toc24501"/>
      <w:bookmarkStart w:id="76" w:name="_Toc30635"/>
      <w:bookmarkStart w:id="77" w:name="_Toc129785494"/>
      <w:bookmarkStart w:id="78" w:name="_Toc14974"/>
      <w:bookmarkStart w:id="79" w:name="_Toc1874479866"/>
      <w:bookmarkStart w:id="80" w:name="_Toc30711"/>
      <w:bookmarkStart w:id="81" w:name="_Toc23529"/>
      <w:bookmarkStart w:id="82" w:name="_Toc22129"/>
      <w:bookmarkStart w:id="83" w:name="_Toc1727"/>
      <w:bookmarkStart w:id="84" w:name="_Toc5690"/>
      <w:bookmarkStart w:id="85" w:name="_Toc22054"/>
      <w:r>
        <w:rPr>
          <w:rFonts w:hint="default" w:ascii="Times New Roman" w:hAnsi="Times New Roman" w:eastAsia="楷体_GB2312" w:cs="Times New Roman"/>
          <w:b/>
          <w:bCs/>
          <w:kern w:val="2"/>
          <w:sz w:val="32"/>
          <w:szCs w:val="32"/>
          <w:lang w:val="en-US" w:eastAsia="zh-CN" w:bidi="ar-SA"/>
        </w:rPr>
        <w:t>第一节  指导思想</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5139ADC7">
      <w:pPr>
        <w:keepNext w:val="0"/>
        <w:keepLines w:val="0"/>
        <w:pageBreakBefore w:val="0"/>
        <w:widowControl w:val="0"/>
        <w:numPr>
          <w:ilvl w:val="0"/>
          <w:numId w:val="0"/>
        </w:numPr>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color w:val="000000"/>
          <w:sz w:val="32"/>
          <w:szCs w:val="32"/>
        </w:rPr>
        <w:t>坚持以习近平新时代中国特色社会主义思想为指导，全面贯彻党的二十大和二十届历次全会精神，</w:t>
      </w:r>
      <w:r>
        <w:rPr>
          <w:rFonts w:hint="eastAsia" w:ascii="仿宋_GB2312" w:hAnsi="仿宋_GB2312" w:eastAsia="仿宋_GB2312" w:cs="仿宋_GB2312"/>
          <w:color w:val="000000"/>
          <w:sz w:val="32"/>
          <w:szCs w:val="32"/>
          <w:lang w:eastAsia="zh-CN"/>
        </w:rPr>
        <w:t>认真</w:t>
      </w:r>
      <w:r>
        <w:rPr>
          <w:rFonts w:hint="eastAsia" w:ascii="仿宋_GB2312" w:hAnsi="仿宋_GB2312" w:eastAsia="仿宋_GB2312" w:cs="仿宋_GB2312"/>
          <w:color w:val="000000"/>
          <w:sz w:val="32"/>
          <w:szCs w:val="32"/>
        </w:rPr>
        <w:t>落实习近平总书记</w:t>
      </w:r>
      <w:r>
        <w:rPr>
          <w:rFonts w:hint="eastAsia" w:ascii="仿宋_GB2312" w:hAnsi="仿宋_GB2312" w:eastAsia="仿宋_GB2312" w:cs="仿宋_GB2312"/>
          <w:color w:val="000000"/>
          <w:sz w:val="32"/>
          <w:szCs w:val="32"/>
          <w:lang w:eastAsia="zh-CN"/>
        </w:rPr>
        <w:t>关于</w:t>
      </w:r>
      <w:r>
        <w:rPr>
          <w:rFonts w:hint="eastAsia" w:ascii="仿宋_GB2312" w:hAnsi="仿宋_GB2312" w:eastAsia="仿宋_GB2312" w:cs="仿宋_GB2312"/>
          <w:color w:val="000000"/>
          <w:sz w:val="32"/>
          <w:szCs w:val="32"/>
        </w:rPr>
        <w:t>海南工作</w:t>
      </w:r>
      <w:r>
        <w:rPr>
          <w:rFonts w:hint="eastAsia" w:ascii="仿宋_GB2312" w:hAnsi="仿宋_GB2312" w:eastAsia="仿宋_GB2312" w:cs="仿宋_GB2312"/>
          <w:color w:val="000000"/>
          <w:sz w:val="32"/>
          <w:szCs w:val="32"/>
          <w:lang w:eastAsia="zh-CN"/>
        </w:rPr>
        <w:t>的系列</w:t>
      </w:r>
      <w:r>
        <w:rPr>
          <w:rFonts w:hint="eastAsia" w:ascii="仿宋_GB2312" w:hAnsi="仿宋_GB2312" w:eastAsia="仿宋_GB2312" w:cs="仿宋_GB2312"/>
          <w:color w:val="000000"/>
          <w:sz w:val="32"/>
          <w:szCs w:val="32"/>
        </w:rPr>
        <w:t>重要</w:t>
      </w:r>
      <w:r>
        <w:rPr>
          <w:rFonts w:hint="eastAsia" w:ascii="仿宋_GB2312" w:hAnsi="仿宋_GB2312" w:eastAsia="仿宋_GB2312" w:cs="仿宋_GB2312"/>
          <w:color w:val="000000"/>
          <w:sz w:val="32"/>
          <w:szCs w:val="32"/>
          <w:lang w:eastAsia="zh-CN"/>
        </w:rPr>
        <w:t>讲话和</w:t>
      </w:r>
      <w:r>
        <w:rPr>
          <w:rFonts w:hint="eastAsia" w:ascii="仿宋_GB2312" w:hAnsi="仿宋_GB2312" w:eastAsia="仿宋_GB2312" w:cs="仿宋_GB2312"/>
          <w:color w:val="000000"/>
          <w:sz w:val="32"/>
          <w:szCs w:val="32"/>
        </w:rPr>
        <w:t>指示批示</w:t>
      </w:r>
      <w:r>
        <w:rPr>
          <w:rFonts w:hint="eastAsia" w:ascii="仿宋_GB2312" w:hAnsi="仿宋_GB2312" w:eastAsia="仿宋_GB2312" w:cs="仿宋_GB2312"/>
          <w:color w:val="000000"/>
          <w:sz w:val="32"/>
          <w:szCs w:val="32"/>
          <w:lang w:eastAsia="zh-CN"/>
        </w:rPr>
        <w:t>精神，严格执行</w:t>
      </w:r>
      <w:r>
        <w:rPr>
          <w:rFonts w:hint="eastAsia" w:ascii="仿宋_GB2312" w:hAnsi="仿宋_GB2312" w:eastAsia="仿宋_GB2312" w:cs="仿宋_GB2312"/>
          <w:color w:val="000000"/>
          <w:sz w:val="32"/>
          <w:szCs w:val="32"/>
        </w:rPr>
        <w:t>省委、省政府决策部署，完整准确全面贯彻新发展理念，以高质量发展为主题，</w:t>
      </w:r>
      <w:bookmarkStart w:id="86" w:name="OLE_LINK3"/>
      <w:r>
        <w:rPr>
          <w:rFonts w:hint="eastAsia" w:ascii="仿宋_GB2312" w:hAnsi="仿宋_GB2312" w:eastAsia="仿宋_GB2312" w:cs="仿宋_GB2312"/>
          <w:sz w:val="32"/>
          <w:szCs w:val="32"/>
        </w:rPr>
        <w:t>以“45432”发展架构为指引</w:t>
      </w:r>
      <w:bookmarkEnd w:id="86"/>
      <w:r>
        <w:rPr>
          <w:rFonts w:hint="eastAsia" w:ascii="仿宋_GB2312" w:hAnsi="仿宋_GB2312" w:eastAsia="仿宋_GB2312" w:cs="仿宋_GB2312"/>
          <w:sz w:val="32"/>
          <w:szCs w:val="32"/>
        </w:rPr>
        <w:t>，以打造新质生产力重要实践地为主线，以科技创新与产业创新融合为路径，围绕</w:t>
      </w:r>
      <w:r>
        <w:rPr>
          <w:rFonts w:hint="eastAsia" w:ascii="仿宋_GB2312" w:hAnsi="仿宋_GB2312" w:eastAsia="仿宋_GB2312" w:cs="仿宋_GB2312"/>
          <w:sz w:val="32"/>
          <w:szCs w:val="32"/>
          <w:lang w:eastAsia="zh-CN"/>
        </w:rPr>
        <w:t>海南自由贸易港</w:t>
      </w:r>
      <w:r>
        <w:rPr>
          <w:rFonts w:hint="eastAsia" w:ascii="仿宋_GB2312" w:hAnsi="仿宋_GB2312" w:eastAsia="仿宋_GB2312" w:cs="仿宋_GB2312"/>
          <w:sz w:val="32"/>
          <w:szCs w:val="32"/>
        </w:rPr>
        <w:t>建设中心任务和“五向图强”战略目标，深化改革扩大开放，统筹高质量发展和高水平安全，加快推进新型工业化，以链群协同模式推动</w:t>
      </w:r>
      <w:r>
        <w:rPr>
          <w:rFonts w:hint="eastAsia" w:ascii="仿宋_GB2312" w:hAnsi="仿宋_GB2312" w:eastAsia="仿宋_GB2312" w:cs="仿宋_GB2312"/>
          <w:sz w:val="32"/>
        </w:rPr>
        <w:t>创新链、产业链、资金链、人才链</w:t>
      </w:r>
      <w:r>
        <w:rPr>
          <w:rFonts w:hint="eastAsia" w:ascii="仿宋_GB2312" w:hAnsi="仿宋_GB2312" w:eastAsia="仿宋_GB2312" w:cs="仿宋_GB2312"/>
          <w:sz w:val="32"/>
          <w:szCs w:val="32"/>
        </w:rPr>
        <w:t>“四链融合”，构建具有海南特色和优势的“345X”高新技术产业体系，</w:t>
      </w:r>
      <w:bookmarkStart w:id="87" w:name="OLE_LINK14"/>
      <w:r>
        <w:rPr>
          <w:rFonts w:hint="eastAsia" w:ascii="仿宋_GB2312" w:hAnsi="仿宋_GB2312" w:eastAsia="仿宋_GB2312" w:cs="仿宋_GB2312"/>
          <w:sz w:val="32"/>
          <w:szCs w:val="32"/>
        </w:rPr>
        <w:t>推进产业集群化、智能化、绿色化、融合化发展</w:t>
      </w:r>
      <w:bookmarkEnd w:id="87"/>
      <w:r>
        <w:rPr>
          <w:rFonts w:hint="eastAsia" w:ascii="仿宋_GB2312" w:hAnsi="仿宋_GB2312" w:eastAsia="仿宋_GB2312" w:cs="仿宋_GB2312"/>
          <w:sz w:val="32"/>
          <w:szCs w:val="32"/>
        </w:rPr>
        <w:t>，塑造开放型、生态型、创新型经济新优势，为高标准建设海南自由贸易港提供有力支撑。</w:t>
      </w:r>
      <w:bookmarkStart w:id="88" w:name="_Toc4621"/>
      <w:bookmarkStart w:id="89" w:name="_Toc22720"/>
      <w:bookmarkStart w:id="90" w:name="_Toc120023868"/>
      <w:bookmarkStart w:id="91" w:name="_Toc129785495"/>
      <w:bookmarkStart w:id="92" w:name="_Toc18239"/>
    </w:p>
    <w:p w14:paraId="1C1380A4">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93" w:name="_Toc4288"/>
      <w:bookmarkStart w:id="94" w:name="_Toc19472"/>
      <w:bookmarkStart w:id="95" w:name="_Toc3912"/>
      <w:bookmarkStart w:id="96" w:name="_Toc28686"/>
      <w:bookmarkStart w:id="97" w:name="_Toc25758"/>
      <w:bookmarkStart w:id="98" w:name="_Toc21389"/>
      <w:bookmarkStart w:id="99" w:name="_Toc11107"/>
      <w:bookmarkStart w:id="100" w:name="_Toc30312"/>
      <w:bookmarkStart w:id="101" w:name="_Toc1870935594"/>
      <w:r>
        <w:rPr>
          <w:rFonts w:hint="default" w:ascii="Times New Roman" w:hAnsi="Times New Roman" w:eastAsia="楷体_GB2312" w:cs="Times New Roman"/>
          <w:b/>
          <w:bCs/>
          <w:kern w:val="2"/>
          <w:sz w:val="32"/>
          <w:szCs w:val="32"/>
          <w:lang w:val="en-US" w:eastAsia="zh-CN" w:bidi="ar-SA"/>
        </w:rPr>
        <w:t>第二节  基本原则</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52DDE97">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坚持创新引领。</w:t>
      </w:r>
      <w:r>
        <w:rPr>
          <w:rFonts w:hint="eastAsia" w:ascii="仿宋_GB2312" w:hAnsi="仿宋_GB2312" w:eastAsia="仿宋_GB2312" w:cs="仿宋_GB2312"/>
          <w:sz w:val="32"/>
          <w:szCs w:val="32"/>
        </w:rPr>
        <w:t>以科技创新为核心驱动力，强化原创性、引领性科技攻关，突破关键核心技术瓶颈。构建“政产学研金”协同创新体系，加速科技成果转化。梯度培育创新主体，营造开放包容的创新生态，打造高新技术产业创新高地。​</w:t>
      </w:r>
    </w:p>
    <w:p w14:paraId="6E314E40">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坚持改革开放。</w:t>
      </w:r>
      <w:r>
        <w:rPr>
          <w:rFonts w:hint="eastAsia" w:ascii="仿宋_GB2312" w:hAnsi="仿宋_GB2312" w:eastAsia="仿宋_GB2312" w:cs="仿宋_GB2312"/>
          <w:sz w:val="32"/>
          <w:szCs w:val="32"/>
        </w:rPr>
        <w:t>突出制度型开放，主动对接国际高标准经贸规则，以开放促进产业深层次改革，持续优化营商环境。深化与“一带一路”沿线国家和地区自由贸易园区的产业协作与功能衔接，充分发挥海南在服务国内国际双循环中的独特价值。</w:t>
      </w:r>
    </w:p>
    <w:p w14:paraId="26E4B730">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坚持因地制宜。</w:t>
      </w:r>
      <w:r>
        <w:rPr>
          <w:rFonts w:hint="eastAsia" w:ascii="仿宋_GB2312" w:hAnsi="仿宋_GB2312" w:eastAsia="仿宋_GB2312" w:cs="仿宋_GB2312"/>
          <w:sz w:val="32"/>
          <w:szCs w:val="32"/>
        </w:rPr>
        <w:t>立足区位特征、政策优势和产业根基，深度挖掘“三度一色”比较优势，聚焦“五向图强”战略目标，推动科技创新与产业创新深度融合，助力高新技术产业补链延链、优化升级，因地制宜打造新质生产力重要实践地。</w:t>
      </w:r>
    </w:p>
    <w:p w14:paraId="21F99A8F">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坚持实数融合。</w:t>
      </w:r>
      <w:r>
        <w:rPr>
          <w:rFonts w:hint="eastAsia" w:ascii="仿宋_GB2312" w:hAnsi="仿宋_GB2312" w:eastAsia="仿宋_GB2312" w:cs="仿宋_GB2312"/>
          <w:sz w:val="32"/>
          <w:szCs w:val="32"/>
        </w:rPr>
        <w:t>加速实体经济与数字经济深度融合，推动数字技术向产业各领域、各环节广泛渗透，实现产业基础高级化、产业链现代化。高效释放数据要素价值，驱动引领高新技术产业高质量发展，催生更多新业态、新模式。</w:t>
      </w:r>
    </w:p>
    <w:p w14:paraId="59DF937F">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坚持链群发展。</w:t>
      </w:r>
      <w:r>
        <w:rPr>
          <w:rFonts w:hint="eastAsia" w:ascii="仿宋_GB2312" w:hAnsi="仿宋_GB2312" w:eastAsia="仿宋_GB2312" w:cs="仿宋_GB2312"/>
          <w:sz w:val="32"/>
          <w:szCs w:val="32"/>
        </w:rPr>
        <w:t>精准开展强链补链延链，推动产业链条式集聚、集群化发展。以各类产业园区为核心载体，引导要素资源向重点产业链集聚，深化高新技术产业集群化发展，形成优势互补、结构合理、区域协同、科工贸一体的产业生态。</w:t>
      </w:r>
    </w:p>
    <w:p w14:paraId="451D3DAA">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坚持绿色低碳。</w:t>
      </w:r>
      <w:r>
        <w:rPr>
          <w:rFonts w:hint="eastAsia" w:ascii="仿宋_GB2312" w:hAnsi="仿宋_GB2312" w:eastAsia="仿宋_GB2312" w:cs="仿宋_GB2312"/>
          <w:sz w:val="32"/>
          <w:szCs w:val="32"/>
        </w:rPr>
        <w:t>紧扣国家生态文明试验区战略定位，厚植高质量发展的绿色底色，将绿色低碳理念贯穿高新技术产业发展全过程。加快</w:t>
      </w:r>
      <w:r>
        <w:rPr>
          <w:rFonts w:hint="eastAsia" w:ascii="仿宋_GB2312" w:hAnsi="仿宋_GB2312" w:eastAsia="仿宋_GB2312" w:cs="仿宋_GB2312"/>
          <w:sz w:val="32"/>
          <w:szCs w:val="32"/>
          <w:lang w:val="en-US" w:eastAsia="zh-CN"/>
        </w:rPr>
        <w:t>向</w:t>
      </w:r>
      <w:r>
        <w:rPr>
          <w:rFonts w:hint="eastAsia" w:ascii="仿宋_GB2312" w:hAnsi="仿宋_GB2312" w:eastAsia="仿宋_GB2312" w:cs="仿宋_GB2312"/>
          <w:sz w:val="32"/>
          <w:szCs w:val="32"/>
        </w:rPr>
        <w:t>科技含量高、资源消耗低、污染排放少的产业结构与生产方式转型，争当国家“双碳”目标实践的优等生。</w:t>
      </w:r>
    </w:p>
    <w:p w14:paraId="7153309B">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102" w:name="_Toc120023869"/>
      <w:bookmarkStart w:id="103" w:name="_Toc1548682978"/>
      <w:bookmarkStart w:id="104" w:name="_Toc976"/>
      <w:bookmarkStart w:id="105" w:name="_Toc129785496"/>
      <w:bookmarkStart w:id="106" w:name="_Toc3402"/>
      <w:bookmarkStart w:id="107" w:name="_Toc6403"/>
      <w:bookmarkStart w:id="108" w:name="_Toc31214"/>
      <w:bookmarkStart w:id="109" w:name="_Toc12059"/>
      <w:bookmarkStart w:id="110" w:name="_Toc28397"/>
      <w:bookmarkStart w:id="111" w:name="_Toc5700"/>
      <w:bookmarkStart w:id="112" w:name="_Toc16008"/>
      <w:bookmarkStart w:id="113" w:name="_Toc29141"/>
      <w:bookmarkStart w:id="114" w:name="_Toc21970"/>
      <w:bookmarkStart w:id="115" w:name="_Toc30693"/>
      <w:r>
        <w:rPr>
          <w:rFonts w:hint="default" w:ascii="Times New Roman" w:hAnsi="Times New Roman" w:eastAsia="楷体_GB2312" w:cs="Times New Roman"/>
          <w:b/>
          <w:bCs/>
          <w:kern w:val="2"/>
          <w:sz w:val="32"/>
          <w:szCs w:val="32"/>
          <w:lang w:val="en-US" w:eastAsia="zh-CN" w:bidi="ar-SA"/>
        </w:rPr>
        <w:t>第三节  发展目标</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DE68071">
      <w:pPr>
        <w:keepNext w:val="0"/>
        <w:keepLines w:val="0"/>
        <w:pageBreakBefore w:val="0"/>
        <w:widowControl w:val="0"/>
        <w:kinsoku/>
        <w:wordWrap/>
        <w:overflowPunct w:val="0"/>
        <w:topLinePunct w:val="0"/>
        <w:autoSpaceDE/>
        <w:autoSpaceDN/>
        <w:bidi w:val="0"/>
        <w:adjustRightInd w:val="0"/>
        <w:snapToGrid w:val="0"/>
        <w:spacing w:beforeAutospacing="0" w:afterAutospacing="0" w:line="596" w:lineRule="exact"/>
        <w:ind w:left="0" w:right="0" w:firstLine="632" w:firstLineChars="200"/>
        <w:jc w:val="both"/>
        <w:textAlignment w:val="auto"/>
        <w:outlineLvl w:val="9"/>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到“十五五”末，全省高新技术产业综合实力显著增强，产业规模实现跃升，技术创新取得突破，</w:t>
      </w:r>
      <w:r>
        <w:rPr>
          <w:rFonts w:hint="eastAsia" w:ascii="仿宋_GB2312" w:hAnsi="仿宋_GB2312" w:eastAsia="仿宋_GB2312" w:cs="仿宋_GB2312"/>
          <w:kern w:val="2"/>
          <w:sz w:val="32"/>
          <w:szCs w:val="32"/>
          <w:lang w:val="en-US" w:eastAsia="zh-CN" w:bidi="ar-SA"/>
        </w:rPr>
        <w:t>产业生态持续优化</w:t>
      </w:r>
      <w:r>
        <w:rPr>
          <w:rFonts w:hint="eastAsia" w:ascii="仿宋_GB2312" w:hAnsi="仿宋_GB2312" w:eastAsia="仿宋_GB2312" w:cs="仿宋_GB2312"/>
          <w:kern w:val="2"/>
          <w:sz w:val="32"/>
          <w:szCs w:val="24"/>
          <w:lang w:val="en-US" w:eastAsia="zh-CN" w:bidi="ar-SA"/>
        </w:rPr>
        <w:t>，建成具有影响力和竞争力的高新技术产业高地。</w:t>
      </w:r>
    </w:p>
    <w:p w14:paraId="1C3263A3">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32"/>
        </w:rPr>
      </w:pPr>
      <w:bookmarkStart w:id="116" w:name="_Toc50828646"/>
      <w:bookmarkStart w:id="117" w:name="_Toc50828767"/>
      <w:r>
        <w:rPr>
          <w:rFonts w:hint="eastAsia" w:ascii="仿宋_GB2312" w:hAnsi="仿宋_GB2312" w:eastAsia="仿宋_GB2312" w:cs="仿宋_GB2312"/>
          <w:b/>
          <w:bCs/>
          <w:sz w:val="32"/>
          <w:szCs w:val="24"/>
        </w:rPr>
        <w:t>产业规模迈上新台阶。</w:t>
      </w:r>
      <w:r>
        <w:rPr>
          <w:rFonts w:hint="eastAsia" w:ascii="仿宋_GB2312" w:hAnsi="仿宋_GB2312" w:eastAsia="仿宋_GB2312" w:cs="仿宋_GB2312"/>
          <w:sz w:val="32"/>
          <w:szCs w:val="32"/>
        </w:rPr>
        <w:t>力争到2030年全省高新技术产业增加值占GDP比重达20%</w:t>
      </w:r>
      <w:r>
        <w:rPr>
          <w:rFonts w:hint="eastAsia" w:ascii="仿宋_GB2312" w:hAnsi="仿宋_GB2312" w:eastAsia="仿宋_GB2312" w:cs="仿宋_GB2312"/>
          <w:sz w:val="32"/>
          <w:szCs w:val="32"/>
          <w:lang w:eastAsia="zh-CN"/>
        </w:rPr>
        <w:t>左右</w:t>
      </w:r>
      <w:r>
        <w:rPr>
          <w:rFonts w:hint="eastAsia" w:ascii="仿宋_GB2312" w:hAnsi="仿宋_GB2312" w:eastAsia="仿宋_GB2312" w:cs="仿宋_GB2312"/>
          <w:sz w:val="32"/>
          <w:szCs w:val="32"/>
        </w:rPr>
        <w:t>，营收规模突破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万亿元。其中，数字经济核心产业增加值占GDP比重达9%</w:t>
      </w:r>
      <w:r>
        <w:rPr>
          <w:rFonts w:hint="eastAsia" w:ascii="仿宋_GB2312" w:hAnsi="仿宋_GB2312" w:eastAsia="仿宋_GB2312" w:cs="仿宋_GB2312"/>
          <w:sz w:val="32"/>
          <w:szCs w:val="32"/>
          <w:lang w:eastAsia="zh-CN"/>
        </w:rPr>
        <w:t>左右</w:t>
      </w:r>
      <w:r>
        <w:rPr>
          <w:rFonts w:hint="eastAsia" w:ascii="仿宋_GB2312" w:hAnsi="仿宋_GB2312" w:eastAsia="仿宋_GB2312" w:cs="仿宋_GB2312"/>
          <w:sz w:val="32"/>
          <w:szCs w:val="32"/>
        </w:rPr>
        <w:t>，商业航天、深海科技等领域实现产值规模大幅提升。</w:t>
      </w:r>
    </w:p>
    <w:p w14:paraId="6898E234">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24"/>
        </w:rPr>
      </w:pPr>
      <w:r>
        <w:rPr>
          <w:rFonts w:hint="eastAsia" w:ascii="仿宋_GB2312" w:hAnsi="仿宋_GB2312" w:eastAsia="仿宋_GB2312" w:cs="仿宋_GB2312"/>
          <w:b/>
          <w:bCs/>
          <w:sz w:val="32"/>
          <w:szCs w:val="24"/>
        </w:rPr>
        <w:t>集群发展形成新质效。</w:t>
      </w:r>
      <w:r>
        <w:rPr>
          <w:rFonts w:hint="eastAsia" w:ascii="仿宋_GB2312" w:hAnsi="仿宋_GB2312" w:eastAsia="仿宋_GB2312" w:cs="仿宋_GB2312"/>
          <w:sz w:val="32"/>
          <w:szCs w:val="32"/>
        </w:rPr>
        <w:t>形成数字经济、石化新材料、高端消费品</w:t>
      </w:r>
      <w:r>
        <w:rPr>
          <w:rFonts w:hint="eastAsia" w:ascii="仿宋_GB2312" w:hAnsi="仿宋_GB2312" w:eastAsia="仿宋_GB2312" w:cs="仿宋_GB2312"/>
          <w:sz w:val="32"/>
          <w:szCs w:val="32"/>
          <w:lang w:val="en-US" w:eastAsia="zh-CN"/>
        </w:rPr>
        <w:t>加工等</w:t>
      </w:r>
      <w:r>
        <w:rPr>
          <w:rFonts w:hint="eastAsia" w:ascii="仿宋_GB2312" w:hAnsi="仿宋_GB2312" w:eastAsia="仿宋_GB2312" w:cs="仿宋_GB2312"/>
          <w:sz w:val="32"/>
          <w:szCs w:val="32"/>
        </w:rPr>
        <w:t>3个千亿级产业集群，现代生物医药、商业航天、深海科技、节能环保</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4个五百亿级产业集群，清洁能源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新能源汽车、维修和再制造、</w:t>
      </w:r>
      <w:r>
        <w:rPr>
          <w:rFonts w:hint="eastAsia" w:ascii="仿宋_GB2312" w:hAnsi="仿宋_GB2312" w:eastAsia="仿宋_GB2312" w:cs="仿宋_GB2312"/>
          <w:sz w:val="32"/>
          <w:szCs w:val="32"/>
        </w:rPr>
        <w:t>低空经济、</w:t>
      </w:r>
      <w:r>
        <w:rPr>
          <w:rFonts w:hint="eastAsia" w:ascii="仿宋_GB2312" w:hAnsi="仿宋_GB2312" w:eastAsia="仿宋_GB2312" w:cs="仿宋_GB2312"/>
          <w:sz w:val="32"/>
          <w:szCs w:val="32"/>
          <w:lang w:val="en-US" w:eastAsia="zh-CN"/>
        </w:rPr>
        <w:t>南繁种业</w:t>
      </w:r>
      <w:r>
        <w:rPr>
          <w:rFonts w:hint="eastAsia" w:ascii="仿宋_GB2312" w:hAnsi="仿宋_GB2312" w:eastAsia="仿宋_GB2312" w:cs="仿宋_GB2312"/>
          <w:sz w:val="32"/>
          <w:szCs w:val="32"/>
        </w:rPr>
        <w:t>等5个百亿级产业集群以及生物制造、氢能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脑机接口、具身智能</w:t>
      </w:r>
      <w:r>
        <w:rPr>
          <w:rFonts w:hint="eastAsia" w:ascii="仿宋_GB2312" w:hAnsi="仿宋_GB2312" w:eastAsia="仿宋_GB2312" w:cs="仿宋_GB2312"/>
          <w:sz w:val="32"/>
          <w:szCs w:val="32"/>
        </w:rPr>
        <w:t>等若干新增长点。绿色制造与智能制造模式全面推广，</w:t>
      </w:r>
      <w:r>
        <w:rPr>
          <w:rFonts w:hint="eastAsia" w:ascii="仿宋_GB2312" w:hAnsi="仿宋_GB2312" w:eastAsia="仿宋_GB2312" w:cs="仿宋_GB2312"/>
          <w:sz w:val="32"/>
          <w:szCs w:val="32"/>
          <w:lang w:val="en-US" w:eastAsia="zh-CN"/>
        </w:rPr>
        <w:t>数字化生产设备普及率和人工智能技术应用普及率持续提高，</w:t>
      </w:r>
      <w:r>
        <w:rPr>
          <w:rFonts w:hint="eastAsia" w:ascii="仿宋_GB2312" w:hAnsi="仿宋_GB2312" w:eastAsia="仿宋_GB2312" w:cs="仿宋_GB2312"/>
          <w:sz w:val="32"/>
          <w:szCs w:val="32"/>
        </w:rPr>
        <w:t>“智改数转网联”等企业数字化转型取得明显进展，产业集群实现质效双提升。</w:t>
      </w:r>
    </w:p>
    <w:p w14:paraId="4D1E75DC">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b/>
          <w:bCs/>
          <w:sz w:val="32"/>
          <w:szCs w:val="24"/>
        </w:rPr>
      </w:pPr>
      <w:r>
        <w:rPr>
          <w:rFonts w:hint="eastAsia" w:ascii="仿宋_GB2312" w:hAnsi="仿宋_GB2312" w:eastAsia="仿宋_GB2312" w:cs="仿宋_GB2312"/>
          <w:b/>
          <w:bCs/>
          <w:sz w:val="32"/>
          <w:szCs w:val="24"/>
        </w:rPr>
        <w:t>创新驱动取得新突破。</w:t>
      </w:r>
      <w:r>
        <w:rPr>
          <w:rFonts w:hint="eastAsia" w:ascii="仿宋_GB2312" w:hAnsi="仿宋_GB2312" w:eastAsia="仿宋_GB2312" w:cs="仿宋_GB2312"/>
          <w:sz w:val="32"/>
          <w:szCs w:val="24"/>
        </w:rPr>
        <w:t>加速布局重点实验室、技术创新中心、制造业创新中心、产业技术工程化中心、中试验证平台、创新孵化载体等国家级、省级科技创新平台，高能级创新支撑体系基本形成。聚焦商业航天、深海</w:t>
      </w:r>
      <w:r>
        <w:rPr>
          <w:rFonts w:hint="eastAsia" w:ascii="仿宋_GB2312" w:hAnsi="仿宋_GB2312" w:eastAsia="仿宋_GB2312" w:cs="仿宋_GB2312"/>
          <w:sz w:val="32"/>
          <w:szCs w:val="24"/>
          <w:lang w:eastAsia="zh-CN"/>
        </w:rPr>
        <w:t>科技</w:t>
      </w:r>
      <w:r>
        <w:rPr>
          <w:rFonts w:hint="eastAsia" w:ascii="仿宋_GB2312" w:hAnsi="仿宋_GB2312" w:eastAsia="仿宋_GB2312" w:cs="仿宋_GB2312"/>
          <w:sz w:val="32"/>
          <w:szCs w:val="24"/>
        </w:rPr>
        <w:t>、生物制造等领域，突破一批具有自主知识产权的关键核心技术，</w:t>
      </w:r>
      <w:r>
        <w:rPr>
          <w:rFonts w:hint="eastAsia" w:ascii="仿宋_GB2312" w:hAnsi="仿宋_GB2312" w:eastAsia="仿宋_GB2312" w:cs="仿宋_GB2312"/>
          <w:sz w:val="32"/>
          <w:szCs w:val="24"/>
          <w:lang w:val="en-US" w:eastAsia="zh-CN"/>
        </w:rPr>
        <w:t>有效发明专利数量不断提升，</w:t>
      </w:r>
      <w:r>
        <w:rPr>
          <w:rFonts w:hint="eastAsia" w:ascii="仿宋_GB2312" w:hAnsi="仿宋_GB2312" w:eastAsia="仿宋_GB2312" w:cs="仿宋_GB2312"/>
          <w:sz w:val="32"/>
          <w:szCs w:val="24"/>
        </w:rPr>
        <w:t>实现创新链与产业链深度耦合。新型创新体系持续完善，企业研发投入占主营业务收入比重显著提高，全社会研发经费支出占全省生产总值的比重达2.3%，创新驱动发展动能全面增强。</w:t>
      </w:r>
    </w:p>
    <w:p w14:paraId="548609DF">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color w:val="auto"/>
          <w:sz w:val="32"/>
          <w:szCs w:val="24"/>
        </w:rPr>
      </w:pPr>
      <w:r>
        <w:rPr>
          <w:rFonts w:hint="eastAsia" w:ascii="仿宋_GB2312" w:hAnsi="仿宋_GB2312" w:eastAsia="仿宋_GB2312" w:cs="仿宋_GB2312"/>
          <w:b/>
          <w:bCs/>
          <w:sz w:val="32"/>
          <w:szCs w:val="24"/>
        </w:rPr>
        <w:t>市场主体凸显新地位。</w:t>
      </w:r>
      <w:r>
        <w:rPr>
          <w:rFonts w:hint="eastAsia" w:ascii="仿宋_GB2312" w:hAnsi="仿宋_GB2312" w:eastAsia="仿宋_GB2312" w:cs="仿宋_GB2312"/>
          <w:sz w:val="32"/>
          <w:szCs w:val="24"/>
        </w:rPr>
        <w:t>形成以企业为核心，高等院校、科研院所深度协作的“政产学研金”融合发展生态，梯度培育兼具创新活力与行业竞争力的市场主体。到2030年，规模以上高新技术企业数量突破600家，累计培育专精特新“小巨人”企业达到2</w:t>
      </w:r>
      <w:r>
        <w:rPr>
          <w:rFonts w:hint="eastAsia" w:ascii="仿宋_GB2312" w:hAnsi="仿宋_GB2312" w:eastAsia="仿宋_GB2312" w:cs="仿宋_GB2312"/>
          <w:sz w:val="32"/>
          <w:szCs w:val="24"/>
          <w:lang w:val="en-US" w:eastAsia="zh-CN"/>
        </w:rPr>
        <w:t>2</w:t>
      </w:r>
      <w:r>
        <w:rPr>
          <w:rFonts w:hint="eastAsia" w:ascii="仿宋_GB2312" w:hAnsi="仿宋_GB2312" w:eastAsia="仿宋_GB2312" w:cs="仿宋_GB2312"/>
          <w:sz w:val="32"/>
          <w:szCs w:val="24"/>
        </w:rPr>
        <w:t>家，引育一批产业链龙头企业和链主企业，形成“大中小企业融通共生”的发展格局。鼓励企业加大创新投</w:t>
      </w:r>
      <w:r>
        <w:rPr>
          <w:rFonts w:hint="eastAsia" w:ascii="仿宋_GB2312" w:hAnsi="仿宋_GB2312" w:eastAsia="仿宋_GB2312" w:cs="仿宋_GB2312"/>
          <w:color w:val="auto"/>
          <w:sz w:val="32"/>
          <w:szCs w:val="24"/>
        </w:rPr>
        <w:t>入，企业牵头和参与应用研究类项目</w:t>
      </w:r>
      <w:r>
        <w:rPr>
          <w:rFonts w:hint="eastAsia" w:ascii="仿宋_GB2312" w:hAnsi="仿宋_GB2312" w:eastAsia="仿宋_GB2312" w:cs="仿宋_GB2312"/>
          <w:color w:val="auto"/>
          <w:sz w:val="32"/>
          <w:szCs w:val="24"/>
          <w:lang w:eastAsia="zh-CN"/>
        </w:rPr>
        <w:t>数量</w:t>
      </w:r>
      <w:r>
        <w:rPr>
          <w:rFonts w:hint="eastAsia" w:ascii="仿宋_GB2312" w:hAnsi="仿宋_GB2312" w:eastAsia="仿宋_GB2312" w:cs="仿宋_GB2312"/>
          <w:color w:val="auto"/>
          <w:sz w:val="32"/>
          <w:szCs w:val="24"/>
        </w:rPr>
        <w:t>占比达</w:t>
      </w:r>
      <w:r>
        <w:rPr>
          <w:rFonts w:hint="eastAsia" w:ascii="仿宋_GB2312" w:hAnsi="仿宋_GB2312" w:eastAsia="仿宋_GB2312" w:cs="仿宋_GB2312"/>
          <w:color w:val="auto"/>
          <w:sz w:val="32"/>
          <w:szCs w:val="24"/>
          <w:lang w:eastAsia="zh-CN"/>
        </w:rPr>
        <w:t>到</w:t>
      </w:r>
      <w:r>
        <w:rPr>
          <w:rFonts w:hint="eastAsia" w:ascii="仿宋_GB2312" w:hAnsi="仿宋_GB2312" w:eastAsia="仿宋_GB2312" w:cs="仿宋_GB2312"/>
          <w:color w:val="auto"/>
          <w:sz w:val="32"/>
          <w:szCs w:val="24"/>
        </w:rPr>
        <w:t>50%</w:t>
      </w:r>
      <w:r>
        <w:rPr>
          <w:rFonts w:hint="eastAsia" w:ascii="仿宋_GB2312" w:hAnsi="仿宋_GB2312" w:eastAsia="仿宋_GB2312" w:cs="仿宋_GB2312"/>
          <w:color w:val="auto"/>
          <w:sz w:val="32"/>
          <w:szCs w:val="24"/>
          <w:lang w:eastAsia="zh-CN"/>
        </w:rPr>
        <w:t>左右</w:t>
      </w:r>
      <w:r>
        <w:rPr>
          <w:rFonts w:hint="eastAsia" w:ascii="仿宋_GB2312" w:hAnsi="仿宋_GB2312" w:eastAsia="仿宋_GB2312" w:cs="仿宋_GB2312"/>
          <w:color w:val="auto"/>
          <w:sz w:val="32"/>
          <w:szCs w:val="24"/>
        </w:rPr>
        <w:t>。</w:t>
      </w:r>
    </w:p>
    <w:p w14:paraId="246405CC">
      <w:pPr>
        <w:keepNext w:val="0"/>
        <w:keepLines w:val="0"/>
        <w:pageBreakBefore w:val="0"/>
        <w:widowControl w:val="0"/>
        <w:kinsoku/>
        <w:wordWrap/>
        <w:overflowPunct w:val="0"/>
        <w:topLinePunct w:val="0"/>
        <w:autoSpaceDE/>
        <w:autoSpaceDN/>
        <w:bidi w:val="0"/>
        <w:adjustRightInd w:val="0"/>
        <w:snapToGrid w:val="0"/>
        <w:spacing w:line="596" w:lineRule="exact"/>
        <w:ind w:left="0" w:right="0" w:firstLine="632" w:firstLineChars="200"/>
        <w:jc w:val="both"/>
        <w:textAlignment w:val="auto"/>
        <w:outlineLvl w:val="9"/>
        <w:rPr>
          <w:rFonts w:hint="eastAsia" w:ascii="仿宋_GB2312" w:hAnsi="仿宋_GB2312" w:eastAsia="仿宋_GB2312" w:cs="仿宋_GB2312"/>
          <w:sz w:val="32"/>
          <w:szCs w:val="24"/>
        </w:rPr>
      </w:pPr>
      <w:r>
        <w:rPr>
          <w:rFonts w:hint="eastAsia" w:ascii="仿宋_GB2312" w:hAnsi="仿宋_GB2312" w:eastAsia="仿宋_GB2312" w:cs="仿宋_GB2312"/>
          <w:b/>
          <w:bCs/>
          <w:sz w:val="32"/>
          <w:szCs w:val="24"/>
        </w:rPr>
        <w:t>产业生态呈现新局面。</w:t>
      </w:r>
      <w:r>
        <w:rPr>
          <w:rFonts w:hint="eastAsia" w:ascii="仿宋_GB2312" w:hAnsi="仿宋_GB2312" w:eastAsia="仿宋_GB2312" w:cs="仿宋_GB2312"/>
          <w:sz w:val="32"/>
          <w:szCs w:val="24"/>
        </w:rPr>
        <w:t>产业发展重点领域与关键环节改革实现突破性进展，科技成果转化、国际规则对接、资金精准扶持、人才培引留用、知识产权全链条保护等体制机制持续深化。</w:t>
      </w:r>
      <w:r>
        <w:rPr>
          <w:rFonts w:hint="eastAsia" w:ascii="仿宋_GB2312" w:hAnsi="仿宋_GB2312" w:eastAsia="仿宋_GB2312" w:cs="仿宋_GB2312"/>
          <w:sz w:val="32"/>
          <w:szCs w:val="24"/>
          <w:lang w:eastAsia="zh-CN"/>
        </w:rPr>
        <w:t>海南自由贸易港全岛</w:t>
      </w:r>
      <w:r>
        <w:rPr>
          <w:rFonts w:hint="eastAsia" w:ascii="仿宋_GB2312" w:hAnsi="仿宋_GB2312" w:eastAsia="仿宋_GB2312" w:cs="仿宋_GB2312"/>
          <w:sz w:val="32"/>
          <w:szCs w:val="24"/>
        </w:rPr>
        <w:t>封关运作对高新技术产业的赋能效应全面释放，有效激发产业发展动能，加速形成要素集聚、活力迸发、良性循环的发展环境。</w:t>
      </w:r>
    </w:p>
    <w:p w14:paraId="42B56187">
      <w:pPr>
        <w:keepNext w:val="0"/>
        <w:keepLines w:val="0"/>
        <w:pageBreakBefore w:val="0"/>
        <w:widowControl w:val="0"/>
        <w:kinsoku/>
        <w:wordWrap/>
        <w:overflowPunct w:val="0"/>
        <w:topLinePunct w:val="0"/>
        <w:autoSpaceDE/>
        <w:autoSpaceDN/>
        <w:bidi w:val="0"/>
        <w:adjustRightInd w:val="0"/>
        <w:snapToGrid w:val="0"/>
        <w:spacing w:beforeAutospacing="0" w:afterAutospacing="0" w:line="596" w:lineRule="exact"/>
        <w:ind w:left="0" w:right="0" w:firstLine="632" w:firstLineChars="200"/>
        <w:jc w:val="both"/>
        <w:textAlignment w:val="auto"/>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
        </w:rPr>
        <w:t>在此基础上再奋斗五年，到</w:t>
      </w:r>
      <w:r>
        <w:rPr>
          <w:rFonts w:hint="eastAsia" w:ascii="仿宋_GB2312" w:hAnsi="仿宋_GB2312" w:eastAsia="仿宋_GB2312" w:cs="仿宋_GB2312"/>
          <w:spacing w:val="5"/>
          <w:kern w:val="0"/>
          <w:sz w:val="32"/>
          <w:szCs w:val="32"/>
          <w:lang w:val="en-US" w:eastAsia="zh-CN" w:bidi="ar"/>
        </w:rPr>
        <w:t>2035年全省高新技术产业综合实力踏上新台</w:t>
      </w:r>
      <w:r>
        <w:rPr>
          <w:rFonts w:hint="eastAsia" w:ascii="仿宋_GB2312" w:hAnsi="仿宋_GB2312" w:eastAsia="仿宋_GB2312" w:cs="仿宋_GB2312"/>
          <w:spacing w:val="3"/>
          <w:kern w:val="0"/>
          <w:sz w:val="32"/>
          <w:szCs w:val="32"/>
          <w:lang w:val="en-US" w:eastAsia="zh-CN" w:bidi="ar"/>
        </w:rPr>
        <w:t>阶，产业链全面迈向中高端，实现</w:t>
      </w:r>
      <w:r>
        <w:rPr>
          <w:rFonts w:hint="eastAsia" w:ascii="仿宋_GB2312" w:hAnsi="仿宋_GB2312" w:eastAsia="仿宋_GB2312" w:cs="仿宋_GB2312"/>
          <w:spacing w:val="7"/>
          <w:kern w:val="0"/>
          <w:sz w:val="32"/>
          <w:szCs w:val="32"/>
          <w:lang w:val="en-US" w:eastAsia="zh-CN" w:bidi="ar"/>
        </w:rPr>
        <w:t>更高水平的新型工业化</w:t>
      </w:r>
      <w:r>
        <w:rPr>
          <w:rFonts w:hint="eastAsia" w:ascii="仿宋_GB2312" w:hAnsi="仿宋_GB2312" w:eastAsia="仿宋_GB2312" w:cs="仿宋_GB2312"/>
          <w:kern w:val="2"/>
          <w:sz w:val="32"/>
          <w:szCs w:val="32"/>
          <w:lang w:val="en-US" w:eastAsia="zh-CN" w:bidi="ar-SA"/>
        </w:rPr>
        <w:t>，全面建成支撑海南自由贸易港建设的现代化产业体系，成为展示中国式现代化成果的重要窗口。</w:t>
      </w:r>
    </w:p>
    <w:p w14:paraId="120B04C5">
      <w:pPr>
        <w:keepNext w:val="0"/>
        <w:keepLines w:val="0"/>
        <w:pageBreakBefore w:val="0"/>
        <w:widowControl w:val="0"/>
        <w:kinsoku/>
        <w:wordWrap/>
        <w:overflowPunct w:val="0"/>
        <w:topLinePunct w:val="0"/>
        <w:autoSpaceDE/>
        <w:autoSpaceDN/>
        <w:bidi w:val="0"/>
        <w:adjustRightInd w:val="0"/>
        <w:snapToGrid w:val="0"/>
        <w:spacing w:before="179" w:beforeLines="30" w:line="596" w:lineRule="exact"/>
        <w:jc w:val="center"/>
        <w:textAlignment w:val="auto"/>
        <w:rPr>
          <w:rFonts w:hint="eastAsia" w:ascii="黑体" w:hAnsi="黑体" w:eastAsia="黑体" w:cs="黑体"/>
          <w:b w:val="0"/>
          <w:bCs w:val="0"/>
          <w:kern w:val="0"/>
          <w:sz w:val="28"/>
          <w:szCs w:val="32"/>
          <w:lang w:bidi="ar"/>
        </w:rPr>
      </w:pPr>
      <w:r>
        <w:rPr>
          <w:rFonts w:hint="eastAsia" w:ascii="黑体" w:hAnsi="黑体" w:eastAsia="黑体" w:cs="黑体"/>
          <w:b w:val="0"/>
          <w:bCs w:val="0"/>
          <w:kern w:val="0"/>
          <w:sz w:val="28"/>
          <w:szCs w:val="32"/>
          <w:lang w:bidi="ar"/>
        </w:rPr>
        <w:t>表2-1 “十五五”期间高新技术产业主要指标发展目标</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30"/>
        <w:gridCol w:w="3843"/>
        <w:gridCol w:w="1007"/>
        <w:gridCol w:w="1472"/>
        <w:gridCol w:w="1543"/>
      </w:tblGrid>
      <w:tr w14:paraId="73D6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5" w:hRule="atLeast"/>
          <w:tblHeader/>
          <w:jc w:val="center"/>
        </w:trPr>
        <w:tc>
          <w:tcPr>
            <w:tcW w:w="579" w:type="pct"/>
            <w:noWrap w:val="0"/>
            <w:vAlign w:val="center"/>
          </w:tcPr>
          <w:p w14:paraId="65AE56D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目标领域</w:t>
            </w:r>
          </w:p>
        </w:tc>
        <w:tc>
          <w:tcPr>
            <w:tcW w:w="2159" w:type="pct"/>
            <w:noWrap w:val="0"/>
            <w:vAlign w:val="center"/>
          </w:tcPr>
          <w:p w14:paraId="7C33886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指标名称</w:t>
            </w:r>
          </w:p>
        </w:tc>
        <w:tc>
          <w:tcPr>
            <w:tcW w:w="566" w:type="pct"/>
            <w:noWrap w:val="0"/>
            <w:vAlign w:val="center"/>
          </w:tcPr>
          <w:p w14:paraId="066D51B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单位</w:t>
            </w:r>
          </w:p>
        </w:tc>
        <w:tc>
          <w:tcPr>
            <w:tcW w:w="827" w:type="pct"/>
            <w:noWrap w:val="0"/>
            <w:vAlign w:val="center"/>
          </w:tcPr>
          <w:p w14:paraId="6D0B7B84">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2030年</w:t>
            </w:r>
          </w:p>
        </w:tc>
        <w:tc>
          <w:tcPr>
            <w:tcW w:w="867" w:type="pct"/>
            <w:noWrap w:val="0"/>
            <w:vAlign w:val="center"/>
          </w:tcPr>
          <w:p w14:paraId="3D777F6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黑体" w:cs="Times New Roman"/>
                <w:b w:val="0"/>
                <w:bCs w:val="0"/>
                <w:sz w:val="24"/>
                <w:szCs w:val="24"/>
                <w:lang w:eastAsia="zh-CN"/>
              </w:rPr>
            </w:pPr>
            <w:r>
              <w:rPr>
                <w:rFonts w:hint="default" w:ascii="Times New Roman" w:hAnsi="Times New Roman" w:eastAsia="黑体" w:cs="Times New Roman"/>
                <w:b w:val="0"/>
                <w:bCs w:val="0"/>
                <w:sz w:val="24"/>
                <w:szCs w:val="24"/>
              </w:rPr>
              <w:t>年均增长</w:t>
            </w:r>
            <w:r>
              <w:rPr>
                <w:rFonts w:hint="eastAsia" w:eastAsia="黑体" w:cs="Times New Roman"/>
                <w:b w:val="0"/>
                <w:bCs w:val="0"/>
                <w:sz w:val="24"/>
                <w:szCs w:val="24"/>
                <w:lang w:eastAsia="zh-CN"/>
              </w:rPr>
              <w:t>（</w:t>
            </w:r>
            <w:r>
              <w:rPr>
                <w:rFonts w:hint="eastAsia" w:eastAsia="黑体" w:cs="Times New Roman"/>
                <w:b w:val="0"/>
                <w:bCs w:val="0"/>
                <w:sz w:val="24"/>
                <w:szCs w:val="24"/>
                <w:lang w:val="en-US" w:eastAsia="zh-CN"/>
              </w:rPr>
              <w:t>%</w:t>
            </w:r>
            <w:r>
              <w:rPr>
                <w:rFonts w:hint="eastAsia" w:eastAsia="黑体" w:cs="Times New Roman"/>
                <w:b w:val="0"/>
                <w:bCs w:val="0"/>
                <w:sz w:val="24"/>
                <w:szCs w:val="24"/>
                <w:lang w:eastAsia="zh-CN"/>
              </w:rPr>
              <w:t>）</w:t>
            </w:r>
          </w:p>
        </w:tc>
      </w:tr>
      <w:tr w14:paraId="043F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8" w:hRule="atLeast"/>
          <w:jc w:val="center"/>
        </w:trPr>
        <w:tc>
          <w:tcPr>
            <w:tcW w:w="579" w:type="pct"/>
            <w:vMerge w:val="restart"/>
            <w:noWrap w:val="0"/>
            <w:vAlign w:val="center"/>
          </w:tcPr>
          <w:p w14:paraId="537E669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bidi="ar"/>
              </w:rPr>
              <w:t>规模目标</w:t>
            </w:r>
          </w:p>
        </w:tc>
        <w:tc>
          <w:tcPr>
            <w:tcW w:w="2159" w:type="pct"/>
            <w:noWrap w:val="0"/>
            <w:vAlign w:val="center"/>
          </w:tcPr>
          <w:p w14:paraId="1182205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bidi="ar"/>
              </w:rPr>
              <w:t>高新技术产业营收</w:t>
            </w:r>
          </w:p>
        </w:tc>
        <w:tc>
          <w:tcPr>
            <w:tcW w:w="566" w:type="pct"/>
            <w:noWrap w:val="0"/>
            <w:vAlign w:val="center"/>
          </w:tcPr>
          <w:p w14:paraId="2291E6A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7787E3B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10000</w:t>
            </w:r>
            <w:r>
              <w:rPr>
                <w:rFonts w:hint="eastAsia" w:ascii="Times New Roman" w:hAnsi="Times New Roman" w:eastAsia="仿宋_GB2312" w:cs="Times New Roman"/>
                <w:b/>
                <w:bCs/>
                <w:sz w:val="22"/>
                <w:szCs w:val="22"/>
                <w:lang w:val="en-US" w:eastAsia="zh-CN"/>
              </w:rPr>
              <w:t>以上</w:t>
            </w:r>
          </w:p>
        </w:tc>
        <w:tc>
          <w:tcPr>
            <w:tcW w:w="867" w:type="pct"/>
            <w:noWrap w:val="0"/>
            <w:vAlign w:val="center"/>
          </w:tcPr>
          <w:p w14:paraId="58C667C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1</w:t>
            </w:r>
            <w:r>
              <w:rPr>
                <w:rFonts w:hint="eastAsia" w:cs="Times New Roman"/>
                <w:b/>
                <w:bCs/>
                <w:sz w:val="24"/>
                <w:szCs w:val="24"/>
                <w:lang w:val="en-US" w:eastAsia="zh-CN"/>
              </w:rPr>
              <w:t>0</w:t>
            </w:r>
            <w:r>
              <w:rPr>
                <w:rFonts w:hint="eastAsia" w:ascii="Times New Roman" w:hAnsi="Times New Roman" w:eastAsia="仿宋_GB2312" w:cs="Times New Roman"/>
                <w:b/>
                <w:bCs/>
                <w:sz w:val="22"/>
                <w:szCs w:val="22"/>
                <w:lang w:val="en-US" w:eastAsia="zh-CN"/>
              </w:rPr>
              <w:t>以上</w:t>
            </w:r>
          </w:p>
        </w:tc>
      </w:tr>
      <w:tr w14:paraId="7AD7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9" w:type="pct"/>
            <w:vMerge w:val="continue"/>
            <w:noWrap w:val="0"/>
            <w:vAlign w:val="center"/>
          </w:tcPr>
          <w:p w14:paraId="0D0A3CA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3CF1122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bidi="ar"/>
              </w:rPr>
              <w:t>高新技术产业增加值占地区生产总值比重</w:t>
            </w:r>
          </w:p>
        </w:tc>
        <w:tc>
          <w:tcPr>
            <w:tcW w:w="566" w:type="pct"/>
            <w:noWrap w:val="0"/>
            <w:vAlign w:val="center"/>
          </w:tcPr>
          <w:p w14:paraId="40B1D29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lang w:bidi="ar"/>
              </w:rPr>
              <w:t>%</w:t>
            </w:r>
          </w:p>
        </w:tc>
        <w:tc>
          <w:tcPr>
            <w:tcW w:w="827" w:type="pct"/>
            <w:noWrap w:val="0"/>
            <w:vAlign w:val="center"/>
          </w:tcPr>
          <w:p w14:paraId="7365013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20</w:t>
            </w:r>
          </w:p>
        </w:tc>
        <w:tc>
          <w:tcPr>
            <w:tcW w:w="867" w:type="pct"/>
            <w:noWrap w:val="0"/>
            <w:vAlign w:val="center"/>
          </w:tcPr>
          <w:p w14:paraId="4629CA4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14:paraId="5D7B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579" w:type="pct"/>
            <w:vMerge w:val="restart"/>
            <w:noWrap w:val="0"/>
            <w:vAlign w:val="center"/>
          </w:tcPr>
          <w:p w14:paraId="62DD64D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集群目标</w:t>
            </w:r>
          </w:p>
        </w:tc>
        <w:tc>
          <w:tcPr>
            <w:tcW w:w="2159" w:type="pct"/>
            <w:noWrap w:val="0"/>
            <w:vAlign w:val="center"/>
          </w:tcPr>
          <w:p w14:paraId="6682B23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bidi="ar"/>
              </w:rPr>
              <w:t>数字经济核心产业营收</w:t>
            </w:r>
          </w:p>
        </w:tc>
        <w:tc>
          <w:tcPr>
            <w:tcW w:w="566" w:type="pct"/>
            <w:noWrap w:val="0"/>
            <w:vAlign w:val="center"/>
          </w:tcPr>
          <w:p w14:paraId="6549E50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12E397B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等线" w:cs="Times New Roman"/>
                <w:b/>
                <w:bCs/>
                <w:kern w:val="0"/>
                <w:sz w:val="24"/>
                <w:szCs w:val="24"/>
                <w:lang w:bidi="ar"/>
              </w:rPr>
              <w:t>4000</w:t>
            </w:r>
          </w:p>
        </w:tc>
        <w:tc>
          <w:tcPr>
            <w:tcW w:w="867" w:type="pct"/>
            <w:noWrap w:val="0"/>
            <w:vAlign w:val="center"/>
          </w:tcPr>
          <w:p w14:paraId="0DB8E24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
                <w:bCs/>
                <w:sz w:val="24"/>
                <w:szCs w:val="24"/>
              </w:rPr>
              <w:t>8.9</w:t>
            </w:r>
          </w:p>
        </w:tc>
      </w:tr>
      <w:tr w14:paraId="3822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jc w:val="center"/>
        </w:trPr>
        <w:tc>
          <w:tcPr>
            <w:tcW w:w="579" w:type="pct"/>
            <w:vMerge w:val="continue"/>
            <w:noWrap w:val="0"/>
            <w:vAlign w:val="center"/>
          </w:tcPr>
          <w:p w14:paraId="52850E0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6DE9C2B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bidi="ar"/>
              </w:rPr>
              <w:t>石油化工新材料产业营收</w:t>
            </w:r>
          </w:p>
        </w:tc>
        <w:tc>
          <w:tcPr>
            <w:tcW w:w="566" w:type="pct"/>
            <w:noWrap w:val="0"/>
            <w:vAlign w:val="center"/>
          </w:tcPr>
          <w:p w14:paraId="628788F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33AF4419">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0"/>
                <w:sz w:val="24"/>
                <w:szCs w:val="24"/>
                <w:lang w:bidi="ar"/>
              </w:rPr>
              <w:t>2</w:t>
            </w:r>
            <w:r>
              <w:rPr>
                <w:rFonts w:hint="default" w:ascii="Times New Roman" w:hAnsi="Times New Roman" w:eastAsia="宋体" w:cs="Times New Roman"/>
                <w:b/>
                <w:bCs/>
                <w:kern w:val="0"/>
                <w:sz w:val="24"/>
                <w:szCs w:val="24"/>
                <w:lang w:val="en-US" w:eastAsia="zh-CN" w:bidi="ar"/>
              </w:rPr>
              <w:t>3</w:t>
            </w:r>
            <w:r>
              <w:rPr>
                <w:rFonts w:hint="default" w:ascii="Times New Roman" w:hAnsi="Times New Roman" w:eastAsia="宋体" w:cs="Times New Roman"/>
                <w:b/>
                <w:bCs/>
                <w:kern w:val="0"/>
                <w:sz w:val="24"/>
                <w:szCs w:val="24"/>
                <w:lang w:bidi="ar"/>
              </w:rPr>
              <w:t>00</w:t>
            </w:r>
          </w:p>
        </w:tc>
        <w:tc>
          <w:tcPr>
            <w:tcW w:w="867" w:type="pct"/>
            <w:noWrap w:val="0"/>
            <w:vAlign w:val="center"/>
          </w:tcPr>
          <w:p w14:paraId="627BC3D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rPr>
              <w:t>.1</w:t>
            </w:r>
          </w:p>
        </w:tc>
      </w:tr>
      <w:tr w14:paraId="200D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579" w:type="pct"/>
            <w:vMerge w:val="continue"/>
            <w:noWrap w:val="0"/>
            <w:vAlign w:val="center"/>
          </w:tcPr>
          <w:p w14:paraId="7FAB872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106E5F9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textAlignment w:val="auto"/>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bidi="ar"/>
              </w:rPr>
              <w:t>高端消费品</w:t>
            </w:r>
            <w:r>
              <w:rPr>
                <w:rFonts w:hint="eastAsia" w:eastAsia="仿宋_GB2312" w:cs="Times New Roman"/>
                <w:kern w:val="0"/>
                <w:sz w:val="24"/>
                <w:szCs w:val="24"/>
                <w:lang w:val="en-US" w:eastAsia="zh-CN" w:bidi="ar"/>
              </w:rPr>
              <w:t>加工</w:t>
            </w:r>
            <w:r>
              <w:rPr>
                <w:rFonts w:hint="default" w:ascii="Times New Roman" w:hAnsi="Times New Roman" w:eastAsia="仿宋_GB2312" w:cs="Times New Roman"/>
                <w:kern w:val="0"/>
                <w:sz w:val="24"/>
                <w:szCs w:val="24"/>
                <w:lang w:bidi="ar"/>
              </w:rPr>
              <w:t>产业营收</w:t>
            </w:r>
          </w:p>
        </w:tc>
        <w:tc>
          <w:tcPr>
            <w:tcW w:w="566" w:type="pct"/>
            <w:noWrap w:val="0"/>
            <w:vAlign w:val="center"/>
          </w:tcPr>
          <w:p w14:paraId="5C1904C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0"/>
                <w:sz w:val="24"/>
                <w:szCs w:val="24"/>
                <w:lang w:val="en-US" w:eastAsia="zh-CN"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7806151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0"/>
                <w:sz w:val="24"/>
                <w:szCs w:val="24"/>
                <w:lang w:bidi="ar"/>
              </w:rPr>
              <w:t>1500</w:t>
            </w:r>
          </w:p>
        </w:tc>
        <w:tc>
          <w:tcPr>
            <w:tcW w:w="867" w:type="pct"/>
            <w:noWrap w:val="0"/>
            <w:vAlign w:val="center"/>
          </w:tcPr>
          <w:p w14:paraId="328D868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
                <w:bCs/>
                <w:kern w:val="0"/>
                <w:sz w:val="24"/>
                <w:szCs w:val="24"/>
                <w:lang w:bidi="ar"/>
              </w:rPr>
              <w:t>1</w:t>
            </w:r>
            <w:r>
              <w:rPr>
                <w:rFonts w:hint="default" w:ascii="Times New Roman" w:hAnsi="Times New Roman" w:eastAsia="宋体" w:cs="Times New Roman"/>
                <w:b/>
                <w:bCs/>
                <w:kern w:val="0"/>
                <w:sz w:val="24"/>
                <w:szCs w:val="24"/>
                <w:lang w:val="en-US" w:eastAsia="zh-CN" w:bidi="ar"/>
              </w:rPr>
              <w:t>0.0</w:t>
            </w:r>
          </w:p>
        </w:tc>
      </w:tr>
      <w:tr w14:paraId="0C32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579" w:type="pct"/>
            <w:vMerge w:val="continue"/>
            <w:noWrap w:val="0"/>
            <w:vAlign w:val="center"/>
          </w:tcPr>
          <w:p w14:paraId="136A8BB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0AA901D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现代生物医药产业营收</w:t>
            </w:r>
          </w:p>
        </w:tc>
        <w:tc>
          <w:tcPr>
            <w:tcW w:w="566" w:type="pct"/>
            <w:noWrap w:val="0"/>
            <w:vAlign w:val="center"/>
          </w:tcPr>
          <w:p w14:paraId="73E8702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45FDF38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500</w:t>
            </w:r>
          </w:p>
        </w:tc>
        <w:tc>
          <w:tcPr>
            <w:tcW w:w="867" w:type="pct"/>
            <w:noWrap w:val="0"/>
            <w:vAlign w:val="center"/>
          </w:tcPr>
          <w:p w14:paraId="2F82ACA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lang w:val="en-US" w:eastAsia="zh-CN"/>
              </w:rPr>
              <w:t>11.5</w:t>
            </w:r>
          </w:p>
        </w:tc>
      </w:tr>
      <w:tr w14:paraId="61F6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2" w:hRule="atLeast"/>
          <w:jc w:val="center"/>
        </w:trPr>
        <w:tc>
          <w:tcPr>
            <w:tcW w:w="579" w:type="pct"/>
            <w:vMerge w:val="continue"/>
            <w:noWrap w:val="0"/>
            <w:vAlign w:val="center"/>
          </w:tcPr>
          <w:p w14:paraId="4C7D4BD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1F48A48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商业航天产业营收</w:t>
            </w:r>
          </w:p>
        </w:tc>
        <w:tc>
          <w:tcPr>
            <w:tcW w:w="566" w:type="pct"/>
            <w:noWrap w:val="0"/>
            <w:vAlign w:val="center"/>
          </w:tcPr>
          <w:p w14:paraId="2883132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0718479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500</w:t>
            </w:r>
          </w:p>
        </w:tc>
        <w:tc>
          <w:tcPr>
            <w:tcW w:w="867" w:type="pct"/>
            <w:noWrap w:val="0"/>
            <w:vAlign w:val="center"/>
          </w:tcPr>
          <w:p w14:paraId="2753771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14:paraId="4D2E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5" w:hRule="atLeast"/>
          <w:jc w:val="center"/>
        </w:trPr>
        <w:tc>
          <w:tcPr>
            <w:tcW w:w="579" w:type="pct"/>
            <w:vMerge w:val="continue"/>
            <w:noWrap w:val="0"/>
            <w:vAlign w:val="center"/>
          </w:tcPr>
          <w:p w14:paraId="3EC4F59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609F7F8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深海科技产业营收</w:t>
            </w:r>
          </w:p>
        </w:tc>
        <w:tc>
          <w:tcPr>
            <w:tcW w:w="566" w:type="pct"/>
            <w:noWrap w:val="0"/>
            <w:vAlign w:val="center"/>
          </w:tcPr>
          <w:p w14:paraId="2D52860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1057602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500</w:t>
            </w:r>
          </w:p>
        </w:tc>
        <w:tc>
          <w:tcPr>
            <w:tcW w:w="867" w:type="pct"/>
            <w:noWrap w:val="0"/>
            <w:vAlign w:val="center"/>
          </w:tcPr>
          <w:p w14:paraId="64FC170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14:paraId="7179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2" w:hRule="atLeast"/>
          <w:jc w:val="center"/>
        </w:trPr>
        <w:tc>
          <w:tcPr>
            <w:tcW w:w="579" w:type="pct"/>
            <w:vMerge w:val="continue"/>
            <w:noWrap w:val="0"/>
            <w:vAlign w:val="center"/>
          </w:tcPr>
          <w:p w14:paraId="691E0B8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52B9C24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节能环保产业营收</w:t>
            </w:r>
          </w:p>
        </w:tc>
        <w:tc>
          <w:tcPr>
            <w:tcW w:w="566" w:type="pct"/>
            <w:noWrap w:val="0"/>
            <w:vAlign w:val="center"/>
          </w:tcPr>
          <w:p w14:paraId="7C0DA1B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1B9BD25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800</w:t>
            </w:r>
          </w:p>
        </w:tc>
        <w:tc>
          <w:tcPr>
            <w:tcW w:w="867" w:type="pct"/>
            <w:noWrap w:val="0"/>
            <w:vAlign w:val="center"/>
          </w:tcPr>
          <w:p w14:paraId="5A2CC0F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7.3</w:t>
            </w:r>
          </w:p>
        </w:tc>
      </w:tr>
      <w:tr w14:paraId="3484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579" w:type="pct"/>
            <w:vMerge w:val="continue"/>
            <w:noWrap w:val="0"/>
            <w:vAlign w:val="center"/>
          </w:tcPr>
          <w:p w14:paraId="4B0366A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7863643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清洁能源产业营收</w:t>
            </w:r>
          </w:p>
        </w:tc>
        <w:tc>
          <w:tcPr>
            <w:tcW w:w="566" w:type="pct"/>
            <w:noWrap w:val="0"/>
            <w:vAlign w:val="center"/>
          </w:tcPr>
          <w:p w14:paraId="3B087D1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3138056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rPr>
              <w:t>00</w:t>
            </w:r>
          </w:p>
        </w:tc>
        <w:tc>
          <w:tcPr>
            <w:tcW w:w="867" w:type="pct"/>
            <w:noWrap w:val="0"/>
            <w:vAlign w:val="center"/>
          </w:tcPr>
          <w:p w14:paraId="3CE56F5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val="en-US" w:eastAsia="zh-CN" w:bidi="ar"/>
              </w:rPr>
              <w:t>24.8</w:t>
            </w:r>
          </w:p>
        </w:tc>
      </w:tr>
      <w:tr w14:paraId="609C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6" w:hRule="atLeast"/>
          <w:jc w:val="center"/>
        </w:trPr>
        <w:tc>
          <w:tcPr>
            <w:tcW w:w="579" w:type="pct"/>
            <w:vMerge w:val="continue"/>
            <w:noWrap w:val="0"/>
            <w:vAlign w:val="center"/>
          </w:tcPr>
          <w:p w14:paraId="78D3854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4D5DC53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新能源汽车产业营收</w:t>
            </w:r>
          </w:p>
        </w:tc>
        <w:tc>
          <w:tcPr>
            <w:tcW w:w="566" w:type="pct"/>
            <w:noWrap w:val="0"/>
            <w:vAlign w:val="center"/>
          </w:tcPr>
          <w:p w14:paraId="581D658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5EC28E5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100</w:t>
            </w:r>
          </w:p>
        </w:tc>
        <w:tc>
          <w:tcPr>
            <w:tcW w:w="867" w:type="pct"/>
            <w:noWrap w:val="0"/>
            <w:vAlign w:val="center"/>
          </w:tcPr>
          <w:p w14:paraId="0B94298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kern w:val="0"/>
                <w:sz w:val="24"/>
                <w:szCs w:val="24"/>
                <w:lang w:bidi="ar"/>
              </w:rPr>
              <w:t>25.6</w:t>
            </w:r>
          </w:p>
        </w:tc>
      </w:tr>
      <w:tr w14:paraId="1A29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579" w:type="pct"/>
            <w:vMerge w:val="continue"/>
            <w:noWrap w:val="0"/>
            <w:vAlign w:val="center"/>
          </w:tcPr>
          <w:p w14:paraId="4400A31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20BF80F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维修和再制造产业营收</w:t>
            </w:r>
          </w:p>
        </w:tc>
        <w:tc>
          <w:tcPr>
            <w:tcW w:w="566" w:type="pct"/>
            <w:noWrap w:val="0"/>
            <w:vAlign w:val="center"/>
          </w:tcPr>
          <w:p w14:paraId="6DC4060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2FCEC64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300</w:t>
            </w:r>
          </w:p>
        </w:tc>
        <w:tc>
          <w:tcPr>
            <w:tcW w:w="867" w:type="pct"/>
            <w:noWrap w:val="0"/>
            <w:vAlign w:val="center"/>
          </w:tcPr>
          <w:p w14:paraId="091CE91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lang w:bidi="ar"/>
              </w:rPr>
              <w:t>—</w:t>
            </w:r>
          </w:p>
        </w:tc>
      </w:tr>
      <w:tr w14:paraId="19DA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8" w:hRule="atLeast"/>
          <w:jc w:val="center"/>
        </w:trPr>
        <w:tc>
          <w:tcPr>
            <w:tcW w:w="579" w:type="pct"/>
            <w:vMerge w:val="continue"/>
            <w:noWrap w:val="0"/>
            <w:vAlign w:val="center"/>
          </w:tcPr>
          <w:p w14:paraId="1C196DF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4A604F9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低空经济产业营收</w:t>
            </w:r>
          </w:p>
        </w:tc>
        <w:tc>
          <w:tcPr>
            <w:tcW w:w="566" w:type="pct"/>
            <w:noWrap w:val="0"/>
            <w:vAlign w:val="center"/>
          </w:tcPr>
          <w:p w14:paraId="63B5D54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451DB6B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100</w:t>
            </w:r>
          </w:p>
        </w:tc>
        <w:tc>
          <w:tcPr>
            <w:tcW w:w="867" w:type="pct"/>
            <w:noWrap w:val="0"/>
            <w:vAlign w:val="center"/>
          </w:tcPr>
          <w:p w14:paraId="31FE6C3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lang w:bidi="ar"/>
              </w:rPr>
              <w:t>—</w:t>
            </w:r>
          </w:p>
        </w:tc>
      </w:tr>
      <w:tr w14:paraId="5DA2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0" w:hRule="atLeast"/>
          <w:jc w:val="center"/>
        </w:trPr>
        <w:tc>
          <w:tcPr>
            <w:tcW w:w="579" w:type="pct"/>
            <w:vMerge w:val="continue"/>
            <w:noWrap w:val="0"/>
            <w:vAlign w:val="center"/>
          </w:tcPr>
          <w:p w14:paraId="1A3FCFF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13152B8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南繁种业营收</w:t>
            </w:r>
          </w:p>
        </w:tc>
        <w:tc>
          <w:tcPr>
            <w:tcW w:w="566" w:type="pct"/>
            <w:noWrap w:val="0"/>
            <w:vAlign w:val="center"/>
          </w:tcPr>
          <w:p w14:paraId="49620EE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仿宋_GB2312" w:cs="Times New Roman"/>
                <w:kern w:val="0"/>
                <w:sz w:val="24"/>
                <w:szCs w:val="24"/>
                <w:lang w:bidi="ar"/>
              </w:rPr>
              <w:t>亿元</w:t>
            </w:r>
          </w:p>
        </w:tc>
        <w:tc>
          <w:tcPr>
            <w:tcW w:w="827" w:type="pct"/>
            <w:noWrap w:val="0"/>
            <w:vAlign w:val="center"/>
          </w:tcPr>
          <w:p w14:paraId="43AB7C2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eastAsia" w:cs="Times New Roman"/>
                <w:b/>
                <w:bCs/>
                <w:sz w:val="24"/>
                <w:szCs w:val="24"/>
                <w:lang w:val="en-US" w:eastAsia="zh-CN"/>
              </w:rPr>
              <w:t>4</w:t>
            </w:r>
            <w:r>
              <w:rPr>
                <w:rFonts w:hint="default" w:ascii="Times New Roman" w:hAnsi="Times New Roman" w:eastAsia="宋体" w:cs="Times New Roman"/>
                <w:b/>
                <w:bCs/>
                <w:sz w:val="24"/>
                <w:szCs w:val="24"/>
              </w:rPr>
              <w:t>00</w:t>
            </w:r>
          </w:p>
        </w:tc>
        <w:tc>
          <w:tcPr>
            <w:tcW w:w="867" w:type="pct"/>
            <w:noWrap w:val="0"/>
            <w:vAlign w:val="center"/>
          </w:tcPr>
          <w:p w14:paraId="15215CF9">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sz w:val="24"/>
                <w:szCs w:val="24"/>
              </w:rPr>
            </w:pPr>
            <w:r>
              <w:rPr>
                <w:rFonts w:hint="eastAsia" w:cs="Times New Roman"/>
                <w:b/>
                <w:bCs/>
                <w:sz w:val="24"/>
                <w:szCs w:val="24"/>
                <w:lang w:val="en-US" w:eastAsia="zh-CN"/>
              </w:rPr>
              <w:t>1</w:t>
            </w:r>
            <w:r>
              <w:rPr>
                <w:rFonts w:hint="default" w:ascii="Times New Roman" w:hAnsi="Times New Roman" w:eastAsia="宋体" w:cs="Times New Roman"/>
                <w:b/>
                <w:bCs/>
                <w:sz w:val="24"/>
                <w:szCs w:val="24"/>
              </w:rPr>
              <w:t>4</w:t>
            </w:r>
            <w:r>
              <w:rPr>
                <w:rFonts w:hint="eastAsia" w:cs="Times New Roman"/>
                <w:b/>
                <w:bCs/>
                <w:sz w:val="24"/>
                <w:szCs w:val="24"/>
                <w:lang w:eastAsia="zh-CN"/>
              </w:rPr>
              <w:t>.</w:t>
            </w:r>
            <w:r>
              <w:rPr>
                <w:rFonts w:hint="eastAsia" w:cs="Times New Roman"/>
                <w:b/>
                <w:bCs/>
                <w:sz w:val="24"/>
                <w:szCs w:val="24"/>
                <w:lang w:val="en-US" w:eastAsia="zh-CN"/>
              </w:rPr>
              <w:t>9</w:t>
            </w:r>
          </w:p>
        </w:tc>
      </w:tr>
      <w:tr w14:paraId="475E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4" w:hRule="atLeast"/>
          <w:jc w:val="center"/>
        </w:trPr>
        <w:tc>
          <w:tcPr>
            <w:tcW w:w="579" w:type="pct"/>
            <w:vMerge w:val="restart"/>
            <w:noWrap w:val="0"/>
            <w:vAlign w:val="center"/>
          </w:tcPr>
          <w:p w14:paraId="71E2979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创新目标</w:t>
            </w:r>
          </w:p>
        </w:tc>
        <w:tc>
          <w:tcPr>
            <w:tcW w:w="2159" w:type="pct"/>
            <w:noWrap w:val="0"/>
            <w:vAlign w:val="center"/>
          </w:tcPr>
          <w:p w14:paraId="4E2C5F4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全社会研发经费支出占地区生产总值比重</w:t>
            </w:r>
          </w:p>
        </w:tc>
        <w:tc>
          <w:tcPr>
            <w:tcW w:w="566" w:type="pct"/>
            <w:noWrap w:val="0"/>
            <w:vAlign w:val="center"/>
          </w:tcPr>
          <w:p w14:paraId="726F8E2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r>
              <w:rPr>
                <w:rFonts w:hint="default" w:ascii="Times New Roman" w:hAnsi="Times New Roman" w:eastAsia="宋体" w:cs="Times New Roman"/>
                <w:kern w:val="0"/>
                <w:sz w:val="24"/>
                <w:szCs w:val="24"/>
                <w:lang w:bidi="ar"/>
              </w:rPr>
              <w:t>%</w:t>
            </w:r>
          </w:p>
        </w:tc>
        <w:tc>
          <w:tcPr>
            <w:tcW w:w="827" w:type="pct"/>
            <w:noWrap w:val="0"/>
            <w:vAlign w:val="center"/>
          </w:tcPr>
          <w:p w14:paraId="2E6B282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kern w:val="0"/>
                <w:sz w:val="24"/>
                <w:szCs w:val="24"/>
                <w:lang w:bidi="ar"/>
              </w:rPr>
            </w:pPr>
            <w:r>
              <w:rPr>
                <w:rFonts w:hint="default" w:ascii="Times New Roman" w:hAnsi="Times New Roman" w:eastAsia="宋体" w:cs="Times New Roman"/>
                <w:b/>
                <w:bCs/>
                <w:kern w:val="0"/>
                <w:sz w:val="24"/>
                <w:szCs w:val="24"/>
                <w:lang w:bidi="ar"/>
              </w:rPr>
              <w:t>2.3</w:t>
            </w:r>
          </w:p>
        </w:tc>
        <w:tc>
          <w:tcPr>
            <w:tcW w:w="867" w:type="pct"/>
            <w:noWrap w:val="0"/>
            <w:vAlign w:val="center"/>
          </w:tcPr>
          <w:p w14:paraId="546BFCC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w:t>
            </w:r>
          </w:p>
        </w:tc>
      </w:tr>
      <w:tr w14:paraId="553F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2" w:hRule="atLeast"/>
          <w:jc w:val="center"/>
        </w:trPr>
        <w:tc>
          <w:tcPr>
            <w:tcW w:w="579" w:type="pct"/>
            <w:vMerge w:val="continue"/>
            <w:noWrap w:val="0"/>
            <w:vAlign w:val="center"/>
          </w:tcPr>
          <w:p w14:paraId="316583C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p>
        </w:tc>
        <w:tc>
          <w:tcPr>
            <w:tcW w:w="2159" w:type="pct"/>
            <w:noWrap w:val="0"/>
            <w:vAlign w:val="center"/>
          </w:tcPr>
          <w:p w14:paraId="1FA2A6F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eastAsia" w:eastAsia="仿宋_GB2312" w:cs="Times New Roman"/>
                <w:spacing w:val="-15"/>
                <w:sz w:val="24"/>
                <w:lang w:val="en-US" w:eastAsia="zh-CN"/>
              </w:rPr>
              <w:t>省</w:t>
            </w:r>
            <w:r>
              <w:rPr>
                <w:rFonts w:hint="default" w:ascii="Times New Roman" w:hAnsi="Times New Roman" w:eastAsia="仿宋_GB2312" w:cs="Times New Roman"/>
                <w:spacing w:val="-15"/>
                <w:sz w:val="24"/>
              </w:rPr>
              <w:t>级</w:t>
            </w:r>
            <w:r>
              <w:rPr>
                <w:rFonts w:hint="eastAsia" w:eastAsia="仿宋_GB2312" w:cs="Times New Roman"/>
                <w:spacing w:val="-15"/>
                <w:sz w:val="24"/>
                <w:lang w:val="en-US" w:eastAsia="zh-CN"/>
              </w:rPr>
              <w:t>及以上制造业</w:t>
            </w:r>
            <w:r>
              <w:rPr>
                <w:rFonts w:hint="default" w:ascii="Times New Roman" w:hAnsi="Times New Roman" w:eastAsia="仿宋_GB2312" w:cs="Times New Roman"/>
                <w:spacing w:val="-15"/>
                <w:sz w:val="24"/>
              </w:rPr>
              <w:t>创新平台（基地）</w:t>
            </w:r>
          </w:p>
        </w:tc>
        <w:tc>
          <w:tcPr>
            <w:tcW w:w="566" w:type="pct"/>
            <w:noWrap w:val="0"/>
            <w:vAlign w:val="center"/>
          </w:tcPr>
          <w:p w14:paraId="42094CE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个</w:t>
            </w:r>
          </w:p>
        </w:tc>
        <w:tc>
          <w:tcPr>
            <w:tcW w:w="827" w:type="pct"/>
            <w:noWrap w:val="0"/>
            <w:vAlign w:val="center"/>
          </w:tcPr>
          <w:p w14:paraId="0BB6E6F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kern w:val="0"/>
                <w:sz w:val="24"/>
                <w:szCs w:val="24"/>
                <w:lang w:bidi="ar"/>
              </w:rPr>
            </w:pPr>
            <w:r>
              <w:rPr>
                <w:rFonts w:hint="eastAsia" w:cs="Times New Roman"/>
                <w:b/>
                <w:bCs/>
                <w:kern w:val="0"/>
                <w:sz w:val="24"/>
                <w:szCs w:val="24"/>
                <w:lang w:val="en-US" w:eastAsia="zh-CN" w:bidi="ar"/>
              </w:rPr>
              <w:t>1</w:t>
            </w:r>
            <w:r>
              <w:rPr>
                <w:rFonts w:hint="default" w:ascii="Times New Roman" w:hAnsi="Times New Roman" w:eastAsia="宋体" w:cs="Times New Roman"/>
                <w:b/>
                <w:bCs/>
                <w:kern w:val="0"/>
                <w:sz w:val="24"/>
                <w:szCs w:val="24"/>
                <w:lang w:bidi="ar"/>
              </w:rPr>
              <w:t>0</w:t>
            </w:r>
          </w:p>
        </w:tc>
        <w:tc>
          <w:tcPr>
            <w:tcW w:w="867" w:type="pct"/>
            <w:noWrap w:val="0"/>
            <w:vAlign w:val="center"/>
          </w:tcPr>
          <w:p w14:paraId="3B08243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w:t>
            </w:r>
          </w:p>
        </w:tc>
      </w:tr>
      <w:tr w14:paraId="6925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2" w:hRule="atLeast"/>
          <w:jc w:val="center"/>
        </w:trPr>
        <w:tc>
          <w:tcPr>
            <w:tcW w:w="579" w:type="pct"/>
            <w:vMerge w:val="restart"/>
            <w:noWrap w:val="0"/>
            <w:vAlign w:val="center"/>
          </w:tcPr>
          <w:p w14:paraId="1374935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bidi="ar"/>
              </w:rPr>
              <w:t>绿色目标</w:t>
            </w:r>
          </w:p>
        </w:tc>
        <w:tc>
          <w:tcPr>
            <w:tcW w:w="2159" w:type="pct"/>
            <w:noWrap w:val="0"/>
            <w:vAlign w:val="center"/>
          </w:tcPr>
          <w:p w14:paraId="419FCDF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国家、省级层面绿色工厂产值占规模以上制造业产值比重</w:t>
            </w:r>
          </w:p>
        </w:tc>
        <w:tc>
          <w:tcPr>
            <w:tcW w:w="566" w:type="pct"/>
            <w:noWrap w:val="0"/>
            <w:vAlign w:val="center"/>
          </w:tcPr>
          <w:p w14:paraId="1D7C2E1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宋体" w:cs="Times New Roman"/>
                <w:kern w:val="0"/>
                <w:sz w:val="24"/>
                <w:szCs w:val="24"/>
                <w:lang w:bidi="ar"/>
              </w:rPr>
              <w:t>%</w:t>
            </w:r>
          </w:p>
        </w:tc>
        <w:tc>
          <w:tcPr>
            <w:tcW w:w="827" w:type="pct"/>
            <w:noWrap w:val="0"/>
            <w:vAlign w:val="center"/>
          </w:tcPr>
          <w:p w14:paraId="5126F7F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宋体" w:cs="Times New Roman"/>
                <w:b/>
                <w:bCs/>
                <w:kern w:val="0"/>
                <w:sz w:val="24"/>
                <w:szCs w:val="24"/>
                <w:lang w:bidi="ar"/>
              </w:rPr>
              <w:t>30</w:t>
            </w:r>
          </w:p>
        </w:tc>
        <w:tc>
          <w:tcPr>
            <w:tcW w:w="867" w:type="pct"/>
            <w:noWrap w:val="0"/>
            <w:vAlign w:val="center"/>
          </w:tcPr>
          <w:p w14:paraId="49288A14">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sz w:val="24"/>
                <w:szCs w:val="24"/>
              </w:rPr>
              <w:t>—</w:t>
            </w:r>
          </w:p>
        </w:tc>
      </w:tr>
      <w:tr w14:paraId="59FF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579" w:type="pct"/>
            <w:vMerge w:val="continue"/>
            <w:noWrap w:val="0"/>
            <w:vAlign w:val="center"/>
          </w:tcPr>
          <w:p w14:paraId="421D492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p>
        </w:tc>
        <w:tc>
          <w:tcPr>
            <w:tcW w:w="2159" w:type="pct"/>
            <w:noWrap w:val="0"/>
            <w:vAlign w:val="center"/>
          </w:tcPr>
          <w:p w14:paraId="41BCDEB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kern w:val="0"/>
                <w:sz w:val="24"/>
                <w:szCs w:val="24"/>
                <w:lang w:bidi="ar"/>
              </w:rPr>
              <w:t>绿色工厂</w:t>
            </w:r>
            <w:r>
              <w:rPr>
                <w:rFonts w:hint="default" w:ascii="Times New Roman" w:hAnsi="Times New Roman" w:eastAsia="仿宋_GB2312" w:cs="Times New Roman"/>
                <w:kern w:val="0"/>
                <w:sz w:val="24"/>
                <w:szCs w:val="24"/>
                <w:lang w:eastAsia="zh-CN" w:bidi="ar"/>
              </w:rPr>
              <w:t>数量（</w:t>
            </w:r>
            <w:r>
              <w:rPr>
                <w:rFonts w:hint="default" w:ascii="Times New Roman" w:hAnsi="Times New Roman" w:eastAsia="仿宋_GB2312" w:cs="Times New Roman"/>
                <w:kern w:val="0"/>
                <w:sz w:val="24"/>
                <w:szCs w:val="24"/>
                <w:lang w:bidi="ar"/>
              </w:rPr>
              <w:t>省级及以上</w:t>
            </w:r>
            <w:r>
              <w:rPr>
                <w:rFonts w:hint="default" w:ascii="Times New Roman" w:hAnsi="Times New Roman" w:eastAsia="仿宋_GB2312" w:cs="Times New Roman"/>
                <w:kern w:val="0"/>
                <w:sz w:val="24"/>
                <w:szCs w:val="24"/>
                <w:lang w:eastAsia="zh-CN" w:bidi="ar"/>
              </w:rPr>
              <w:t>）</w:t>
            </w:r>
          </w:p>
        </w:tc>
        <w:tc>
          <w:tcPr>
            <w:tcW w:w="566" w:type="pct"/>
            <w:noWrap w:val="0"/>
            <w:vAlign w:val="center"/>
          </w:tcPr>
          <w:p w14:paraId="4828E33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bidi="ar"/>
              </w:rPr>
              <w:t>个</w:t>
            </w:r>
          </w:p>
        </w:tc>
        <w:tc>
          <w:tcPr>
            <w:tcW w:w="827" w:type="pct"/>
            <w:noWrap w:val="0"/>
            <w:vAlign w:val="center"/>
          </w:tcPr>
          <w:p w14:paraId="33DE195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90</w:t>
            </w:r>
          </w:p>
        </w:tc>
        <w:tc>
          <w:tcPr>
            <w:tcW w:w="867" w:type="pct"/>
            <w:noWrap w:val="0"/>
            <w:vAlign w:val="center"/>
          </w:tcPr>
          <w:p w14:paraId="6AC3C68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sz w:val="24"/>
                <w:szCs w:val="24"/>
              </w:rPr>
              <w:t>—</w:t>
            </w:r>
          </w:p>
        </w:tc>
      </w:tr>
      <w:tr w14:paraId="2A70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8" w:hRule="atLeast"/>
          <w:jc w:val="center"/>
        </w:trPr>
        <w:tc>
          <w:tcPr>
            <w:tcW w:w="579" w:type="pct"/>
            <w:vMerge w:val="continue"/>
            <w:noWrap w:val="0"/>
            <w:vAlign w:val="center"/>
          </w:tcPr>
          <w:p w14:paraId="1DD9D0D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p>
        </w:tc>
        <w:tc>
          <w:tcPr>
            <w:tcW w:w="2159" w:type="pct"/>
            <w:noWrap w:val="0"/>
            <w:vAlign w:val="center"/>
          </w:tcPr>
          <w:p w14:paraId="02868BC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规模以上工业单位增加值能耗下降</w:t>
            </w:r>
          </w:p>
        </w:tc>
        <w:tc>
          <w:tcPr>
            <w:tcW w:w="566" w:type="pct"/>
            <w:noWrap w:val="0"/>
            <w:vAlign w:val="center"/>
          </w:tcPr>
          <w:p w14:paraId="6DD88D8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w:t>
            </w:r>
          </w:p>
        </w:tc>
        <w:tc>
          <w:tcPr>
            <w:tcW w:w="827" w:type="pct"/>
            <w:noWrap w:val="0"/>
            <w:vAlign w:val="center"/>
          </w:tcPr>
          <w:p w14:paraId="5C05D17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sz w:val="22"/>
                <w:szCs w:val="22"/>
                <w:lang w:val="en-US" w:eastAsia="zh-CN"/>
              </w:rPr>
            </w:pPr>
            <w:r>
              <w:rPr>
                <w:rFonts w:hint="default" w:ascii="Times New Roman" w:hAnsi="Times New Roman" w:eastAsia="仿宋_GB2312" w:cs="Times New Roman"/>
                <w:b/>
                <w:bCs/>
                <w:sz w:val="22"/>
                <w:szCs w:val="22"/>
                <w:lang w:val="en-US" w:eastAsia="zh-CN"/>
              </w:rPr>
              <w:t>完成下达目标</w:t>
            </w:r>
          </w:p>
        </w:tc>
        <w:tc>
          <w:tcPr>
            <w:tcW w:w="867" w:type="pct"/>
            <w:noWrap w:val="0"/>
            <w:vAlign w:val="center"/>
          </w:tcPr>
          <w:p w14:paraId="34BF2A7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p>
        </w:tc>
      </w:tr>
      <w:tr w14:paraId="131F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8" w:hRule="atLeast"/>
          <w:jc w:val="center"/>
        </w:trPr>
        <w:tc>
          <w:tcPr>
            <w:tcW w:w="579" w:type="pct"/>
            <w:vMerge w:val="continue"/>
            <w:noWrap w:val="0"/>
            <w:vAlign w:val="center"/>
          </w:tcPr>
          <w:p w14:paraId="24394CD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p>
        </w:tc>
        <w:tc>
          <w:tcPr>
            <w:tcW w:w="2159" w:type="pct"/>
            <w:noWrap w:val="0"/>
            <w:vAlign w:val="center"/>
          </w:tcPr>
          <w:p w14:paraId="794E741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规模以上工业单位增加值二氧化碳排放降低</w:t>
            </w:r>
          </w:p>
        </w:tc>
        <w:tc>
          <w:tcPr>
            <w:tcW w:w="566" w:type="pct"/>
            <w:noWrap w:val="0"/>
            <w:vAlign w:val="center"/>
          </w:tcPr>
          <w:p w14:paraId="24DF0E4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kern w:val="0"/>
                <w:sz w:val="24"/>
                <w:szCs w:val="24"/>
                <w:lang w:val="en-US" w:eastAsia="zh-CN" w:bidi="ar"/>
              </w:rPr>
              <w:t>%</w:t>
            </w:r>
          </w:p>
        </w:tc>
        <w:tc>
          <w:tcPr>
            <w:tcW w:w="827" w:type="pct"/>
            <w:noWrap w:val="0"/>
            <w:vAlign w:val="center"/>
          </w:tcPr>
          <w:p w14:paraId="1218E8C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
                <w:bCs/>
                <w:sz w:val="22"/>
                <w:szCs w:val="22"/>
                <w:lang w:val="en-US" w:eastAsia="zh-CN"/>
              </w:rPr>
            </w:pPr>
            <w:r>
              <w:rPr>
                <w:rFonts w:hint="default" w:ascii="Times New Roman" w:hAnsi="Times New Roman" w:eastAsia="仿宋_GB2312" w:cs="Times New Roman"/>
                <w:b/>
                <w:bCs/>
                <w:sz w:val="22"/>
                <w:szCs w:val="22"/>
                <w:lang w:val="en-US" w:eastAsia="zh-CN"/>
              </w:rPr>
              <w:t>完成下达目标</w:t>
            </w:r>
          </w:p>
        </w:tc>
        <w:tc>
          <w:tcPr>
            <w:tcW w:w="867" w:type="pct"/>
            <w:noWrap w:val="0"/>
            <w:vAlign w:val="center"/>
          </w:tcPr>
          <w:p w14:paraId="6D0F87B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p>
        </w:tc>
      </w:tr>
      <w:tr w14:paraId="1290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8" w:hRule="atLeast"/>
          <w:jc w:val="center"/>
        </w:trPr>
        <w:tc>
          <w:tcPr>
            <w:tcW w:w="579" w:type="pct"/>
            <w:vMerge w:val="restart"/>
            <w:noWrap w:val="0"/>
            <w:vAlign w:val="center"/>
          </w:tcPr>
          <w:p w14:paraId="6D9D4C0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bidi="ar"/>
              </w:rPr>
              <w:t>市场主体目标</w:t>
            </w:r>
          </w:p>
        </w:tc>
        <w:tc>
          <w:tcPr>
            <w:tcW w:w="2159" w:type="pct"/>
            <w:noWrap w:val="0"/>
            <w:vAlign w:val="center"/>
          </w:tcPr>
          <w:p w14:paraId="286AEB3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规模以上高新技术企业数量</w:t>
            </w:r>
          </w:p>
        </w:tc>
        <w:tc>
          <w:tcPr>
            <w:tcW w:w="566" w:type="pct"/>
            <w:noWrap w:val="0"/>
            <w:vAlign w:val="center"/>
          </w:tcPr>
          <w:p w14:paraId="6D3F2EE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个</w:t>
            </w:r>
          </w:p>
        </w:tc>
        <w:tc>
          <w:tcPr>
            <w:tcW w:w="827" w:type="pct"/>
            <w:noWrap w:val="0"/>
            <w:vAlign w:val="center"/>
          </w:tcPr>
          <w:p w14:paraId="1D7D690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宋体" w:cs="Times New Roman"/>
                <w:b/>
                <w:bCs/>
                <w:kern w:val="0"/>
                <w:sz w:val="24"/>
                <w:szCs w:val="24"/>
                <w:lang w:bidi="ar"/>
              </w:rPr>
              <w:t>600</w:t>
            </w:r>
          </w:p>
        </w:tc>
        <w:tc>
          <w:tcPr>
            <w:tcW w:w="867" w:type="pct"/>
            <w:noWrap w:val="0"/>
            <w:vAlign w:val="center"/>
          </w:tcPr>
          <w:p w14:paraId="10E6F4D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02BD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579" w:type="pct"/>
            <w:vMerge w:val="continue"/>
            <w:noWrap w:val="0"/>
            <w:vAlign w:val="center"/>
          </w:tcPr>
          <w:p w14:paraId="433883F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sz w:val="24"/>
                <w:szCs w:val="24"/>
              </w:rPr>
            </w:pPr>
          </w:p>
        </w:tc>
        <w:tc>
          <w:tcPr>
            <w:tcW w:w="2159" w:type="pct"/>
            <w:noWrap w:val="0"/>
            <w:vAlign w:val="center"/>
          </w:tcPr>
          <w:p w14:paraId="5672E922">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专精特新中小企业累计数量</w:t>
            </w:r>
          </w:p>
        </w:tc>
        <w:tc>
          <w:tcPr>
            <w:tcW w:w="566" w:type="pct"/>
            <w:noWrap w:val="0"/>
            <w:vAlign w:val="center"/>
          </w:tcPr>
          <w:p w14:paraId="2F1A621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个</w:t>
            </w:r>
          </w:p>
        </w:tc>
        <w:tc>
          <w:tcPr>
            <w:tcW w:w="827" w:type="pct"/>
            <w:noWrap w:val="0"/>
            <w:vAlign w:val="center"/>
          </w:tcPr>
          <w:p w14:paraId="51AA3EA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eastAsia" w:cs="Times New Roman"/>
                <w:b/>
                <w:bCs/>
                <w:kern w:val="0"/>
                <w:sz w:val="24"/>
                <w:szCs w:val="24"/>
                <w:lang w:val="en-US" w:eastAsia="zh-CN" w:bidi="ar"/>
              </w:rPr>
              <w:t>750</w:t>
            </w:r>
          </w:p>
        </w:tc>
        <w:tc>
          <w:tcPr>
            <w:tcW w:w="867" w:type="pct"/>
            <w:noWrap w:val="0"/>
            <w:vAlign w:val="center"/>
          </w:tcPr>
          <w:p w14:paraId="0A6029E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6CB8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8" w:hRule="atLeast"/>
          <w:jc w:val="center"/>
        </w:trPr>
        <w:tc>
          <w:tcPr>
            <w:tcW w:w="579" w:type="pct"/>
            <w:vMerge w:val="continue"/>
            <w:noWrap w:val="0"/>
            <w:vAlign w:val="center"/>
          </w:tcPr>
          <w:p w14:paraId="766CC2E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sz w:val="24"/>
                <w:szCs w:val="24"/>
              </w:rPr>
            </w:pPr>
          </w:p>
        </w:tc>
        <w:tc>
          <w:tcPr>
            <w:tcW w:w="2159" w:type="pct"/>
            <w:noWrap w:val="0"/>
            <w:vAlign w:val="center"/>
          </w:tcPr>
          <w:p w14:paraId="2938303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专精特新</w:t>
            </w:r>
            <w:r>
              <w:rPr>
                <w:rFonts w:hint="default" w:ascii="Times New Roman" w:hAnsi="Times New Roman" w:eastAsia="仿宋_GB2312" w:cs="Times New Roman"/>
                <w:color w:val="auto"/>
                <w:sz w:val="24"/>
                <w:szCs w:val="24"/>
                <w:u w:val="none"/>
                <w:lang w:bidi="ar"/>
              </w:rPr>
              <w:t>“</w:t>
            </w:r>
            <w:r>
              <w:rPr>
                <w:rFonts w:hint="default" w:ascii="Times New Roman" w:hAnsi="Times New Roman" w:eastAsia="仿宋_GB2312" w:cs="Times New Roman"/>
                <w:kern w:val="0"/>
                <w:sz w:val="24"/>
                <w:szCs w:val="24"/>
                <w:lang w:bidi="ar"/>
              </w:rPr>
              <w:t>小巨人</w:t>
            </w:r>
            <w:r>
              <w:rPr>
                <w:rFonts w:hint="default" w:ascii="Times New Roman" w:hAnsi="Times New Roman" w:eastAsia="仿宋_GB2312" w:cs="Times New Roman"/>
                <w:color w:val="auto"/>
                <w:sz w:val="24"/>
                <w:szCs w:val="24"/>
                <w:u w:val="none"/>
                <w:lang w:bidi="ar"/>
              </w:rPr>
              <w:t>”</w:t>
            </w:r>
            <w:r>
              <w:rPr>
                <w:rFonts w:hint="default" w:ascii="Times New Roman" w:hAnsi="Times New Roman" w:eastAsia="仿宋_GB2312" w:cs="Times New Roman"/>
                <w:kern w:val="0"/>
                <w:sz w:val="24"/>
                <w:szCs w:val="24"/>
                <w:lang w:bidi="ar"/>
              </w:rPr>
              <w:t>企业累计数量</w:t>
            </w:r>
          </w:p>
        </w:tc>
        <w:tc>
          <w:tcPr>
            <w:tcW w:w="566" w:type="pct"/>
            <w:noWrap w:val="0"/>
            <w:vAlign w:val="center"/>
          </w:tcPr>
          <w:p w14:paraId="4C4D750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kern w:val="0"/>
                <w:sz w:val="24"/>
                <w:szCs w:val="24"/>
                <w:lang w:bidi="ar"/>
              </w:rPr>
              <w:t>个</w:t>
            </w:r>
          </w:p>
        </w:tc>
        <w:tc>
          <w:tcPr>
            <w:tcW w:w="827" w:type="pct"/>
            <w:noWrap w:val="0"/>
            <w:vAlign w:val="center"/>
          </w:tcPr>
          <w:p w14:paraId="3A1E21D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kern w:val="0"/>
                <w:sz w:val="24"/>
                <w:szCs w:val="24"/>
                <w:lang w:bidi="ar"/>
              </w:rPr>
            </w:pPr>
            <w:r>
              <w:rPr>
                <w:rFonts w:hint="default" w:ascii="Times New Roman" w:hAnsi="Times New Roman" w:eastAsia="宋体" w:cs="Times New Roman"/>
                <w:b/>
                <w:bCs/>
                <w:kern w:val="0"/>
                <w:sz w:val="24"/>
                <w:szCs w:val="24"/>
                <w:lang w:bidi="ar"/>
              </w:rPr>
              <w:t>2</w:t>
            </w:r>
            <w:r>
              <w:rPr>
                <w:rFonts w:hint="eastAsia" w:cs="Times New Roman"/>
                <w:b/>
                <w:bCs/>
                <w:kern w:val="0"/>
                <w:sz w:val="24"/>
                <w:szCs w:val="24"/>
                <w:lang w:val="en-US" w:eastAsia="zh-CN" w:bidi="ar"/>
              </w:rPr>
              <w:t>2</w:t>
            </w:r>
          </w:p>
        </w:tc>
        <w:tc>
          <w:tcPr>
            <w:tcW w:w="867" w:type="pct"/>
            <w:noWrap w:val="0"/>
            <w:vAlign w:val="center"/>
          </w:tcPr>
          <w:p w14:paraId="4EB96FE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sz w:val="24"/>
                <w:szCs w:val="24"/>
              </w:rPr>
              <w:t>—</w:t>
            </w:r>
          </w:p>
        </w:tc>
      </w:tr>
      <w:bookmarkEnd w:id="116"/>
      <w:bookmarkEnd w:id="117"/>
    </w:tbl>
    <w:p w14:paraId="577BE1E2">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118" w:name="_Toc30263"/>
      <w:bookmarkStart w:id="119" w:name="_Toc2869"/>
      <w:bookmarkStart w:id="120" w:name="_Toc19346"/>
      <w:bookmarkStart w:id="121" w:name="_Toc4809"/>
      <w:bookmarkStart w:id="122" w:name="_Toc29910"/>
      <w:bookmarkStart w:id="123" w:name="_Toc12428"/>
      <w:bookmarkStart w:id="124" w:name="_Toc8816"/>
      <w:bookmarkStart w:id="125" w:name="_Toc22535"/>
      <w:bookmarkStart w:id="126" w:name="_Toc1178512793"/>
      <w:bookmarkStart w:id="127" w:name="_Toc23286"/>
      <w:bookmarkStart w:id="128" w:name="_Toc129785498"/>
      <w:bookmarkStart w:id="129" w:name="_Toc18481"/>
      <w:bookmarkStart w:id="130" w:name="_Toc15741"/>
      <w:r>
        <w:rPr>
          <w:rFonts w:hint="default" w:ascii="Times New Roman" w:hAnsi="Times New Roman" w:eastAsia="楷体_GB2312" w:cs="Times New Roman"/>
          <w:b/>
          <w:bCs/>
          <w:kern w:val="2"/>
          <w:sz w:val="32"/>
          <w:szCs w:val="32"/>
          <w:lang w:val="en-US" w:eastAsia="zh-CN" w:bidi="ar-SA"/>
        </w:rPr>
        <w:t>第四节  发展布局</w:t>
      </w:r>
      <w:bookmarkEnd w:id="118"/>
      <w:bookmarkEnd w:id="119"/>
      <w:bookmarkEnd w:id="120"/>
      <w:bookmarkEnd w:id="121"/>
      <w:bookmarkEnd w:id="122"/>
      <w:bookmarkEnd w:id="123"/>
      <w:bookmarkEnd w:id="124"/>
      <w:bookmarkEnd w:id="125"/>
      <w:bookmarkEnd w:id="126"/>
      <w:bookmarkEnd w:id="127"/>
    </w:p>
    <w:p w14:paraId="1511EB8D">
      <w:pPr>
        <w:keepNext w:val="0"/>
        <w:keepLines w:val="0"/>
        <w:pageBreakBefore w:val="0"/>
        <w:widowControl w:val="0"/>
        <w:kinsoku/>
        <w:wordWrap/>
        <w:overflowPunct w:val="0"/>
        <w:topLinePunct w:val="0"/>
        <w:autoSpaceDE/>
        <w:autoSpaceDN/>
        <w:bidi w:val="0"/>
        <w:adjustRightInd w:val="0"/>
        <w:snapToGrid w:val="0"/>
        <w:spacing w:line="596" w:lineRule="exact"/>
        <w:ind w:firstLine="632" w:firstLineChars="200"/>
        <w:jc w:val="both"/>
        <w:textAlignment w:val="auto"/>
        <w:outlineLvl w:val="9"/>
        <w:rPr>
          <w:rFonts w:hint="eastAsia" w:ascii="仿宋_GB2312" w:hAnsi="仿宋_GB2312" w:eastAsia="仿宋_GB2312" w:cs="仿宋_GB2312"/>
          <w:kern w:val="2"/>
          <w:sz w:val="32"/>
          <w:szCs w:val="32"/>
          <w:lang w:val="en-US" w:eastAsia="zh-CN" w:bidi="ar"/>
        </w:rPr>
      </w:pPr>
      <w:bookmarkStart w:id="131" w:name="_Toc19116"/>
      <w:bookmarkStart w:id="132" w:name="_Toc18227"/>
      <w:bookmarkStart w:id="133" w:name="_Toc1451"/>
      <w:r>
        <w:rPr>
          <w:rFonts w:hint="eastAsia" w:ascii="仿宋_GB2312" w:hAnsi="仿宋_GB2312" w:eastAsia="仿宋_GB2312" w:cs="仿宋_GB2312"/>
          <w:kern w:val="2"/>
          <w:sz w:val="32"/>
          <w:szCs w:val="32"/>
          <w:lang w:val="en-US" w:eastAsia="zh-CN" w:bidi="ar-SA"/>
        </w:rPr>
        <w:t>结合现有产业基础和未来发展需求，持续优化产业空间布局</w:t>
      </w:r>
      <w:r>
        <w:rPr>
          <w:rFonts w:hint="eastAsia" w:ascii="仿宋_GB2312" w:hAnsi="仿宋_GB2312" w:eastAsia="仿宋_GB2312" w:cs="仿宋_GB2312"/>
          <w:kern w:val="2"/>
          <w:sz w:val="32"/>
          <w:szCs w:val="32"/>
          <w:lang w:val="en-US" w:eastAsia="zh-CN" w:bidi="ar"/>
        </w:rPr>
        <w:t>，强化产业园区“主战场”作用</w:t>
      </w:r>
      <w:r>
        <w:rPr>
          <w:rFonts w:hint="eastAsia" w:ascii="仿宋_GB2312" w:hAnsi="仿宋_GB2312" w:eastAsia="仿宋_GB2312" w:cs="仿宋_GB2312"/>
          <w:kern w:val="2"/>
          <w:sz w:val="32"/>
          <w:szCs w:val="32"/>
          <w:lang w:val="en-US" w:eastAsia="zh-CN" w:bidi="ar-SA"/>
        </w:rPr>
        <w:t>，促进产业集群发展，着力构建“三极引领、多园联动”的高新技术产业发展新格局</w:t>
      </w:r>
      <w:r>
        <w:rPr>
          <w:rFonts w:hint="eastAsia" w:ascii="仿宋_GB2312" w:hAnsi="仿宋_GB2312" w:eastAsia="仿宋_GB2312" w:cs="仿宋_GB2312"/>
          <w:kern w:val="2"/>
          <w:sz w:val="32"/>
          <w:szCs w:val="32"/>
          <w:lang w:val="en-US" w:eastAsia="zh-CN" w:bidi="ar"/>
        </w:rPr>
        <w:t>。</w:t>
      </w:r>
    </w:p>
    <w:p w14:paraId="22D1574E">
      <w:pPr>
        <w:keepNext w:val="0"/>
        <w:keepLines w:val="0"/>
        <w:pageBreakBefore w:val="0"/>
        <w:widowControl w:val="0"/>
        <w:kinsoku/>
        <w:wordWrap/>
        <w:overflowPunct w:val="0"/>
        <w:topLinePunct w:val="0"/>
        <w:autoSpaceDE/>
        <w:autoSpaceDN/>
        <w:bidi w:val="0"/>
        <w:adjustRightInd w:val="0"/>
        <w:snapToGrid w:val="0"/>
        <w:spacing w:line="596" w:lineRule="exact"/>
        <w:ind w:firstLine="948" w:firstLineChars="300"/>
        <w:jc w:val="both"/>
        <w:textAlignment w:val="auto"/>
        <w:rPr>
          <w:rFonts w:hint="eastAsia" w:ascii="仿宋_GB2312" w:hAnsi="仿宋_GB2312" w:eastAsia="仿宋_GB2312" w:cs="仿宋_GB2312"/>
          <w:kern w:val="2"/>
          <w:sz w:val="21"/>
          <w:szCs w:val="22"/>
          <w:lang w:val="en-US" w:eastAsia="zh-CN" w:bidi="ar-SA"/>
        </w:rPr>
      </w:pPr>
      <w:r>
        <w:rPr>
          <w:rFonts w:hint="eastAsia" w:ascii="仿宋_GB2312" w:hAnsi="仿宋_GB2312" w:eastAsia="仿宋_GB2312" w:cs="仿宋_GB2312"/>
          <w:b/>
          <w:bCs/>
          <w:sz w:val="32"/>
          <w:szCs w:val="32"/>
          <w:lang w:bidi="ar"/>
        </w:rPr>
        <w:t>“三极”引领。打造产业创新策源地与高端要素集聚区，</w:t>
      </w:r>
      <w:r>
        <w:rPr>
          <w:rFonts w:hint="eastAsia" w:ascii="仿宋_GB2312" w:hAnsi="仿宋_GB2312" w:eastAsia="仿宋_GB2312" w:cs="仿宋_GB2312"/>
          <w:sz w:val="32"/>
          <w:szCs w:val="32"/>
          <w:lang w:bidi="ar"/>
        </w:rPr>
        <w:t>以海口为核心，强化“链主牵引、多业融合”，辐射澄迈、文昌、定安、屯昌等海口经济圈市县，重点发展数字经济、现代生物医药、商业航天、新能源汽车、高端消费品加工、维修和再制造等产业，加快布局生物制造、</w:t>
      </w:r>
      <w:r>
        <w:rPr>
          <w:rFonts w:hint="eastAsia" w:ascii="仿宋_GB2312" w:hAnsi="仿宋_GB2312" w:eastAsia="仿宋_GB2312" w:cs="仿宋_GB2312"/>
          <w:sz w:val="32"/>
          <w:szCs w:val="32"/>
          <w:lang w:eastAsia="zh" w:bidi="ar"/>
        </w:rPr>
        <w:t>氢能、</w:t>
      </w:r>
      <w:r>
        <w:rPr>
          <w:rFonts w:hint="eastAsia" w:ascii="仿宋_GB2312" w:hAnsi="仿宋_GB2312" w:eastAsia="仿宋_GB2312" w:cs="仿宋_GB2312"/>
          <w:sz w:val="32"/>
          <w:szCs w:val="32"/>
          <w:lang w:bidi="ar"/>
        </w:rPr>
        <w:t>脑机接口、具身智能等未来产业。</w:t>
      </w:r>
      <w:r>
        <w:rPr>
          <w:rFonts w:hint="eastAsia" w:ascii="仿宋_GB2312" w:hAnsi="仿宋_GB2312" w:eastAsia="仿宋_GB2312" w:cs="仿宋_GB2312"/>
          <w:b/>
          <w:bCs/>
          <w:sz w:val="32"/>
          <w:szCs w:val="32"/>
          <w:lang w:bidi="ar"/>
        </w:rPr>
        <w:t>打造前沿技术转化高地与重大战略实施承载区，</w:t>
      </w:r>
      <w:r>
        <w:rPr>
          <w:rFonts w:hint="eastAsia" w:ascii="仿宋_GB2312" w:hAnsi="仿宋_GB2312" w:eastAsia="仿宋_GB2312" w:cs="仿宋_GB2312"/>
          <w:sz w:val="32"/>
          <w:szCs w:val="32"/>
          <w:lang w:bidi="ar"/>
        </w:rPr>
        <w:t>以三亚为核心，深化“陆海联动、创新强链”，辐射陵水、保亭、乐东、五指山等三亚经济圈市县，重点发展深海科技、南繁种业、数字经济、高端消费品加工、生物制造、</w:t>
      </w:r>
      <w:r>
        <w:rPr>
          <w:rFonts w:hint="eastAsia" w:ascii="仿宋_GB2312" w:hAnsi="仿宋_GB2312" w:eastAsia="仿宋_GB2312" w:cs="仿宋_GB2312"/>
          <w:sz w:val="32"/>
          <w:szCs w:val="32"/>
          <w:lang w:eastAsia="zh" w:bidi="ar"/>
        </w:rPr>
        <w:t>脑机接口、具</w:t>
      </w:r>
      <w:r>
        <w:rPr>
          <w:rFonts w:hint="eastAsia" w:ascii="仿宋_GB2312" w:hAnsi="仿宋_GB2312" w:eastAsia="仿宋_GB2312" w:cs="仿宋_GB2312"/>
          <w:sz w:val="32"/>
          <w:szCs w:val="32"/>
          <w:lang w:bidi="ar"/>
        </w:rPr>
        <w:t>身智能等产业。</w:t>
      </w:r>
      <w:r>
        <w:rPr>
          <w:rFonts w:hint="eastAsia" w:ascii="仿宋_GB2312" w:hAnsi="仿宋_GB2312" w:eastAsia="仿宋_GB2312" w:cs="仿宋_GB2312"/>
          <w:b/>
          <w:bCs/>
          <w:sz w:val="32"/>
          <w:szCs w:val="32"/>
          <w:lang w:bidi="ar"/>
        </w:rPr>
        <w:t>打造先进制造业基地与绿色低碳产业示范区，</w:t>
      </w:r>
      <w:r>
        <w:rPr>
          <w:rFonts w:hint="eastAsia" w:ascii="仿宋_GB2312" w:hAnsi="仿宋_GB2312" w:eastAsia="仿宋_GB2312" w:cs="仿宋_GB2312"/>
          <w:sz w:val="32"/>
          <w:szCs w:val="32"/>
          <w:lang w:bidi="ar"/>
        </w:rPr>
        <w:t>以儋洋为核心，强化“原料互供、链式协同”，辐射东方、昌江、临高等市县，重点发展石化新材料、深海</w:t>
      </w:r>
      <w:r>
        <w:rPr>
          <w:rFonts w:hint="eastAsia" w:ascii="仿宋_GB2312" w:hAnsi="仿宋_GB2312" w:eastAsia="仿宋_GB2312" w:cs="仿宋_GB2312"/>
          <w:sz w:val="32"/>
          <w:szCs w:val="32"/>
          <w:lang w:eastAsia="zh-CN" w:bidi="ar"/>
        </w:rPr>
        <w:t>科技</w:t>
      </w:r>
      <w:r>
        <w:rPr>
          <w:rFonts w:hint="eastAsia" w:ascii="仿宋_GB2312" w:hAnsi="仿宋_GB2312" w:eastAsia="仿宋_GB2312" w:cs="仿宋_GB2312"/>
          <w:sz w:val="32"/>
          <w:szCs w:val="32"/>
          <w:lang w:bidi="ar"/>
        </w:rPr>
        <w:t>、清洁能源、</w:t>
      </w:r>
      <w:r>
        <w:rPr>
          <w:rFonts w:hint="eastAsia" w:ascii="仿宋_GB2312" w:hAnsi="仿宋_GB2312" w:eastAsia="仿宋_GB2312" w:cs="仿宋_GB2312"/>
          <w:sz w:val="32"/>
          <w:szCs w:val="32"/>
          <w:lang w:val="en-US" w:eastAsia="zh-CN" w:bidi="ar"/>
        </w:rPr>
        <w:t>特色</w:t>
      </w:r>
      <w:r>
        <w:rPr>
          <w:rFonts w:hint="eastAsia" w:ascii="仿宋_GB2312" w:hAnsi="仿宋_GB2312" w:eastAsia="仿宋_GB2312" w:cs="仿宋_GB2312"/>
          <w:sz w:val="32"/>
          <w:szCs w:val="32"/>
          <w:lang w:bidi="ar"/>
        </w:rPr>
        <w:t>食品加工、氢能等产业。强化“三极”协同，驱动全省高新技术产业高质量发展。</w:t>
      </w:r>
    </w:p>
    <w:p w14:paraId="4A65C18D">
      <w:pPr>
        <w:keepNext w:val="0"/>
        <w:keepLines w:val="0"/>
        <w:pageBreakBefore w:val="0"/>
        <w:widowControl w:val="0"/>
        <w:kinsoku/>
        <w:wordWrap/>
        <w:overflowPunct w:val="0"/>
        <w:topLinePunct w:val="0"/>
        <w:autoSpaceDE/>
        <w:autoSpaceDN/>
        <w:bidi w:val="0"/>
        <w:adjustRightInd w:val="0"/>
        <w:snapToGrid w:val="0"/>
        <w:spacing w:beforeLines="0" w:afterLines="0" w:line="596" w:lineRule="exact"/>
        <w:ind w:firstLine="632" w:firstLineChars="200"/>
        <w:textAlignment w:val="auto"/>
        <w:rPr>
          <w:rFonts w:hint="eastAsia" w:ascii="仿宋_GB2312" w:hAnsi="仿宋_GB2312" w:eastAsia="仿宋_GB2312" w:cs="仿宋_GB2312"/>
          <w:sz w:val="32"/>
          <w:szCs w:val="24"/>
        </w:rPr>
      </w:pPr>
      <w:r>
        <w:rPr>
          <w:rFonts w:hint="eastAsia" w:ascii="仿宋_GB2312" w:hAnsi="仿宋_GB2312" w:eastAsia="仿宋_GB2312" w:cs="仿宋_GB2312"/>
          <w:b/>
          <w:bCs/>
          <w:sz w:val="32"/>
          <w:szCs w:val="24"/>
        </w:rPr>
        <w:t>“多园”联动。</w:t>
      </w:r>
      <w:r>
        <w:rPr>
          <w:rFonts w:hint="eastAsia" w:ascii="仿宋_GB2312" w:hAnsi="仿宋_GB2312" w:eastAsia="仿宋_GB2312" w:cs="仿宋_GB2312"/>
          <w:sz w:val="32"/>
          <w:szCs w:val="24"/>
        </w:rPr>
        <w:t>以重点产业园区为载体，加快产业集群梯度培育，强化园区功能衔接与产业协同，构建定位清晰、差异化布局的联动发展体系，促进资源要素高效配置，推动产业优势互补、集群共进。</w:t>
      </w:r>
    </w:p>
    <w:p w14:paraId="28097370">
      <w:pPr>
        <w:keepNext w:val="0"/>
        <w:keepLines w:val="0"/>
        <w:pageBreakBefore w:val="0"/>
        <w:widowControl w:val="0"/>
        <w:kinsoku/>
        <w:wordWrap/>
        <w:overflowPunct w:val="0"/>
        <w:topLinePunct w:val="0"/>
        <w:autoSpaceDE/>
        <w:autoSpaceDN/>
        <w:bidi w:val="0"/>
        <w:adjustRightInd w:val="0"/>
        <w:snapToGrid w:val="0"/>
        <w:spacing w:before="313" w:beforeLines="100" w:after="313" w:afterLines="100" w:line="596" w:lineRule="exact"/>
        <w:jc w:val="center"/>
        <w:textAlignment w:val="auto"/>
        <w:outlineLvl w:val="0"/>
        <w:rPr>
          <w:rFonts w:hint="default" w:ascii="Times New Roman" w:hAnsi="Times New Roman" w:eastAsia="方正小标宋简体" w:cs="Times New Roman"/>
          <w:sz w:val="36"/>
          <w:szCs w:val="36"/>
        </w:rPr>
      </w:pPr>
      <w:bookmarkStart w:id="134" w:name="_Toc14500"/>
      <w:bookmarkStart w:id="135" w:name="_Toc12782"/>
      <w:bookmarkStart w:id="136" w:name="_Toc1944"/>
      <w:bookmarkStart w:id="137" w:name="_Toc19258"/>
      <w:bookmarkStart w:id="138" w:name="_Toc67676203"/>
      <w:bookmarkStart w:id="139" w:name="_Toc8031"/>
      <w:bookmarkStart w:id="140" w:name="_Toc14269"/>
      <w:r>
        <w:rPr>
          <w:rFonts w:hint="default" w:ascii="Times New Roman" w:hAnsi="Times New Roman" w:eastAsia="方正小标宋简体" w:cs="Times New Roman"/>
          <w:sz w:val="36"/>
          <w:szCs w:val="36"/>
        </w:rPr>
        <w:t xml:space="preserve">第三章 </w:t>
      </w:r>
      <w:bookmarkEnd w:id="56"/>
      <w:bookmarkEnd w:id="128"/>
      <w:r>
        <w:rPr>
          <w:rFonts w:hint="default"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rPr>
        <w:t>重点领域</w:t>
      </w:r>
      <w:bookmarkEnd w:id="129"/>
      <w:bookmarkEnd w:id="130"/>
      <w:bookmarkEnd w:id="131"/>
      <w:bookmarkEnd w:id="132"/>
      <w:bookmarkEnd w:id="133"/>
      <w:bookmarkEnd w:id="134"/>
      <w:bookmarkEnd w:id="135"/>
      <w:bookmarkEnd w:id="136"/>
      <w:bookmarkEnd w:id="137"/>
      <w:bookmarkEnd w:id="138"/>
      <w:bookmarkEnd w:id="139"/>
      <w:bookmarkEnd w:id="140"/>
    </w:p>
    <w:p w14:paraId="30EF8FA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bookmarkStart w:id="141" w:name="_Toc120023876"/>
      <w:bookmarkStart w:id="142" w:name="_Toc129785499"/>
      <w:bookmarkStart w:id="143" w:name="_Toc3004"/>
      <w:bookmarkStart w:id="144" w:name="_Toc11908"/>
      <w:r>
        <w:rPr>
          <w:rFonts w:hint="eastAsia" w:ascii="仿宋_GB2312" w:hAnsi="仿宋_GB2312" w:eastAsia="仿宋_GB2312" w:cs="仿宋_GB2312"/>
          <w:sz w:val="32"/>
          <w:szCs w:val="32"/>
        </w:rPr>
        <w:t>坚持新发展理念，依托政策制度、资源禀赋和地理区位等优势，因地制宜打造数字经济、石化新材料</w:t>
      </w:r>
      <w:r>
        <w:rPr>
          <w:rFonts w:hint="eastAsia" w:ascii="仿宋_GB2312" w:hAnsi="仿宋_GB2312" w:eastAsia="仿宋_GB2312" w:cs="仿宋_GB2312"/>
          <w:sz w:val="32"/>
          <w:szCs w:val="32"/>
          <w:lang w:eastAsia="zh"/>
        </w:rPr>
        <w:t>、</w:t>
      </w:r>
      <w:r>
        <w:rPr>
          <w:rFonts w:hint="eastAsia" w:ascii="仿宋_GB2312" w:hAnsi="仿宋_GB2312" w:eastAsia="仿宋_GB2312" w:cs="仿宋_GB2312"/>
          <w:sz w:val="32"/>
          <w:szCs w:val="32"/>
        </w:rPr>
        <w:t>高端消费品</w:t>
      </w:r>
      <w:r>
        <w:rPr>
          <w:rFonts w:hint="eastAsia" w:ascii="仿宋_GB2312" w:hAnsi="仿宋_GB2312" w:eastAsia="仿宋_GB2312" w:cs="仿宋_GB2312"/>
          <w:sz w:val="32"/>
          <w:szCs w:val="32"/>
          <w:lang w:val="en-US" w:eastAsia="zh-CN"/>
        </w:rPr>
        <w:t>加工</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3大千亿级产业集群，壮大现代生物医药、商业航天、深海科技</w:t>
      </w:r>
      <w:r>
        <w:rPr>
          <w:rFonts w:hint="eastAsia" w:ascii="仿宋_GB2312" w:hAnsi="仿宋_GB2312" w:eastAsia="仿宋_GB2312" w:cs="仿宋_GB2312"/>
          <w:sz w:val="32"/>
          <w:szCs w:val="32"/>
          <w:lang w:eastAsia="zh"/>
        </w:rPr>
        <w:t>、</w:t>
      </w:r>
      <w:r>
        <w:rPr>
          <w:rFonts w:hint="eastAsia" w:ascii="仿宋_GB2312" w:hAnsi="仿宋_GB2312" w:eastAsia="仿宋_GB2312" w:cs="仿宋_GB2312"/>
          <w:sz w:val="32"/>
          <w:szCs w:val="32"/>
        </w:rPr>
        <w:t>节能环保等4个五百亿级产业集群，做优清洁能源、新能源汽车、维修和再制造、低空经济</w:t>
      </w:r>
      <w:r>
        <w:rPr>
          <w:rFonts w:hint="eastAsia" w:ascii="仿宋_GB2312" w:hAnsi="仿宋_GB2312" w:eastAsia="仿宋_GB2312" w:cs="仿宋_GB2312"/>
          <w:sz w:val="32"/>
          <w:szCs w:val="32"/>
          <w:lang w:eastAsia="zh"/>
        </w:rPr>
        <w:t>、</w:t>
      </w:r>
      <w:r>
        <w:rPr>
          <w:rFonts w:hint="eastAsia" w:ascii="仿宋_GB2312" w:hAnsi="仿宋_GB2312" w:eastAsia="仿宋_GB2312" w:cs="仿宋_GB2312"/>
          <w:sz w:val="32"/>
          <w:szCs w:val="32"/>
        </w:rPr>
        <w:t>南繁种业等5个百亿级产业集群，前瞻布局生物制造、氢能、脑机接口、具身智能等X个未来产业集群，培育发展新产业新动能，加快构建“345X”高新技术产业体系。</w:t>
      </w:r>
    </w:p>
    <w:bookmarkEnd w:id="141"/>
    <w:bookmarkEnd w:id="142"/>
    <w:p w14:paraId="5AD156EA">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145" w:name="_Toc19868"/>
      <w:bookmarkStart w:id="146" w:name="_Toc28498"/>
      <w:bookmarkStart w:id="147" w:name="_Toc29157"/>
      <w:bookmarkStart w:id="148" w:name="_Toc1475722538"/>
      <w:bookmarkStart w:id="149" w:name="_Toc13004"/>
      <w:bookmarkStart w:id="150" w:name="_Toc2830"/>
      <w:bookmarkStart w:id="151" w:name="_Toc30780"/>
      <w:bookmarkStart w:id="152" w:name="_Toc1422"/>
      <w:bookmarkStart w:id="153" w:name="_Toc27657"/>
      <w:r>
        <w:rPr>
          <w:rFonts w:hint="default" w:ascii="Times New Roman" w:hAnsi="Times New Roman" w:eastAsia="楷体_GB2312" w:cs="Times New Roman"/>
          <w:b/>
          <w:bCs/>
          <w:kern w:val="2"/>
          <w:sz w:val="32"/>
          <w:szCs w:val="32"/>
          <w:lang w:val="en-US" w:eastAsia="zh-CN" w:bidi="ar-SA"/>
        </w:rPr>
        <w:t>第一节  提质升级三大千亿级产业集群</w:t>
      </w:r>
      <w:bookmarkEnd w:id="143"/>
      <w:bookmarkEnd w:id="144"/>
      <w:bookmarkEnd w:id="145"/>
      <w:bookmarkEnd w:id="146"/>
      <w:bookmarkEnd w:id="147"/>
      <w:bookmarkEnd w:id="148"/>
      <w:bookmarkEnd w:id="149"/>
      <w:bookmarkEnd w:id="150"/>
      <w:bookmarkEnd w:id="151"/>
      <w:bookmarkEnd w:id="152"/>
      <w:bookmarkEnd w:id="153"/>
    </w:p>
    <w:p w14:paraId="3D2B459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154" w:name="_Toc21079"/>
      <w:bookmarkStart w:id="155" w:name="_Toc30920"/>
      <w:bookmarkStart w:id="156" w:name="_Toc6762"/>
      <w:bookmarkStart w:id="157" w:name="_Toc19286"/>
      <w:bookmarkStart w:id="158" w:name="_Toc9727"/>
      <w:bookmarkStart w:id="159" w:name="_Toc19146"/>
      <w:bookmarkStart w:id="160" w:name="_Toc17649"/>
      <w:bookmarkStart w:id="161" w:name="_Toc31868"/>
      <w:bookmarkStart w:id="162" w:name="_Toc1594680542"/>
      <w:bookmarkStart w:id="163" w:name="_Toc28292"/>
      <w:bookmarkStart w:id="164" w:name="_Toc25980"/>
      <w:bookmarkStart w:id="165" w:name="_Toc24694"/>
      <w:bookmarkStart w:id="166" w:name="OLE_LINK1"/>
      <w:r>
        <w:rPr>
          <w:rFonts w:hint="default" w:ascii="Times New Roman" w:hAnsi="Times New Roman" w:eastAsia="黑体" w:cs="Times New Roman"/>
          <w:b w:val="0"/>
          <w:bCs w:val="0"/>
          <w:sz w:val="32"/>
          <w:szCs w:val="32"/>
        </w:rPr>
        <w:t>一、数字经济</w:t>
      </w:r>
      <w:bookmarkEnd w:id="154"/>
      <w:bookmarkEnd w:id="155"/>
      <w:bookmarkEnd w:id="156"/>
      <w:bookmarkEnd w:id="157"/>
      <w:bookmarkEnd w:id="158"/>
      <w:bookmarkEnd w:id="159"/>
      <w:bookmarkEnd w:id="160"/>
      <w:bookmarkEnd w:id="161"/>
      <w:bookmarkEnd w:id="162"/>
      <w:bookmarkEnd w:id="163"/>
      <w:bookmarkEnd w:id="164"/>
      <w:bookmarkEnd w:id="165"/>
    </w:p>
    <w:p w14:paraId="496F466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96" w:lineRule="exact"/>
        <w:ind w:left="0" w:right="0" w:firstLine="632" w:firstLineChars="200"/>
        <w:jc w:val="both"/>
        <w:textAlignment w:val="auto"/>
        <w:outlineLvl w:val="9"/>
        <w:rPr>
          <w:rFonts w:hint="eastAsia" w:ascii="仿宋_GB2312" w:hAnsi="仿宋_GB2312" w:eastAsia="仿宋_GB2312" w:cs="仿宋_GB2312"/>
          <w:kern w:val="2"/>
          <w:sz w:val="32"/>
          <w:szCs w:val="32"/>
        </w:rPr>
      </w:pPr>
      <w:bookmarkStart w:id="167" w:name="_Toc1604"/>
      <w:bookmarkStart w:id="168" w:name="_Toc3184"/>
      <w:bookmarkStart w:id="169" w:name="_Toc21103"/>
      <w:bookmarkStart w:id="170" w:name="_Toc31773"/>
      <w:bookmarkStart w:id="171" w:name="_Toc15011"/>
      <w:bookmarkStart w:id="172" w:name="_Toc2337"/>
      <w:bookmarkStart w:id="173" w:name="_Toc5385"/>
      <w:r>
        <w:rPr>
          <w:rFonts w:hint="eastAsia" w:ascii="仿宋_GB2312" w:hAnsi="仿宋_GB2312" w:eastAsia="仿宋_GB2312" w:cs="仿宋_GB2312"/>
          <w:kern w:val="2"/>
          <w:sz w:val="32"/>
          <w:szCs w:val="32"/>
          <w:lang w:val="en-US" w:eastAsia="zh-CN" w:bidi="ar"/>
        </w:rPr>
        <w:t>积极探索人工智能时代数字经济新业态新模式，叠加海南自由贸易港政策优势，推动产业发展向创新驱动和应用场景驱动转型升级。按照“优结构、增规模、扩赛道”总体思路，构建以先进封装为重点的电子信息制造产业集群，以数字技术应用、数据要素驱动为重点的信息软件和互联网相关服务业，以海南自由贸易港数据安全有序流动制度为基础，融合AI技术的行业垂类模型研发、大模型出海、AIGC</w:t>
      </w:r>
      <w:r>
        <w:rPr>
          <w:rFonts w:hint="eastAsia" w:ascii="仿宋_GB2312" w:hAnsi="仿宋_GB2312" w:eastAsia="仿宋_GB2312" w:cs="仿宋_GB2312"/>
          <w:kern w:val="2"/>
          <w:sz w:val="32"/>
          <w:szCs w:val="32"/>
          <w:lang w:eastAsia="zh-CN" w:bidi="ar"/>
        </w:rPr>
        <w:t>（人工智能生成内容）</w:t>
      </w:r>
      <w:r>
        <w:rPr>
          <w:rFonts w:hint="eastAsia" w:ascii="仿宋_GB2312" w:hAnsi="仿宋_GB2312" w:eastAsia="仿宋_GB2312" w:cs="仿宋_GB2312"/>
          <w:kern w:val="2"/>
          <w:sz w:val="32"/>
          <w:szCs w:val="32"/>
          <w:lang w:val="en-US" w:eastAsia="zh-CN" w:bidi="ar"/>
        </w:rPr>
        <w:t>、OPC（一人公司）创新等新兴业态。到2030年，数字经济核心产业营收力争突破4000亿元。</w:t>
      </w:r>
    </w:p>
    <w:p w14:paraId="597BDED6">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96" w:lineRule="exact"/>
        <w:ind w:left="0" w:right="0" w:firstLine="632" w:firstLineChars="200"/>
        <w:jc w:val="both"/>
        <w:textAlignment w:val="auto"/>
        <w:outlineLvl w:val="9"/>
        <w:rPr>
          <w:rFonts w:hint="eastAsia" w:ascii="仿宋_GB2312" w:hAnsi="仿宋_GB2312" w:eastAsia="仿宋_GB2312" w:cs="仿宋_GB2312"/>
          <w:b w:val="0"/>
          <w:bCs/>
          <w:kern w:val="2"/>
          <w:sz w:val="32"/>
          <w:szCs w:val="32"/>
        </w:rPr>
      </w:pPr>
      <w:r>
        <w:rPr>
          <w:rFonts w:hint="eastAsia" w:ascii="仿宋_GB2312" w:hAnsi="仿宋_GB2312" w:eastAsia="仿宋_GB2312" w:cs="仿宋_GB2312"/>
          <w:b/>
          <w:bCs w:val="0"/>
          <w:kern w:val="2"/>
          <w:sz w:val="32"/>
          <w:szCs w:val="32"/>
          <w:lang w:val="en-US" w:eastAsia="zh-CN" w:bidi="ar"/>
        </w:rPr>
        <w:t>电子信息制造业。</w:t>
      </w:r>
      <w:r>
        <w:rPr>
          <w:rFonts w:hint="eastAsia" w:ascii="仿宋_GB2312" w:hAnsi="仿宋_GB2312" w:eastAsia="仿宋_GB2312" w:cs="仿宋_GB2312"/>
          <w:bCs/>
          <w:kern w:val="2"/>
          <w:sz w:val="32"/>
          <w:szCs w:val="32"/>
          <w:lang w:val="en-US" w:eastAsia="zh-CN" w:bidi="ar"/>
        </w:rPr>
        <w:t>加快构建“芯片设计带动、先进封测突破、维修制造延伸”协同发展的电子信息制造产业生态。</w:t>
      </w:r>
      <w:r>
        <w:rPr>
          <w:rFonts w:hint="eastAsia" w:ascii="仿宋_GB2312" w:hAnsi="仿宋_GB2312" w:eastAsia="仿宋_GB2312" w:cs="仿宋_GB2312"/>
          <w:b w:val="0"/>
          <w:bCs/>
          <w:kern w:val="2"/>
          <w:sz w:val="32"/>
          <w:szCs w:val="32"/>
          <w:lang w:val="en-US" w:eastAsia="zh-CN" w:bidi="ar"/>
        </w:rPr>
        <w:t>上游夯实集成电路设计，招引高端显示、智能传感、智能算力等领域芯片设计企业，衔接本地封测产能，谋划建设集成电路设计公共服务平台，提升EDA工具、IP设计、AI辅助等基础服务能力。中游做强先进封装测试，</w:t>
      </w:r>
      <w:r>
        <w:rPr>
          <w:rFonts w:hint="eastAsia" w:ascii="仿宋_GB2312" w:hAnsi="仿宋_GB2312" w:eastAsia="仿宋_GB2312" w:cs="仿宋_GB2312"/>
          <w:bCs/>
          <w:kern w:val="2"/>
          <w:sz w:val="32"/>
          <w:szCs w:val="32"/>
          <w:lang w:val="en-US" w:eastAsia="zh-CN" w:bidi="ar"/>
        </w:rPr>
        <w:t>扩大半导体器件与功率模组制造产能，发展智能功率模块、高端传感器等高附加值产品。</w:t>
      </w:r>
      <w:r>
        <w:rPr>
          <w:rFonts w:hint="eastAsia" w:ascii="仿宋_GB2312" w:hAnsi="仿宋_GB2312" w:eastAsia="仿宋_GB2312" w:cs="仿宋_GB2312"/>
          <w:b w:val="0"/>
          <w:bCs/>
          <w:kern w:val="2"/>
          <w:sz w:val="32"/>
          <w:szCs w:val="32"/>
          <w:lang w:val="en-US" w:eastAsia="zh-CN" w:bidi="ar"/>
        </w:rPr>
        <w:t>支持企业积极应</w:t>
      </w:r>
      <w:r>
        <w:rPr>
          <w:rFonts w:hint="eastAsia" w:ascii="仿宋_GB2312" w:hAnsi="仿宋_GB2312" w:eastAsia="仿宋_GB2312" w:cs="仿宋_GB2312"/>
          <w:bCs/>
          <w:kern w:val="2"/>
          <w:sz w:val="32"/>
          <w:szCs w:val="32"/>
          <w:lang w:val="en-US" w:eastAsia="zh-CN" w:bidi="ar"/>
        </w:rPr>
        <w:t>用2.5D/3D、晶圆级</w:t>
      </w:r>
      <w:r>
        <w:rPr>
          <w:rFonts w:hint="eastAsia" w:ascii="仿宋_GB2312" w:hAnsi="仿宋_GB2312" w:eastAsia="仿宋_GB2312" w:cs="仿宋_GB2312"/>
          <w:b w:val="0"/>
          <w:bCs/>
          <w:kern w:val="2"/>
          <w:sz w:val="32"/>
          <w:szCs w:val="32"/>
          <w:lang w:val="en-US" w:eastAsia="zh-CN" w:bidi="ar"/>
        </w:rPr>
        <w:t>、系统级等先进封装技术</w:t>
      </w:r>
      <w:r>
        <w:rPr>
          <w:rFonts w:hint="eastAsia" w:ascii="仿宋_GB2312" w:hAnsi="仿宋_GB2312" w:eastAsia="仿宋_GB2312" w:cs="仿宋_GB2312"/>
          <w:bCs/>
          <w:kern w:val="2"/>
          <w:sz w:val="32"/>
          <w:szCs w:val="32"/>
          <w:lang w:val="en-US" w:eastAsia="zh-CN" w:bidi="ar"/>
        </w:rPr>
        <w:t>，引进封装测试设备制造企业和第三方检测机构，提升本地化封装、测试、验证能力，匹配上游芯片设计和下游终端制造。以市场需求为驱动，积极布局第三代半导体，深化碳化硅、氮化镓、磷化铟等半导体材料的研究应用，谋划开拓高速存储、光通信、AI运算等领域封测新赛道。</w:t>
      </w:r>
      <w:r>
        <w:rPr>
          <w:rFonts w:hint="eastAsia" w:ascii="仿宋_GB2312" w:hAnsi="仿宋_GB2312" w:eastAsia="仿宋_GB2312" w:cs="仿宋_GB2312"/>
          <w:b w:val="0"/>
          <w:bCs/>
          <w:kern w:val="2"/>
          <w:sz w:val="32"/>
          <w:szCs w:val="32"/>
          <w:lang w:val="en-US" w:eastAsia="zh-CN" w:bidi="ar"/>
        </w:rPr>
        <w:t>下游拓展产品维修制造，着力保障高性能服务器、信创整机、显示终端、数字能源等制造产线达产扩产，支持企业开展智能化、柔性化升级改造，逐步形成本地化产能协同。依托</w:t>
      </w:r>
      <w:r>
        <w:rPr>
          <w:rFonts w:hint="eastAsia" w:ascii="仿宋_GB2312" w:hAnsi="仿宋_GB2312" w:eastAsia="仿宋_GB2312" w:cs="仿宋_GB2312"/>
          <w:b w:val="0"/>
          <w:bCs/>
          <w:kern w:val="2"/>
          <w:sz w:val="32"/>
          <w:szCs w:val="32"/>
          <w:lang w:val="en-US" w:eastAsia="zh" w:bidi="ar"/>
        </w:rPr>
        <w:t>海南</w:t>
      </w:r>
      <w:r>
        <w:rPr>
          <w:rFonts w:hint="eastAsia" w:ascii="仿宋_GB2312" w:hAnsi="仿宋_GB2312" w:eastAsia="仿宋_GB2312" w:cs="仿宋_GB2312"/>
          <w:b w:val="0"/>
          <w:bCs/>
          <w:kern w:val="2"/>
          <w:sz w:val="32"/>
          <w:szCs w:val="32"/>
          <w:lang w:val="en-US" w:eastAsia="zh-CN" w:bidi="ar"/>
        </w:rPr>
        <w:t>自由贸易港开放政策优势，面向国际市场拓展半导体装备、存储产品、手机终端等维修、检测、再制造业态。</w:t>
      </w:r>
    </w:p>
    <w:p w14:paraId="62D4A06B">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96" w:lineRule="exact"/>
        <w:ind w:left="0" w:right="0" w:firstLine="632" w:firstLineChars="200"/>
        <w:jc w:val="both"/>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b/>
          <w:bCs w:val="0"/>
          <w:kern w:val="2"/>
          <w:sz w:val="32"/>
          <w:szCs w:val="32"/>
          <w:lang w:val="en-US" w:eastAsia="zh-CN" w:bidi="ar"/>
        </w:rPr>
        <w:t>信息软件和互联网相关服务业。</w:t>
      </w:r>
      <w:r>
        <w:rPr>
          <w:rFonts w:hint="eastAsia" w:ascii="仿宋_GB2312" w:hAnsi="仿宋_GB2312" w:eastAsia="仿宋_GB2312" w:cs="仿宋_GB2312"/>
          <w:i w:val="0"/>
          <w:iCs w:val="0"/>
          <w:caps w:val="0"/>
          <w:spacing w:val="0"/>
          <w:kern w:val="2"/>
          <w:sz w:val="32"/>
          <w:szCs w:val="32"/>
          <w:lang w:val="en-US" w:eastAsia="zh-CN" w:bidi="ar"/>
        </w:rPr>
        <w:t>立足</w:t>
      </w:r>
      <w:r>
        <w:rPr>
          <w:rFonts w:hint="eastAsia" w:ascii="仿宋_GB2312" w:hAnsi="仿宋_GB2312" w:eastAsia="仿宋_GB2312" w:cs="仿宋_GB2312"/>
          <w:i w:val="0"/>
          <w:iCs w:val="0"/>
          <w:caps w:val="0"/>
          <w:spacing w:val="0"/>
          <w:kern w:val="2"/>
          <w:sz w:val="32"/>
          <w:szCs w:val="32"/>
          <w:lang w:val="en-US" w:eastAsia="zh" w:bidi="ar"/>
        </w:rPr>
        <w:t>海南</w:t>
      </w:r>
      <w:r>
        <w:rPr>
          <w:rFonts w:hint="eastAsia" w:ascii="仿宋_GB2312" w:hAnsi="仿宋_GB2312" w:eastAsia="仿宋_GB2312" w:cs="仿宋_GB2312"/>
          <w:i w:val="0"/>
          <w:iCs w:val="0"/>
          <w:caps w:val="0"/>
          <w:spacing w:val="0"/>
          <w:kern w:val="2"/>
          <w:sz w:val="32"/>
          <w:szCs w:val="32"/>
          <w:lang w:val="en-US" w:eastAsia="zh-CN" w:bidi="ar"/>
        </w:rPr>
        <w:t>自由贸易港制度创新与基础设施优势，以</w:t>
      </w:r>
      <w:r>
        <w:rPr>
          <w:rFonts w:hint="eastAsia" w:ascii="仿宋_GB2312" w:hAnsi="仿宋_GB2312" w:eastAsia="仿宋_GB2312" w:cs="仿宋_GB2312"/>
          <w:kern w:val="2"/>
          <w:sz w:val="32"/>
          <w:szCs w:val="32"/>
          <w:lang w:val="en-US" w:eastAsia="zh-CN" w:bidi="ar"/>
        </w:rPr>
        <w:t>数字技术</w:t>
      </w:r>
      <w:r>
        <w:rPr>
          <w:rFonts w:hint="eastAsia" w:ascii="仿宋_GB2312" w:hAnsi="仿宋_GB2312" w:eastAsia="仿宋_GB2312" w:cs="仿宋_GB2312"/>
          <w:i w:val="0"/>
          <w:iCs w:val="0"/>
          <w:caps w:val="0"/>
          <w:spacing w:val="0"/>
          <w:kern w:val="2"/>
          <w:sz w:val="32"/>
          <w:szCs w:val="32"/>
          <w:lang w:val="en-US" w:eastAsia="zh-CN" w:bidi="ar"/>
        </w:rPr>
        <w:t>和数据要素为核心驱动</w:t>
      </w:r>
      <w:r>
        <w:rPr>
          <w:rFonts w:hint="eastAsia" w:ascii="仿宋_GB2312" w:hAnsi="仿宋_GB2312" w:eastAsia="仿宋_GB2312" w:cs="仿宋_GB2312"/>
          <w:kern w:val="2"/>
          <w:sz w:val="32"/>
          <w:szCs w:val="32"/>
          <w:lang w:val="en-US" w:eastAsia="zh-CN" w:bidi="ar"/>
        </w:rPr>
        <w:t>，壮大信息软件和互联网相关服务业。</w:t>
      </w:r>
      <w:r>
        <w:rPr>
          <w:rFonts w:hint="eastAsia" w:ascii="仿宋_GB2312" w:hAnsi="仿宋_GB2312" w:eastAsia="仿宋_GB2312" w:cs="仿宋_GB2312"/>
          <w:b w:val="0"/>
          <w:bCs w:val="0"/>
          <w:kern w:val="2"/>
          <w:sz w:val="32"/>
          <w:szCs w:val="32"/>
          <w:lang w:val="en-US" w:eastAsia="zh-CN" w:bidi="ar"/>
        </w:rPr>
        <w:t>做优软件信息技术服务业，联合市县园区建立联网直报企业“一对一”服务机制，支持企业围绕“五向图强”战略部署做大在琼业务规模，同步培育本地化软件企业，支撑商业航天、低空经济、海洋监测勘探、科研育种、热带农业、文旅康养、数据要素开发等海南特色场景数字化应用和AI垂类模型研发。做大互联网相关服务业，繁荣互联网内容服务产业，吸引全球优质游戏企业集聚，大力发展网络游戏、动漫等产业，激发电竞消费潜力。高质量发展互联网平台经济，支持国内外企业在琼设立区域性及功能性总部。做强数字广告业，全面落实海南自由贸易港文化事业建设费免征政策，引导互联网平台企业扩大在琼广告服务业务规模。创新信息传输业，提升信息传输服务</w:t>
      </w:r>
      <w:r>
        <w:rPr>
          <w:rFonts w:hint="eastAsia" w:ascii="仿宋_GB2312" w:hAnsi="仿宋_GB2312" w:eastAsia="仿宋_GB2312" w:cs="仿宋_GB2312"/>
          <w:kern w:val="2"/>
          <w:sz w:val="32"/>
          <w:szCs w:val="32"/>
          <w:lang w:val="en-US" w:eastAsia="zh-CN" w:bidi="ar"/>
        </w:rPr>
        <w:t>业能级，做大国际通信业务，探索建设面向东南亚国家的大模型服务中心。</w:t>
      </w:r>
    </w:p>
    <w:p w14:paraId="1EA79E68">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96" w:lineRule="exact"/>
        <w:ind w:left="0" w:right="0" w:firstLine="632" w:firstLineChars="200"/>
        <w:jc w:val="both"/>
        <w:textAlignment w:val="auto"/>
        <w:outlineLvl w:val="9"/>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
          <w:bCs w:val="0"/>
          <w:kern w:val="2"/>
          <w:sz w:val="32"/>
          <w:szCs w:val="32"/>
          <w:lang w:val="en-US" w:eastAsia="zh-CN" w:bidi="ar"/>
        </w:rPr>
        <w:t>数据跨境与人工智能融合产业。</w:t>
      </w:r>
      <w:r>
        <w:rPr>
          <w:rFonts w:hint="eastAsia" w:ascii="仿宋_GB2312" w:hAnsi="仿宋_GB2312" w:eastAsia="仿宋_GB2312" w:cs="仿宋_GB2312"/>
          <w:b w:val="0"/>
          <w:bCs/>
          <w:kern w:val="2"/>
          <w:sz w:val="32"/>
          <w:szCs w:val="32"/>
          <w:lang w:val="en-US" w:eastAsia="zh-CN" w:bidi="ar"/>
        </w:rPr>
        <w:t>充分发挥数据安全有序流动制度优势，建设国际海底光缆、国际通信业务出入口局等跨境数据基础设施，发展具有独特应用场景的数据跨境与人工智能融合产业，支持基于人工智能的OPC社区建设运营，创新赋能新兴业态。</w:t>
      </w:r>
      <w:r>
        <w:rPr>
          <w:rFonts w:hint="eastAsia" w:ascii="仿宋_GB2312" w:hAnsi="仿宋_GB2312" w:eastAsia="仿宋_GB2312" w:cs="仿宋_GB2312"/>
          <w:b w:val="0"/>
          <w:bCs/>
          <w:i w:val="0"/>
          <w:iCs w:val="0"/>
          <w:caps w:val="0"/>
          <w:spacing w:val="0"/>
          <w:kern w:val="2"/>
          <w:sz w:val="32"/>
          <w:szCs w:val="32"/>
          <w:lang w:val="en-US" w:eastAsia="zh-CN" w:bidi="ar"/>
        </w:rPr>
        <w:t>加速数字内容出海，以游戏出海为切入口，</w:t>
      </w:r>
      <w:r>
        <w:rPr>
          <w:rFonts w:hint="eastAsia" w:ascii="仿宋_GB2312" w:hAnsi="仿宋_GB2312" w:eastAsia="仿宋_GB2312" w:cs="仿宋_GB2312"/>
          <w:b w:val="0"/>
          <w:bCs/>
          <w:kern w:val="2"/>
          <w:sz w:val="32"/>
          <w:szCs w:val="32"/>
          <w:lang w:val="en-US" w:eastAsia="zh-CN" w:bidi="ar"/>
        </w:rPr>
        <w:t>推动“AIGC+数字内容”融合创新，</w:t>
      </w:r>
      <w:r>
        <w:rPr>
          <w:rFonts w:hint="eastAsia" w:ascii="仿宋_GB2312" w:hAnsi="仿宋_GB2312" w:eastAsia="仿宋_GB2312" w:cs="仿宋_GB2312"/>
          <w:b w:val="0"/>
          <w:bCs/>
          <w:i w:val="0"/>
          <w:iCs w:val="0"/>
          <w:caps w:val="0"/>
          <w:spacing w:val="0"/>
          <w:kern w:val="2"/>
          <w:sz w:val="32"/>
          <w:szCs w:val="32"/>
          <w:lang w:val="en-US" w:eastAsia="zh-CN" w:bidi="ar"/>
        </w:rPr>
        <w:t>引育内容创作、版本迭代、活动运营、市场投放等全链条服务商，利用人工智能生成技术推动游戏、动漫、短剧等精品化、国际化。着力发展来数加工，支</w:t>
      </w:r>
      <w:r>
        <w:rPr>
          <w:rFonts w:hint="eastAsia" w:ascii="仿宋_GB2312" w:hAnsi="仿宋_GB2312" w:eastAsia="仿宋_GB2312" w:cs="仿宋_GB2312"/>
          <w:bCs/>
          <w:i w:val="0"/>
          <w:iCs w:val="0"/>
          <w:caps w:val="0"/>
          <w:spacing w:val="0"/>
          <w:kern w:val="2"/>
          <w:sz w:val="32"/>
          <w:szCs w:val="32"/>
          <w:lang w:val="en-US" w:eastAsia="zh-CN" w:bidi="ar"/>
        </w:rPr>
        <w:t>持建设特色数字加工贸易区，推广AI辅助标注、超级智能体等技术，提升跨境数据加工效率。面向海外人工智能场景需求，充分依托</w:t>
      </w:r>
      <w:r>
        <w:rPr>
          <w:rFonts w:hint="eastAsia" w:ascii="仿宋_GB2312" w:hAnsi="仿宋_GB2312" w:eastAsia="仿宋_GB2312" w:cs="仿宋_GB2312"/>
          <w:bCs/>
          <w:i w:val="0"/>
          <w:iCs w:val="0"/>
          <w:caps w:val="0"/>
          <w:spacing w:val="0"/>
          <w:kern w:val="2"/>
          <w:sz w:val="32"/>
          <w:szCs w:val="32"/>
          <w:lang w:val="en-US" w:eastAsia="zh" w:bidi="ar"/>
        </w:rPr>
        <w:t>海南</w:t>
      </w:r>
      <w:r>
        <w:rPr>
          <w:rFonts w:hint="eastAsia" w:ascii="仿宋_GB2312" w:hAnsi="仿宋_GB2312" w:eastAsia="仿宋_GB2312" w:cs="仿宋_GB2312"/>
          <w:bCs/>
          <w:i w:val="0"/>
          <w:iCs w:val="0"/>
          <w:caps w:val="0"/>
          <w:spacing w:val="0"/>
          <w:kern w:val="2"/>
          <w:sz w:val="32"/>
          <w:szCs w:val="32"/>
          <w:lang w:val="en-US" w:eastAsia="zh-CN" w:bidi="ar"/>
        </w:rPr>
        <w:t>自由贸易港高效便捷安全的数据跨境机制，支持企业拓展主</w:t>
      </w:r>
      <w:r>
        <w:rPr>
          <w:rFonts w:hint="eastAsia" w:ascii="仿宋_GB2312" w:hAnsi="仿宋_GB2312" w:eastAsia="仿宋_GB2312" w:cs="仿宋_GB2312"/>
          <w:b w:val="0"/>
          <w:bCs/>
          <w:i w:val="0"/>
          <w:iCs w:val="0"/>
          <w:caps w:val="0"/>
          <w:spacing w:val="0"/>
          <w:kern w:val="2"/>
          <w:sz w:val="32"/>
          <w:szCs w:val="32"/>
          <w:lang w:val="en-US" w:eastAsia="zh-CN" w:bidi="ar"/>
        </w:rPr>
        <w:t>权大模型研发应用、AI算法训练、垂类高质量数据集建设等业务。拓展行业数据跨境应用，建设汽车行业数据可信空间，推动智能网联汽车数据跨境服务落地；支持文昌国际航天城依托</w:t>
      </w:r>
      <w:r>
        <w:rPr>
          <w:rFonts w:hint="eastAsia" w:ascii="仿宋_GB2312" w:hAnsi="仿宋_GB2312" w:eastAsia="仿宋_GB2312" w:cs="仿宋_GB2312"/>
          <w:b w:val="0"/>
          <w:bCs/>
          <w:i w:val="0"/>
          <w:iCs w:val="0"/>
          <w:caps w:val="0"/>
          <w:spacing w:val="0"/>
          <w:kern w:val="2"/>
          <w:sz w:val="32"/>
          <w:szCs w:val="32"/>
          <w:lang w:val="en-US" w:eastAsia="zh" w:bidi="ar"/>
        </w:rPr>
        <w:t>海南</w:t>
      </w:r>
      <w:r>
        <w:rPr>
          <w:rFonts w:hint="eastAsia" w:ascii="仿宋_GB2312" w:hAnsi="仿宋_GB2312" w:eastAsia="仿宋_GB2312" w:cs="仿宋_GB2312"/>
          <w:b w:val="0"/>
          <w:bCs/>
          <w:i w:val="0"/>
          <w:iCs w:val="0"/>
          <w:caps w:val="0"/>
          <w:spacing w:val="0"/>
          <w:kern w:val="2"/>
          <w:sz w:val="32"/>
          <w:szCs w:val="32"/>
          <w:lang w:val="en-US" w:eastAsia="zh-CN" w:bidi="ar"/>
        </w:rPr>
        <w:t>自由贸易港跨境数据通道创建国际卫星数据加工贸易区，加速高分辨率卫星遥感数据的国际化应用。大力发展跨境直播电商，融合虚拟主播、多语言实时翻译、智能选品推荐等AI技术，完善“主播孵化－选品对接－流量运营－跨境履约”服务体系；优化海南EF账户功能，促进中国（海南）跨境电子商务综合试验区建设。结合国家政策进一步深化增值电信业务对外开放，适时扩大业务规模，支持建设国</w:t>
      </w:r>
      <w:r>
        <w:rPr>
          <w:rFonts w:hint="eastAsia" w:ascii="仿宋_GB2312" w:hAnsi="仿宋_GB2312" w:eastAsia="仿宋_GB2312" w:cs="仿宋_GB2312"/>
          <w:bCs/>
          <w:i w:val="0"/>
          <w:iCs w:val="0"/>
          <w:caps w:val="0"/>
          <w:spacing w:val="0"/>
          <w:kern w:val="2"/>
          <w:sz w:val="32"/>
          <w:szCs w:val="32"/>
          <w:lang w:val="en-US" w:eastAsia="zh-CN" w:bidi="ar"/>
        </w:rPr>
        <w:t>际智算中心，发展离岸数据业务，探索词元（Token）出海服务新模式。</w:t>
      </w:r>
    </w:p>
    <w:tbl>
      <w:tblPr>
        <w:tblStyle w:val="2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9060"/>
      </w:tblGrid>
      <w:tr w14:paraId="3F2F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000" w:type="pc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F505A1">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bCs w:val="0"/>
                <w:kern w:val="0"/>
                <w:sz w:val="28"/>
                <w:szCs w:val="28"/>
              </w:rPr>
            </w:pPr>
            <w:r>
              <w:rPr>
                <w:rFonts w:hint="eastAsia" w:ascii="仿宋_GB2312" w:hAnsi="仿宋_GB2312" w:eastAsia="仿宋_GB2312" w:cs="仿宋_GB2312"/>
                <w:b/>
                <w:bCs w:val="0"/>
                <w:kern w:val="2"/>
                <w:sz w:val="28"/>
                <w:szCs w:val="28"/>
                <w:lang w:val="en-US" w:eastAsia="zh-CN" w:bidi="ar"/>
              </w:rPr>
              <w:t>专栏1 数字经济产业重点项目</w:t>
            </w:r>
          </w:p>
        </w:tc>
      </w:tr>
      <w:tr w14:paraId="737DB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83" w:hRule="atLeast"/>
          <w:jc w:val="center"/>
        </w:trPr>
        <w:tc>
          <w:tcPr>
            <w:tcW w:w="5000" w:type="pct"/>
            <w:tcBorders>
              <w:top w:val="single" w:color="auto" w:sz="8" w:space="0"/>
              <w:left w:val="single" w:color="auto" w:sz="8" w:space="0"/>
              <w:bottom w:val="single" w:color="auto" w:sz="8" w:space="0"/>
              <w:right w:val="single" w:color="auto" w:sz="8" w:space="0"/>
            </w:tcBorders>
            <w:noWrap w:val="0"/>
            <w:tcMar>
              <w:left w:w="108" w:type="dxa"/>
              <w:right w:w="108" w:type="dxa"/>
            </w:tcMar>
            <w:vAlign w:val="top"/>
          </w:tcPr>
          <w:p w14:paraId="76BC270D">
            <w:pPr>
              <w:keepNext w:val="0"/>
              <w:keepLines w:val="0"/>
              <w:widowControl w:val="0"/>
              <w:suppressLineNumbers w:val="0"/>
              <w:overflowPunct w:val="0"/>
              <w:autoSpaceDE/>
              <w:autoSpaceDN/>
              <w:adjustRightInd w:val="0"/>
              <w:snapToGrid w:val="0"/>
              <w:spacing w:before="0" w:beforeAutospacing="0" w:after="0" w:afterAutospacing="0" w:line="560" w:lineRule="exact"/>
              <w:ind w:left="0" w:leftChars="0" w:right="0" w:firstLine="552" w:firstLineChars="200"/>
              <w:jc w:val="both"/>
              <w:rPr>
                <w:rFonts w:hint="eastAsia" w:ascii="仿宋_GB2312" w:hAnsi="仿宋_GB2312" w:eastAsia="仿宋_GB2312" w:cs="仿宋_GB2312"/>
                <w:kern w:val="2"/>
                <w:sz w:val="21"/>
                <w:szCs w:val="21"/>
              </w:rPr>
            </w:pPr>
            <w:r>
              <w:rPr>
                <w:rFonts w:hint="eastAsia" w:ascii="仿宋_GB2312" w:hAnsi="仿宋_GB2312" w:eastAsia="仿宋_GB2312" w:cs="仿宋_GB2312"/>
                <w:b/>
                <w:bCs/>
                <w:kern w:val="2"/>
                <w:sz w:val="28"/>
                <w:szCs w:val="28"/>
                <w:lang w:val="en-US" w:eastAsia="zh-CN" w:bidi="ar"/>
              </w:rPr>
              <w:t>电子信息制造业。</w:t>
            </w:r>
            <w:r>
              <w:rPr>
                <w:rFonts w:hint="eastAsia" w:ascii="仿宋_GB2312" w:hAnsi="仿宋_GB2312" w:eastAsia="仿宋_GB2312" w:cs="仿宋_GB2312"/>
                <w:kern w:val="2"/>
                <w:sz w:val="28"/>
                <w:szCs w:val="28"/>
                <w:lang w:val="en-US" w:eastAsia="zh-CN" w:bidi="ar"/>
              </w:rPr>
              <w:t>推进先进封装产业基地、传感器海外业务中心等项目建设。</w:t>
            </w:r>
          </w:p>
          <w:p w14:paraId="33AB86E3">
            <w:pPr>
              <w:keepNext w:val="0"/>
              <w:keepLines w:val="0"/>
              <w:widowControl w:val="0"/>
              <w:suppressLineNumbers w:val="0"/>
              <w:overflowPunct w:val="0"/>
              <w:autoSpaceDE/>
              <w:autoSpaceDN/>
              <w:adjustRightInd w:val="0"/>
              <w:snapToGrid w:val="0"/>
              <w:spacing w:before="0" w:beforeAutospacing="0" w:after="0" w:afterAutospacing="0" w:line="560" w:lineRule="exact"/>
              <w:ind w:left="0" w:leftChars="0" w:right="0" w:firstLine="552" w:firstLineChars="200"/>
              <w:jc w:val="both"/>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b/>
                <w:bCs/>
                <w:kern w:val="2"/>
                <w:sz w:val="28"/>
                <w:szCs w:val="28"/>
                <w:lang w:val="en-US" w:eastAsia="zh-CN" w:bidi="ar"/>
              </w:rPr>
              <w:t>国际数据产业。</w:t>
            </w:r>
            <w:r>
              <w:rPr>
                <w:rFonts w:hint="eastAsia" w:ascii="仿宋_GB2312" w:hAnsi="仿宋_GB2312" w:eastAsia="仿宋_GB2312" w:cs="仿宋_GB2312"/>
                <w:kern w:val="2"/>
                <w:sz w:val="28"/>
                <w:szCs w:val="28"/>
                <w:lang w:val="en-US" w:eastAsia="zh-CN" w:bidi="ar"/>
              </w:rPr>
              <w:t>布局一批游戏动漫、数字影视、网络直播、短视频等领域数字内容AIGC平台。推进汽车数据跨境业务落地。</w:t>
            </w:r>
          </w:p>
          <w:p w14:paraId="5BE6B46F">
            <w:pPr>
              <w:keepNext w:val="0"/>
              <w:keepLines w:val="0"/>
              <w:widowControl w:val="0"/>
              <w:suppressLineNumbers w:val="0"/>
              <w:overflowPunct w:val="0"/>
              <w:autoSpaceDE/>
              <w:autoSpaceDN/>
              <w:adjustRightInd w:val="0"/>
              <w:snapToGrid w:val="0"/>
              <w:spacing w:before="0" w:beforeAutospacing="0" w:after="0" w:afterAutospacing="0" w:line="560" w:lineRule="exact"/>
              <w:ind w:left="0" w:leftChars="0" w:right="0" w:firstLine="552" w:firstLineChars="200"/>
              <w:jc w:val="both"/>
              <w:rPr>
                <w:rFonts w:hint="default" w:ascii="Times New Roman" w:hAnsi="Times New Roman" w:eastAsia="仿宋_GB2312" w:cs="Times New Roman"/>
                <w:kern w:val="2"/>
                <w:sz w:val="28"/>
                <w:szCs w:val="28"/>
              </w:rPr>
            </w:pPr>
            <w:r>
              <w:rPr>
                <w:rFonts w:hint="eastAsia" w:ascii="仿宋_GB2312" w:hAnsi="仿宋_GB2312" w:eastAsia="仿宋_GB2312" w:cs="仿宋_GB2312"/>
                <w:b/>
                <w:bCs/>
                <w:kern w:val="2"/>
                <w:sz w:val="28"/>
                <w:szCs w:val="28"/>
                <w:lang w:val="en-US" w:eastAsia="zh-CN" w:bidi="ar"/>
              </w:rPr>
              <w:t>信息基础设施。</w:t>
            </w:r>
            <w:r>
              <w:rPr>
                <w:rFonts w:hint="eastAsia" w:ascii="仿宋_GB2312" w:hAnsi="仿宋_GB2312" w:eastAsia="仿宋_GB2312" w:cs="仿宋_GB2312"/>
                <w:b w:val="0"/>
                <w:bCs w:val="0"/>
                <w:kern w:val="2"/>
                <w:sz w:val="28"/>
                <w:szCs w:val="28"/>
                <w:lang w:val="en-US" w:eastAsia="zh-CN" w:bidi="ar"/>
              </w:rPr>
              <w:t>推进</w:t>
            </w:r>
            <w:r>
              <w:rPr>
                <w:rFonts w:hint="eastAsia" w:ascii="仿宋_GB2312" w:hAnsi="仿宋_GB2312" w:eastAsia="仿宋_GB2312" w:cs="仿宋_GB2312"/>
                <w:kern w:val="2"/>
                <w:sz w:val="28"/>
                <w:szCs w:val="28"/>
                <w:lang w:val="en-US" w:eastAsia="zh-CN" w:bidi="ar"/>
              </w:rPr>
              <w:t>儋州自贸港国际信息港、海口江东综合机房楼以及三大运营商全业务出入口局等项目建设。</w:t>
            </w:r>
          </w:p>
        </w:tc>
      </w:tr>
    </w:tbl>
    <w:p w14:paraId="51F6A5D6">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174" w:name="_Toc16613"/>
      <w:bookmarkStart w:id="175" w:name="_Toc2382"/>
      <w:bookmarkStart w:id="176" w:name="_Toc1465301333"/>
      <w:r>
        <w:rPr>
          <w:rFonts w:hint="default" w:ascii="Times New Roman" w:hAnsi="Times New Roman" w:eastAsia="黑体" w:cs="Times New Roman"/>
          <w:b w:val="0"/>
          <w:bCs w:val="0"/>
          <w:sz w:val="32"/>
          <w:szCs w:val="32"/>
        </w:rPr>
        <w:t>二、石油化工新材料</w:t>
      </w:r>
      <w:bookmarkEnd w:id="167"/>
      <w:bookmarkEnd w:id="168"/>
      <w:bookmarkEnd w:id="169"/>
      <w:bookmarkEnd w:id="170"/>
      <w:bookmarkEnd w:id="171"/>
      <w:bookmarkEnd w:id="172"/>
      <w:bookmarkEnd w:id="173"/>
      <w:bookmarkEnd w:id="174"/>
      <w:bookmarkEnd w:id="175"/>
      <w:bookmarkEnd w:id="176"/>
    </w:p>
    <w:p w14:paraId="6B5D02FB">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紧扣“双碳”战略目标与石化产业发展趋势，聚焦“延链补链、提质升级”，发展上游油气勘探开发、中游石化化工加工、下游新材料全产业链，将海南打造成国家重大战略服务保障区能源保障基地。到2030年，石油化工新材料全产业链营收力争突破2</w:t>
      </w:r>
      <w:r>
        <w:rPr>
          <w:rFonts w:hint="eastAsia" w:ascii="仿宋_GB2312" w:hAnsi="仿宋_GB2312" w:eastAsia="仿宋_GB2312" w:cs="仿宋_GB2312"/>
          <w:sz w:val="32"/>
          <w:szCs w:val="32"/>
          <w:lang w:val="en-US" w:eastAsia="zh-CN" w:bidi="ar"/>
        </w:rPr>
        <w:t>3</w:t>
      </w:r>
      <w:r>
        <w:rPr>
          <w:rFonts w:hint="eastAsia" w:ascii="仿宋_GB2312" w:hAnsi="仿宋_GB2312" w:eastAsia="仿宋_GB2312" w:cs="仿宋_GB2312"/>
          <w:sz w:val="32"/>
          <w:szCs w:val="32"/>
          <w:lang w:bidi="ar"/>
        </w:rPr>
        <w:t>00亿元。</w:t>
      </w:r>
    </w:p>
    <w:p w14:paraId="27B54370">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lang w:bidi="ar"/>
        </w:rPr>
      </w:pPr>
      <w:r>
        <w:rPr>
          <w:rFonts w:hint="eastAsia" w:ascii="仿宋_GB2312" w:hAnsi="仿宋_GB2312" w:eastAsia="仿宋_GB2312" w:cs="仿宋_GB2312"/>
          <w:b/>
          <w:bCs/>
          <w:sz w:val="32"/>
          <w:szCs w:val="32"/>
          <w:lang w:bidi="ar"/>
        </w:rPr>
        <w:t>油气勘探开发及油服产业。</w:t>
      </w:r>
      <w:r>
        <w:rPr>
          <w:rFonts w:hint="eastAsia" w:ascii="仿宋_GB2312" w:hAnsi="仿宋_GB2312" w:eastAsia="仿宋_GB2312" w:cs="仿宋_GB2312"/>
          <w:sz w:val="32"/>
          <w:szCs w:val="32"/>
          <w:lang w:bidi="ar"/>
        </w:rPr>
        <w:t>提升油气勘探能力，加快宝岛21-1、陵水36-1等大型气田研究论证和开发建设。保障“深海一号”及二期高负荷生产。依法依规支持在</w:t>
      </w:r>
      <w:r>
        <w:rPr>
          <w:rFonts w:hint="eastAsia" w:ascii="仿宋_GB2312" w:hAnsi="仿宋_GB2312" w:eastAsia="仿宋_GB2312" w:cs="仿宋_GB2312"/>
          <w:color w:val="auto"/>
          <w:sz w:val="32"/>
          <w:szCs w:val="32"/>
          <w:lang w:bidi="ar"/>
        </w:rPr>
        <w:t>海南</w:t>
      </w:r>
      <w:r>
        <w:rPr>
          <w:rFonts w:hint="eastAsia" w:ascii="仿宋_GB2312" w:hAnsi="仿宋_GB2312" w:eastAsia="仿宋_GB2312" w:cs="仿宋_GB2312"/>
          <w:color w:val="auto"/>
          <w:sz w:val="32"/>
          <w:szCs w:val="32"/>
          <w:lang w:eastAsia="zh-CN" w:bidi="ar"/>
        </w:rPr>
        <w:t>周边</w:t>
      </w:r>
      <w:r>
        <w:rPr>
          <w:rFonts w:hint="eastAsia" w:ascii="仿宋_GB2312" w:hAnsi="仿宋_GB2312" w:eastAsia="仿宋_GB2312" w:cs="仿宋_GB2312"/>
          <w:color w:val="auto"/>
          <w:sz w:val="32"/>
          <w:szCs w:val="32"/>
          <w:lang w:bidi="ar"/>
        </w:rPr>
        <w:t>海域加强</w:t>
      </w:r>
      <w:r>
        <w:rPr>
          <w:rFonts w:hint="eastAsia" w:ascii="仿宋_GB2312" w:hAnsi="仿宋_GB2312" w:eastAsia="仿宋_GB2312" w:cs="仿宋_GB2312"/>
          <w:sz w:val="32"/>
          <w:szCs w:val="32"/>
          <w:lang w:bidi="ar"/>
        </w:rPr>
        <w:t>油气勘探，积极推进深水深层、高温高压和低渗油气资源开发，探索老旧气田实施CCUS（碳捕集、利用与封存）改造，实现增储上产，为下游油气产业发展提供原料支撑。实施油服强基工程，建设海洋油气勘探开发指挥中心；发展油服业务，打造澄迈油气勘探生产服务基地，提升油气开发服务保障能力。</w:t>
      </w:r>
    </w:p>
    <w:p w14:paraId="697B4E2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石油化工。</w:t>
      </w:r>
      <w:r>
        <w:rPr>
          <w:rFonts w:hint="eastAsia" w:ascii="仿宋_GB2312" w:hAnsi="仿宋_GB2312" w:eastAsia="仿宋_GB2312" w:cs="仿宋_GB2312"/>
          <w:sz w:val="32"/>
          <w:szCs w:val="32"/>
          <w:lang w:bidi="ar"/>
        </w:rPr>
        <w:t>按照“减油增化、减油增特”思路，聚焦细分产业链实施延炼补链。研究整合原油加工能力，谋划推进乙烯项目。推动乙烯、环氧乙烷、丙烯腈、聚碳酸酯、甲基丙烯酸甲酯、丙烯酰胺等向下游延伸，谋划发展聚烯烃弹性体、聚氯乙烯、碳纤维、改性PC、聚甲基丙烯酸甲酯、聚丙烯酰胺、SIS热塑性弹性体等材料。</w:t>
      </w:r>
      <w:r>
        <w:rPr>
          <w:rFonts w:hint="eastAsia" w:ascii="仿宋_GB2312" w:hAnsi="仿宋_GB2312" w:eastAsia="仿宋_GB2312" w:cs="仿宋_GB2312"/>
          <w:color w:val="000000"/>
          <w:sz w:val="32"/>
          <w:szCs w:val="32"/>
          <w:lang w:bidi="ar"/>
        </w:rPr>
        <w:t>推进芳烃向下游延伸发展特种聚酯、生物</w:t>
      </w:r>
      <w:r>
        <w:rPr>
          <w:rFonts w:hint="eastAsia" w:ascii="仿宋_GB2312" w:hAnsi="仿宋_GB2312" w:eastAsia="仿宋_GB2312" w:cs="仿宋_GB2312"/>
          <w:sz w:val="32"/>
          <w:szCs w:val="32"/>
          <w:lang w:bidi="ar"/>
        </w:rPr>
        <w:t>降解材料产业，扩大在饮料、矿泉水等包装领域应用。以石蜡、润滑油、航天煤油、白油及高端沥青等为重点，发展特种油品。</w:t>
      </w:r>
    </w:p>
    <w:p w14:paraId="72CB3380">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lang w:bidi="ar"/>
        </w:rPr>
      </w:pPr>
      <w:r>
        <w:rPr>
          <w:rFonts w:hint="eastAsia" w:ascii="仿宋_GB2312" w:hAnsi="仿宋_GB2312" w:eastAsia="仿宋_GB2312" w:cs="仿宋_GB2312"/>
          <w:b/>
          <w:bCs/>
          <w:sz w:val="32"/>
          <w:szCs w:val="32"/>
          <w:lang w:bidi="ar"/>
        </w:rPr>
        <w:t>天然气及生物化工。</w:t>
      </w:r>
      <w:r>
        <w:rPr>
          <w:rFonts w:hint="eastAsia" w:ascii="仿宋_GB2312" w:hAnsi="仿宋_GB2312" w:eastAsia="仿宋_GB2312" w:cs="仿宋_GB2312"/>
          <w:sz w:val="32"/>
          <w:szCs w:val="32"/>
          <w:lang w:bidi="ar"/>
        </w:rPr>
        <w:t>促进富碳天然气资源开发高效转化，推动油气资源梯级利用与深度加工。延伸富碳天然气化工产业链，优化生产基础化工原料，提高初级资源利用率，壮大甲醇产业，谋划甲醇制烯烃、甲醛、醋酸、丁二醇等下游产品。规模化利用非粮生物质，发展乙醇、航煤、柴油、精细化学品等绿色产品。</w:t>
      </w:r>
      <w:r>
        <w:rPr>
          <w:rFonts w:hint="eastAsia" w:ascii="仿宋_GB2312" w:hAnsi="仿宋_GB2312" w:eastAsia="仿宋_GB2312" w:cs="仿宋_GB2312"/>
          <w:sz w:val="32"/>
          <w:szCs w:val="32"/>
          <w:lang w:val="en-US" w:eastAsia="zh-CN" w:bidi="ar"/>
        </w:rPr>
        <w:t>科学谋划</w:t>
      </w:r>
      <w:r>
        <w:rPr>
          <w:rFonts w:hint="eastAsia" w:ascii="仿宋_GB2312" w:hAnsi="仿宋_GB2312" w:eastAsia="仿宋_GB2312" w:cs="仿宋_GB2312"/>
          <w:sz w:val="32"/>
          <w:szCs w:val="32"/>
          <w:lang w:bidi="ar"/>
        </w:rPr>
        <w:t>建设燃料加注站点设施，满足远洋</w:t>
      </w:r>
      <w:r>
        <w:rPr>
          <w:rFonts w:hint="eastAsia" w:ascii="仿宋_GB2312" w:hAnsi="仿宋_GB2312" w:eastAsia="仿宋_GB2312" w:cs="仿宋_GB2312"/>
          <w:sz w:val="32"/>
          <w:szCs w:val="32"/>
          <w:lang w:val="en-US" w:eastAsia="zh-CN" w:bidi="ar"/>
        </w:rPr>
        <w:t>运输</w:t>
      </w:r>
      <w:r>
        <w:rPr>
          <w:rFonts w:hint="eastAsia" w:ascii="仿宋_GB2312" w:hAnsi="仿宋_GB2312" w:eastAsia="仿宋_GB2312" w:cs="仿宋_GB2312"/>
          <w:sz w:val="32"/>
          <w:szCs w:val="32"/>
          <w:lang w:bidi="ar"/>
        </w:rPr>
        <w:t>及海工船舶对燃料需求，打造燃料加注国际枢纽。探索富碳天然气与风电耦合生产碳材料。</w:t>
      </w:r>
    </w:p>
    <w:tbl>
      <w:tblPr>
        <w:tblStyle w:val="2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9060"/>
      </w:tblGrid>
      <w:tr w14:paraId="2BE98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000" w:type="pc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8A44995">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bCs w:val="0"/>
                <w:kern w:val="0"/>
                <w:sz w:val="28"/>
                <w:szCs w:val="28"/>
              </w:rPr>
            </w:pPr>
            <w:r>
              <w:rPr>
                <w:rFonts w:hint="eastAsia" w:ascii="仿宋_GB2312" w:hAnsi="仿宋_GB2312" w:eastAsia="仿宋_GB2312" w:cs="仿宋_GB2312"/>
                <w:b/>
                <w:sz w:val="28"/>
                <w:szCs w:val="28"/>
                <w:lang w:bidi="ar"/>
              </w:rPr>
              <w:t>专栏2 石油化工新材料产业重点项目</w:t>
            </w:r>
          </w:p>
        </w:tc>
      </w:tr>
      <w:tr w14:paraId="6070A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000" w:type="pct"/>
            <w:tcBorders>
              <w:top w:val="single" w:color="auto" w:sz="8" w:space="0"/>
              <w:left w:val="single" w:color="auto" w:sz="8" w:space="0"/>
              <w:bottom w:val="single" w:color="auto" w:sz="8" w:space="0"/>
              <w:right w:val="single" w:color="auto" w:sz="8" w:space="0"/>
            </w:tcBorders>
            <w:noWrap w:val="0"/>
            <w:tcMar>
              <w:left w:w="108" w:type="dxa"/>
              <w:right w:w="108" w:type="dxa"/>
            </w:tcMar>
            <w:vAlign w:val="top"/>
          </w:tcPr>
          <w:p w14:paraId="7A7C6773">
            <w:pPr>
              <w:keepNext w:val="0"/>
              <w:keepLines w:val="0"/>
              <w:widowControl w:val="0"/>
              <w:suppressLineNumbers w:val="0"/>
              <w:overflowPunct w:val="0"/>
              <w:autoSpaceDE w:val="0"/>
              <w:autoSpaceDN/>
              <w:adjustRightInd w:val="0"/>
              <w:snapToGrid w:val="0"/>
              <w:spacing w:before="0" w:beforeAutospacing="0" w:after="0" w:afterAutospacing="0" w:line="560" w:lineRule="exact"/>
              <w:ind w:left="0" w:right="0" w:firstLine="552" w:firstLineChars="200"/>
              <w:jc w:val="both"/>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b/>
                <w:bCs/>
                <w:kern w:val="2"/>
                <w:sz w:val="28"/>
                <w:szCs w:val="28"/>
                <w:lang w:val="en-US" w:eastAsia="zh-CN" w:bidi="ar"/>
              </w:rPr>
              <w:t>油气勘探开发及油服。</w:t>
            </w:r>
            <w:r>
              <w:rPr>
                <w:rFonts w:hint="eastAsia" w:ascii="仿宋_GB2312" w:hAnsi="仿宋_GB2312" w:eastAsia="仿宋_GB2312" w:cs="仿宋_GB2312"/>
                <w:kern w:val="2"/>
                <w:sz w:val="28"/>
                <w:szCs w:val="28"/>
                <w:lang w:val="en-US" w:eastAsia="zh-CN" w:bidi="ar"/>
              </w:rPr>
              <w:t>推进宝岛21-1气田和陵水17-2气田10d/11d井区开发、乐东22-1气田和东方1-1气田增储上产等项目建设。</w:t>
            </w:r>
          </w:p>
          <w:p w14:paraId="7F5A1B49">
            <w:pPr>
              <w:keepNext w:val="0"/>
              <w:keepLines w:val="0"/>
              <w:widowControl w:val="0"/>
              <w:suppressLineNumbers w:val="0"/>
              <w:overflowPunct w:val="0"/>
              <w:autoSpaceDE w:val="0"/>
              <w:autoSpaceDN/>
              <w:adjustRightInd w:val="0"/>
              <w:snapToGrid w:val="0"/>
              <w:spacing w:before="0" w:beforeAutospacing="0" w:after="0" w:afterAutospacing="0" w:line="560" w:lineRule="exact"/>
              <w:ind w:left="0" w:right="0" w:firstLine="552" w:firstLineChars="200"/>
              <w:jc w:val="both"/>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b/>
                <w:bCs/>
                <w:kern w:val="2"/>
                <w:sz w:val="28"/>
                <w:szCs w:val="28"/>
                <w:lang w:val="en-US" w:eastAsia="zh-CN" w:bidi="ar"/>
              </w:rPr>
              <w:t>石油化工。</w:t>
            </w:r>
            <w:r>
              <w:rPr>
                <w:rFonts w:hint="eastAsia" w:ascii="仿宋_GB2312" w:hAnsi="仿宋_GB2312" w:eastAsia="仿宋_GB2312" w:cs="仿宋_GB2312"/>
                <w:kern w:val="2"/>
                <w:sz w:val="28"/>
                <w:szCs w:val="28"/>
                <w:lang w:val="en-US" w:eastAsia="zh-CN" w:bidi="ar"/>
              </w:rPr>
              <w:t>推进原油直接裂解制乙烯、原油适应性改造、高端石蜡润滑油基础油升级、高性能聚烯烃弹性体、聚丙烯酰胺等项目建设。</w:t>
            </w:r>
          </w:p>
          <w:p w14:paraId="7931B5F2">
            <w:pPr>
              <w:keepNext w:val="0"/>
              <w:keepLines w:val="0"/>
              <w:widowControl w:val="0"/>
              <w:suppressLineNumbers w:val="0"/>
              <w:overflowPunct w:val="0"/>
              <w:autoSpaceDE w:val="0"/>
              <w:autoSpaceDN/>
              <w:adjustRightInd w:val="0"/>
              <w:snapToGrid w:val="0"/>
              <w:spacing w:before="0" w:beforeAutospacing="0" w:after="0" w:afterAutospacing="0" w:line="560" w:lineRule="exact"/>
              <w:ind w:left="0" w:right="0" w:firstLine="552" w:firstLineChars="200"/>
              <w:jc w:val="both"/>
              <w:rPr>
                <w:rFonts w:hint="default" w:ascii="Times New Roman" w:hAnsi="Times New Roman" w:eastAsia="仿宋_GB2312" w:cs="Times New Roman"/>
                <w:kern w:val="2"/>
                <w:sz w:val="28"/>
                <w:szCs w:val="28"/>
              </w:rPr>
            </w:pPr>
            <w:r>
              <w:rPr>
                <w:rFonts w:hint="eastAsia" w:ascii="仿宋_GB2312" w:hAnsi="仿宋_GB2312" w:eastAsia="仿宋_GB2312" w:cs="仿宋_GB2312"/>
                <w:b/>
                <w:bCs/>
                <w:kern w:val="2"/>
                <w:sz w:val="28"/>
                <w:szCs w:val="28"/>
                <w:lang w:val="en-US" w:eastAsia="zh-CN" w:bidi="ar"/>
              </w:rPr>
              <w:t>天然气及生物化工。</w:t>
            </w:r>
            <w:r>
              <w:rPr>
                <w:rFonts w:hint="eastAsia" w:ascii="仿宋_GB2312" w:hAnsi="仿宋_GB2312" w:eastAsia="仿宋_GB2312" w:cs="仿宋_GB2312"/>
                <w:kern w:val="2"/>
                <w:sz w:val="28"/>
                <w:szCs w:val="28"/>
                <w:lang w:val="en-US" w:eastAsia="zh-CN" w:bidi="ar"/>
              </w:rPr>
              <w:t>推进富CO</w:t>
            </w:r>
            <w:r>
              <w:rPr>
                <w:rFonts w:hint="eastAsia" w:ascii="仿宋_GB2312" w:hAnsi="仿宋_GB2312" w:eastAsia="仿宋_GB2312" w:cs="仿宋_GB2312"/>
                <w:kern w:val="2"/>
                <w:sz w:val="28"/>
                <w:szCs w:val="28"/>
                <w:vertAlign w:val="subscript"/>
                <w:lang w:val="en-US" w:eastAsia="zh-CN" w:bidi="ar"/>
              </w:rPr>
              <w:t>2</w:t>
            </w:r>
            <w:r>
              <w:rPr>
                <w:rFonts w:hint="eastAsia" w:ascii="仿宋_GB2312" w:hAnsi="仿宋_GB2312" w:eastAsia="仿宋_GB2312" w:cs="仿宋_GB2312"/>
                <w:kern w:val="2"/>
                <w:sz w:val="28"/>
                <w:szCs w:val="28"/>
                <w:lang w:val="en-US" w:eastAsia="zh-CN" w:bidi="ar"/>
              </w:rPr>
              <w:t>天然气制120万吨甲醇、30万吨生物能源、10万吨生物质绿色甲醇等项目建设。</w:t>
            </w:r>
          </w:p>
        </w:tc>
      </w:tr>
      <w:bookmarkEnd w:id="166"/>
    </w:tbl>
    <w:p w14:paraId="7248034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eastAsia" w:ascii="Times New Roman" w:hAnsi="Times New Roman" w:eastAsia="黑体" w:cs="Times New Roman"/>
          <w:b w:val="0"/>
          <w:bCs w:val="0"/>
          <w:sz w:val="32"/>
          <w:szCs w:val="32"/>
          <w:lang w:val="en-US" w:eastAsia="zh-CN"/>
        </w:rPr>
      </w:pPr>
      <w:bookmarkStart w:id="177" w:name="_Toc3868"/>
      <w:bookmarkStart w:id="178" w:name="_Toc8909"/>
      <w:bookmarkStart w:id="179" w:name="_Toc6061"/>
      <w:bookmarkStart w:id="180" w:name="_Toc210995488"/>
      <w:bookmarkStart w:id="181" w:name="_Toc26435"/>
      <w:bookmarkStart w:id="182" w:name="_Toc15619"/>
      <w:bookmarkStart w:id="183" w:name="_Toc1040"/>
      <w:bookmarkStart w:id="184" w:name="_Toc21823"/>
      <w:bookmarkStart w:id="185" w:name="_Toc10500"/>
      <w:bookmarkStart w:id="186" w:name="_Toc129785501"/>
      <w:bookmarkStart w:id="187" w:name="_Toc120023879"/>
      <w:bookmarkStart w:id="188" w:name="_Toc15536"/>
      <w:bookmarkStart w:id="189" w:name="_Toc5055"/>
      <w:r>
        <w:rPr>
          <w:rFonts w:hint="default" w:ascii="Times New Roman" w:hAnsi="Times New Roman" w:eastAsia="黑体" w:cs="Times New Roman"/>
          <w:b w:val="0"/>
          <w:bCs w:val="0"/>
          <w:sz w:val="32"/>
          <w:szCs w:val="32"/>
        </w:rPr>
        <w:t>三、高端消费品</w:t>
      </w:r>
      <w:bookmarkEnd w:id="177"/>
      <w:bookmarkEnd w:id="178"/>
      <w:bookmarkEnd w:id="179"/>
      <w:r>
        <w:rPr>
          <w:rFonts w:hint="eastAsia" w:eastAsia="黑体" w:cs="Times New Roman"/>
          <w:b w:val="0"/>
          <w:bCs w:val="0"/>
          <w:sz w:val="32"/>
          <w:szCs w:val="32"/>
          <w:lang w:val="en-US" w:eastAsia="zh-CN"/>
        </w:rPr>
        <w:t>加工</w:t>
      </w:r>
      <w:bookmarkEnd w:id="180"/>
      <w:bookmarkEnd w:id="181"/>
    </w:p>
    <w:p w14:paraId="1D0F76AE">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紧扣“三品引领、特色彰显、研发赋能”主线，以特色食品、黄金珠宝、工艺文创为重点方向，不断提高产业的“含金量、含新量、含绿量”，打造多元布局、错位协同、优势互补的高端消费品加工产业格局。到2030年，高端消费品</w:t>
      </w:r>
      <w:r>
        <w:rPr>
          <w:rFonts w:hint="eastAsia" w:ascii="仿宋_GB2312" w:hAnsi="仿宋_GB2312" w:eastAsia="仿宋_GB2312" w:cs="仿宋_GB2312"/>
          <w:sz w:val="32"/>
          <w:szCs w:val="32"/>
          <w:lang w:val="en-US" w:eastAsia="zh-CN" w:bidi="ar"/>
        </w:rPr>
        <w:t>加工</w:t>
      </w:r>
      <w:r>
        <w:rPr>
          <w:rFonts w:hint="eastAsia" w:ascii="仿宋_GB2312" w:hAnsi="仿宋_GB2312" w:eastAsia="仿宋_GB2312" w:cs="仿宋_GB2312"/>
          <w:sz w:val="32"/>
          <w:szCs w:val="32"/>
          <w:lang w:bidi="ar"/>
        </w:rPr>
        <w:t>产业营收力争突破1500亿元</w:t>
      </w:r>
      <w:r>
        <w:rPr>
          <w:rFonts w:hint="eastAsia" w:ascii="仿宋_GB2312" w:hAnsi="仿宋_GB2312" w:eastAsia="仿宋_GB2312" w:cs="仿宋_GB2312"/>
          <w:sz w:val="32"/>
          <w:szCs w:val="32"/>
        </w:rPr>
        <w:t>。</w:t>
      </w:r>
    </w:p>
    <w:p w14:paraId="3A686316">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特色食品。</w:t>
      </w:r>
      <w:r>
        <w:rPr>
          <w:rFonts w:hint="eastAsia" w:ascii="仿宋_GB2312" w:hAnsi="仿宋_GB2312" w:eastAsia="仿宋_GB2312" w:cs="仿宋_GB2312"/>
          <w:sz w:val="32"/>
          <w:szCs w:val="32"/>
          <w:lang w:bidi="ar"/>
        </w:rPr>
        <w:t>以高附加值产品开发与特色产业集群培育为核心，构建多层次精深加工产业体系。热带特色领域，完善产业链供应链布局，支持有条件的市县建设椰子加工贸易集散基地，布局东南亚等海外原料仓和供应链，扩大椰汁、椰乳、椰子水等产业规模，加快椰子油、椰壳活性炭等高值化衍生品创新研发；推动咖啡贸易发展，建设全球咖啡烘焙加工体系，拓展咖啡分级与精深加工</w:t>
      </w:r>
      <w:r>
        <w:rPr>
          <w:rFonts w:hint="eastAsia" w:ascii="仿宋_GB2312" w:hAnsi="仿宋_GB2312" w:eastAsia="仿宋_GB2312" w:cs="仿宋_GB2312"/>
          <w:sz w:val="32"/>
          <w:szCs w:val="32"/>
          <w:lang w:val="en-US" w:eastAsia="zh-CN" w:bidi="ar"/>
        </w:rPr>
        <w:t>业务</w:t>
      </w:r>
      <w:r>
        <w:rPr>
          <w:rFonts w:hint="eastAsia" w:ascii="仿宋_GB2312" w:hAnsi="仿宋_GB2312" w:eastAsia="仿宋_GB2312" w:cs="仿宋_GB2312"/>
          <w:sz w:val="32"/>
          <w:szCs w:val="32"/>
          <w:lang w:bidi="ar"/>
        </w:rPr>
        <w:t>，全链条做强咖啡生豆、焙炒咖啡、速溶咖啡等核心产品体系，研发浓缩液、冷萃咖啡等精品咖啡；全力推进糟粕醋产业化、规范化发展，加强优质原辅料供给，推动“糟粕醋+”产业模式，开发糟粕醋调味料、即时性零食等多元产品；拓展高端果蔬制品，发展速冻果蔬、微波净菜等鲜食产品，休闲类果蔬脆片及黄灯笼辣椒酱等特色调味料。优质蛋白领域，推动文昌鸡、海南黑猪、罗非鱼、东星斑等高值化利用，发展即食休闲食品、高端调味品、预制菜等高附加值产品。粮油加工领域，强化增值政策应用，培育特色粮油产业链，开发即食海南粉等速食制品。新赛道领域，加快生物技术应用，开发多肽、多糖等海洋功能食品，布局航空航天食品、高端宠物食品</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药食同源</w:t>
      </w:r>
      <w:r>
        <w:rPr>
          <w:rFonts w:hint="eastAsia" w:ascii="仿宋_GB2312" w:hAnsi="仿宋_GB2312" w:eastAsia="仿宋_GB2312" w:cs="仿宋_GB2312"/>
          <w:sz w:val="32"/>
          <w:szCs w:val="32"/>
          <w:lang w:val="en-US" w:eastAsia="zh-CN" w:bidi="ar"/>
        </w:rPr>
        <w:t>产品</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探索发展微生物蛋白、蛋白肉、植物奶等未来食品。支持特色食品产业的特色原料、辅料与包装、消毒灭菌、现代物流、消费体验等上下游配套产业发展</w:t>
      </w:r>
      <w:r>
        <w:rPr>
          <w:rFonts w:hint="eastAsia" w:ascii="仿宋_GB2312" w:hAnsi="仿宋_GB2312" w:eastAsia="仿宋_GB2312" w:cs="仿宋_GB2312"/>
          <w:sz w:val="32"/>
          <w:szCs w:val="32"/>
        </w:rPr>
        <w:t>。</w:t>
      </w:r>
    </w:p>
    <w:p w14:paraId="3CEE7CE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6"/>
        </w:rPr>
        <w:t>黄金珠宝。</w:t>
      </w:r>
      <w:r>
        <w:rPr>
          <w:rFonts w:hint="eastAsia" w:ascii="仿宋_GB2312" w:hAnsi="仿宋_GB2312" w:eastAsia="仿宋_GB2312" w:cs="仿宋_GB2312"/>
          <w:sz w:val="32"/>
          <w:szCs w:val="32"/>
          <w:lang w:bidi="ar"/>
        </w:rPr>
        <w:t>充分释放加工增值免关税、</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零关税</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等</w:t>
      </w:r>
      <w:r>
        <w:rPr>
          <w:rFonts w:hint="eastAsia" w:ascii="仿宋_GB2312" w:hAnsi="仿宋_GB2312" w:eastAsia="仿宋_GB2312" w:cs="仿宋_GB2312"/>
          <w:sz w:val="32"/>
          <w:szCs w:val="32"/>
          <w:lang w:eastAsia="zh-CN" w:bidi="ar"/>
        </w:rPr>
        <w:t>海南自由贸易港</w:t>
      </w:r>
      <w:r>
        <w:rPr>
          <w:rFonts w:hint="eastAsia" w:ascii="仿宋_GB2312" w:hAnsi="仿宋_GB2312" w:eastAsia="仿宋_GB2312" w:cs="仿宋_GB2312"/>
          <w:sz w:val="32"/>
          <w:szCs w:val="32"/>
          <w:lang w:bidi="ar"/>
        </w:rPr>
        <w:t>核心政策红利，发展黄金、白银、珍珠、玉石、翡翠等高附加值产品全产业链。推动黄金白银等原料进口、加工生产、成品出岛全流程保税监管模式优化升级，完善产业链配套，构建集创意设计、原料加工、生产制造、品牌运营、文旅融合发展于一体的全链条产业生态，形成以三亚为核心、海口为支撑、多点协同的产业空间格局。</w:t>
      </w:r>
      <w:r>
        <w:rPr>
          <w:rFonts w:hint="eastAsia" w:ascii="仿宋_GB2312" w:hAnsi="仿宋_GB2312" w:eastAsia="仿宋_GB2312" w:cs="仿宋_GB2312"/>
          <w:kern w:val="2"/>
          <w:sz w:val="32"/>
          <w:szCs w:val="32"/>
        </w:rPr>
        <w:t>推进珍珠良种繁育、精深加工与高附加值产品开发，扩大翡翠原石等原料进口，联动黄金产业，以加工增值</w:t>
      </w:r>
      <w:r>
        <w:rPr>
          <w:rFonts w:hint="eastAsia" w:ascii="仿宋_GB2312" w:hAnsi="仿宋_GB2312" w:eastAsia="仿宋_GB2312" w:cs="仿宋_GB2312"/>
          <w:kern w:val="2"/>
          <w:sz w:val="32"/>
          <w:szCs w:val="32"/>
          <w:lang w:val="en-US" w:eastAsia="zh-CN"/>
        </w:rPr>
        <w:t>免关税</w:t>
      </w:r>
      <w:r>
        <w:rPr>
          <w:rFonts w:hint="eastAsia" w:ascii="仿宋_GB2312" w:hAnsi="仿宋_GB2312" w:eastAsia="仿宋_GB2312" w:cs="仿宋_GB2312"/>
          <w:kern w:val="2"/>
          <w:sz w:val="32"/>
          <w:szCs w:val="32"/>
        </w:rPr>
        <w:t>政策推动珍珠、翡翠、黄金等珠宝饰品融合深加工，打造高端珠宝产品新优势。</w:t>
      </w:r>
      <w:r>
        <w:rPr>
          <w:rFonts w:hint="eastAsia" w:ascii="仿宋_GB2312" w:hAnsi="仿宋_GB2312" w:eastAsia="仿宋_GB2312" w:cs="仿宋_GB2312"/>
          <w:sz w:val="32"/>
          <w:szCs w:val="32"/>
          <w:lang w:bidi="ar"/>
        </w:rPr>
        <w:t>用好</w:t>
      </w:r>
      <w:r>
        <w:rPr>
          <w:rFonts w:hint="eastAsia" w:ascii="仿宋_GB2312" w:hAnsi="仿宋_GB2312" w:eastAsia="仿宋_GB2312" w:cs="仿宋_GB2312"/>
          <w:sz w:val="32"/>
          <w:szCs w:val="32"/>
          <w:lang w:val="en-US" w:eastAsia="zh-CN" w:bidi="ar"/>
        </w:rPr>
        <w:fldChar w:fldCharType="begin"/>
      </w:r>
      <w:r>
        <w:rPr>
          <w:rFonts w:hint="eastAsia" w:ascii="仿宋_GB2312" w:hAnsi="仿宋_GB2312" w:eastAsia="仿宋_GB2312" w:cs="仿宋_GB2312"/>
          <w:sz w:val="32"/>
          <w:szCs w:val="32"/>
          <w:lang w:val="en-US" w:eastAsia="zh-CN" w:bidi="ar"/>
        </w:rPr>
        <w:instrText xml:space="preserve"> HYPERLINK "http://www.baidu.com/link?url=R-B_DC-a0ngCsttSsuOdxLWlJfT_wByXEK6nFacTGgY4p9wmv43FAPfn3alROcST" \t "https://www.baidu.com/_blank" </w:instrText>
      </w:r>
      <w:r>
        <w:rPr>
          <w:rFonts w:hint="eastAsia" w:ascii="仿宋_GB2312" w:hAnsi="仿宋_GB2312" w:eastAsia="仿宋_GB2312" w:cs="仿宋_GB2312"/>
          <w:sz w:val="32"/>
          <w:szCs w:val="32"/>
          <w:lang w:val="en-US" w:eastAsia="zh-CN" w:bidi="ar"/>
        </w:rPr>
        <w:fldChar w:fldCharType="separate"/>
      </w:r>
      <w:r>
        <w:rPr>
          <w:rFonts w:hint="eastAsia" w:ascii="仿宋_GB2312" w:hAnsi="仿宋_GB2312" w:eastAsia="仿宋_GB2312" w:cs="仿宋_GB2312"/>
          <w:sz w:val="32"/>
          <w:szCs w:val="32"/>
          <w:lang w:bidi="ar"/>
        </w:rPr>
        <w:t>中国国际消费品博览会</w:t>
      </w:r>
      <w:r>
        <w:rPr>
          <w:rFonts w:hint="eastAsia" w:ascii="仿宋_GB2312" w:hAnsi="仿宋_GB2312" w:eastAsia="仿宋_GB2312" w:cs="仿宋_GB2312"/>
          <w:sz w:val="32"/>
          <w:szCs w:val="32"/>
          <w:lang w:val="en-US" w:eastAsia="zh-CN" w:bidi="ar"/>
        </w:rPr>
        <w:fldChar w:fldCharType="end"/>
      </w:r>
      <w:r>
        <w:rPr>
          <w:rFonts w:hint="eastAsia" w:ascii="仿宋_GB2312" w:hAnsi="仿宋_GB2312" w:eastAsia="仿宋_GB2312" w:cs="仿宋_GB2312"/>
          <w:sz w:val="32"/>
          <w:szCs w:val="32"/>
          <w:lang w:bidi="ar"/>
        </w:rPr>
        <w:t>、博鳌亚洲论坛</w:t>
      </w:r>
      <w:r>
        <w:rPr>
          <w:rFonts w:hint="eastAsia" w:ascii="仿宋_GB2312" w:hAnsi="仿宋_GB2312" w:eastAsia="仿宋_GB2312" w:cs="仿宋_GB2312"/>
          <w:sz w:val="32"/>
          <w:szCs w:val="32"/>
          <w:lang w:val="en-US" w:eastAsia="zh-CN" w:bidi="ar"/>
        </w:rPr>
        <w:t>年会</w:t>
      </w:r>
      <w:r>
        <w:rPr>
          <w:rFonts w:hint="eastAsia" w:ascii="仿宋_GB2312" w:hAnsi="仿宋_GB2312" w:eastAsia="仿宋_GB2312" w:cs="仿宋_GB2312"/>
          <w:sz w:val="32"/>
          <w:szCs w:val="32"/>
          <w:lang w:bidi="ar"/>
        </w:rPr>
        <w:t>、海南国际设计师大赛等活动，搭建国际化交流和展示交易平台，吸引全球品牌入驻与专业买家集聚；鼓励和支持黄金珠宝企业“走出去”，在海南设立国际业务总部，统筹离岸贸易、跨境电商、境外投资等国际业务与政策资源，进一步提升海南黄金珠宝产业国际化水平；利用好琼港合作平台，推动香港珠宝企业在海南设立珠宝设计中心和加工制造中心，吸引香港珠宝鉴定师、设计师等人才入驻海南等，将海南打造成为国际化黄金珠宝产业高地</w:t>
      </w:r>
      <w:r>
        <w:rPr>
          <w:rFonts w:hint="eastAsia" w:ascii="仿宋_GB2312" w:hAnsi="仿宋_GB2312" w:eastAsia="仿宋_GB2312" w:cs="仿宋_GB2312"/>
          <w:sz w:val="32"/>
          <w:szCs w:val="36"/>
        </w:rPr>
        <w:t>。</w:t>
      </w:r>
    </w:p>
    <w:p w14:paraId="2F8DD6D0">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工艺文创。</w:t>
      </w:r>
      <w:r>
        <w:rPr>
          <w:rFonts w:hint="eastAsia" w:ascii="仿宋_GB2312" w:hAnsi="仿宋_GB2312" w:eastAsia="仿宋_GB2312" w:cs="仿宋_GB2312"/>
          <w:sz w:val="32"/>
          <w:szCs w:val="32"/>
          <w:lang w:bidi="ar"/>
        </w:rPr>
        <w:t>持续推进黄花梨产品、黎锦、椰雕、陶瓷（黎陶）等工美艺术品产业化，支持海南省工艺美术大师等传统手工艺者与企业合作，创新开发融合地域元素的高端服饰、家居软装、文创纸品等生活消费品，延伸布局以海洋文化、非遗文化等为主题的文创产品，推动特色工美消费品多元化发展。鼓励企业引入现代科技、创新材料改进产品工艺，开展工艺创新研发合作，推动手工匠心与标准化生产协同发展。强化与文旅产业融合发展，规划建设特色消费品产业园区，持续推动建设国家级非物质文化遗产生产性保护示范基地</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非遗工坊</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特色小镇，打造“网红”打卡点和爆款产品。支持将海南产原料向下游高端奢侈品成品方向发展，吸引特色消费品品牌在琼设立加工中心，开展高附加值的设计集成、精密组装、个性化定制、限量版生产，打造一站式国际高端消费品加工生产基地。</w:t>
      </w:r>
    </w:p>
    <w:tbl>
      <w:tblPr>
        <w:tblStyle w:val="27"/>
        <w:tblW w:w="5000" w:type="pct"/>
        <w:jc w:val="center"/>
        <w:tblLayout w:type="autofit"/>
        <w:tblCellMar>
          <w:top w:w="0" w:type="dxa"/>
          <w:left w:w="28" w:type="dxa"/>
          <w:bottom w:w="0" w:type="dxa"/>
          <w:right w:w="28" w:type="dxa"/>
        </w:tblCellMar>
      </w:tblPr>
      <w:tblGrid>
        <w:gridCol w:w="9060"/>
      </w:tblGrid>
      <w:tr w14:paraId="76438756">
        <w:tblPrEx>
          <w:tblCellMar>
            <w:top w:w="0" w:type="dxa"/>
            <w:left w:w="28" w:type="dxa"/>
            <w:bottom w:w="0" w:type="dxa"/>
            <w:right w:w="28" w:type="dxa"/>
          </w:tblCellMar>
        </w:tblPrEx>
        <w:trPr>
          <w:trHeight w:val="567" w:hRule="atLeast"/>
          <w:jc w:val="center"/>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A9B17D5">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18"/>
              </w:rPr>
            </w:pPr>
            <w:r>
              <w:rPr>
                <w:rFonts w:hint="eastAsia" w:ascii="仿宋_GB2312" w:hAnsi="仿宋_GB2312" w:eastAsia="仿宋_GB2312" w:cs="仿宋_GB2312"/>
                <w:b/>
                <w:bCs/>
                <w:sz w:val="28"/>
                <w:szCs w:val="28"/>
              </w:rPr>
              <w:t>专栏3 高端消费品</w:t>
            </w:r>
            <w:r>
              <w:rPr>
                <w:rFonts w:hint="eastAsia" w:ascii="仿宋_GB2312" w:hAnsi="仿宋_GB2312" w:eastAsia="仿宋_GB2312" w:cs="仿宋_GB2312"/>
                <w:b/>
                <w:bCs/>
                <w:sz w:val="28"/>
                <w:szCs w:val="28"/>
                <w:lang w:val="en-US" w:eastAsia="zh-CN"/>
              </w:rPr>
              <w:t>加工</w:t>
            </w:r>
            <w:r>
              <w:rPr>
                <w:rFonts w:hint="eastAsia" w:ascii="仿宋_GB2312" w:hAnsi="仿宋_GB2312" w:eastAsia="仿宋_GB2312" w:cs="仿宋_GB2312"/>
                <w:b/>
                <w:bCs/>
                <w:sz w:val="28"/>
                <w:szCs w:val="28"/>
              </w:rPr>
              <w:t>产业重点项目</w:t>
            </w:r>
          </w:p>
        </w:tc>
      </w:tr>
      <w:tr w14:paraId="3CA2AF59">
        <w:tblPrEx>
          <w:tblCellMar>
            <w:top w:w="0" w:type="dxa"/>
            <w:left w:w="28" w:type="dxa"/>
            <w:bottom w:w="0" w:type="dxa"/>
            <w:right w:w="28" w:type="dxa"/>
          </w:tblCellMar>
        </w:tblPrEx>
        <w:trPr>
          <w:trHeight w:val="567" w:hRule="atLeast"/>
          <w:jc w:val="center"/>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055610E">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热带特色。</w:t>
            </w:r>
            <w:r>
              <w:rPr>
                <w:rFonts w:hint="default" w:ascii="Times New Roman" w:hAnsi="Times New Roman" w:eastAsia="仿宋_GB2312" w:cs="Times New Roman"/>
                <w:b w:val="0"/>
                <w:bCs w:val="0"/>
                <w:sz w:val="28"/>
                <w:szCs w:val="28"/>
                <w:lang w:val="en-US" w:eastAsia="zh-CN"/>
              </w:rPr>
              <w:t>推进</w:t>
            </w:r>
            <w:r>
              <w:rPr>
                <w:rFonts w:hint="default" w:ascii="Times New Roman" w:hAnsi="Times New Roman" w:eastAsia="仿宋_GB2312" w:cs="Times New Roman"/>
                <w:sz w:val="28"/>
                <w:szCs w:val="28"/>
              </w:rPr>
              <w:t>海南热带健康食品精深加工、琼中果蔬食品精深加工基地、海口特色食品生产基地等项目建设。</w:t>
            </w:r>
          </w:p>
          <w:p w14:paraId="35B62A5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rPr>
            </w:pPr>
            <w:r>
              <w:rPr>
                <w:rFonts w:hint="default" w:ascii="Times New Roman" w:hAnsi="Times New Roman" w:eastAsia="仿宋_GB2312" w:cs="Times New Roman"/>
                <w:b/>
                <w:bCs/>
                <w:sz w:val="28"/>
                <w:szCs w:val="28"/>
              </w:rPr>
              <w:t>优质蛋白。</w:t>
            </w:r>
            <w:r>
              <w:rPr>
                <w:rFonts w:hint="default" w:ascii="Times New Roman" w:hAnsi="Times New Roman" w:eastAsia="仿宋_GB2312" w:cs="Times New Roman"/>
                <w:b w:val="0"/>
                <w:bCs w:val="0"/>
                <w:sz w:val="28"/>
                <w:szCs w:val="28"/>
                <w:lang w:val="en-US" w:eastAsia="zh-CN"/>
              </w:rPr>
              <w:t>推进</w:t>
            </w:r>
            <w:r>
              <w:rPr>
                <w:rFonts w:hint="default" w:ascii="Times New Roman" w:hAnsi="Times New Roman" w:eastAsia="仿宋_GB2312" w:cs="Times New Roman"/>
                <w:sz w:val="28"/>
                <w:szCs w:val="28"/>
              </w:rPr>
              <w:t>谭仙农产品加工产业园、定安酪蛋白衍生产品和烘焙原料生产基地、新加坡远洋鱼类深加工、文昌进口牛肉深加工等项目建设。</w:t>
            </w:r>
          </w:p>
          <w:p w14:paraId="366C6610">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粮油加工</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推进</w:t>
            </w:r>
            <w:r>
              <w:rPr>
                <w:rFonts w:hint="default" w:ascii="Times New Roman" w:hAnsi="Times New Roman" w:eastAsia="仿宋_GB2312" w:cs="Times New Roman"/>
                <w:sz w:val="28"/>
                <w:szCs w:val="28"/>
              </w:rPr>
              <w:t>儋州粮油综合加工产业园、儋州粮油加工智能制造示范生产线、澄迈粮油综合加工（低碳制造业）中央厨房等项目建设。</w:t>
            </w:r>
          </w:p>
          <w:p w14:paraId="2325C15E">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食品新赛道。</w:t>
            </w:r>
            <w:r>
              <w:rPr>
                <w:rFonts w:hint="default" w:ascii="Times New Roman" w:hAnsi="Times New Roman" w:eastAsia="仿宋_GB2312" w:cs="Times New Roman"/>
                <w:sz w:val="28"/>
                <w:szCs w:val="28"/>
                <w:lang w:val="en-US" w:eastAsia="zh-CN"/>
              </w:rPr>
              <w:t>推进</w:t>
            </w:r>
            <w:r>
              <w:rPr>
                <w:rFonts w:hint="default" w:ascii="Times New Roman" w:hAnsi="Times New Roman" w:eastAsia="仿宋_GB2312" w:cs="Times New Roman"/>
                <w:sz w:val="28"/>
                <w:szCs w:val="28"/>
              </w:rPr>
              <w:t>海口功能性饮料生产基地、海口饮用水生产基地、三亚啤酒生产基地等项目建设。</w:t>
            </w:r>
          </w:p>
          <w:p w14:paraId="47310B56">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黄金珠宝。</w:t>
            </w:r>
            <w:r>
              <w:rPr>
                <w:rFonts w:hint="default" w:ascii="Times New Roman" w:hAnsi="Times New Roman" w:eastAsia="仿宋_GB2312" w:cs="Times New Roman"/>
                <w:sz w:val="28"/>
                <w:szCs w:val="28"/>
                <w:lang w:val="en-US" w:eastAsia="zh-CN"/>
              </w:rPr>
              <w:t>推进</w:t>
            </w:r>
            <w:r>
              <w:rPr>
                <w:rFonts w:hint="default" w:ascii="Times New Roman" w:hAnsi="Times New Roman" w:eastAsia="仿宋_GB2312" w:cs="Times New Roman"/>
                <w:sz w:val="28"/>
                <w:szCs w:val="28"/>
              </w:rPr>
              <w:t>三亚天涯钻超级工场、三亚黄金精炼厂等项目建设。</w:t>
            </w:r>
          </w:p>
        </w:tc>
      </w:tr>
    </w:tbl>
    <w:p w14:paraId="19582665">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190" w:name="_Toc16336"/>
      <w:bookmarkStart w:id="191" w:name="_Toc9720"/>
      <w:bookmarkStart w:id="192" w:name="_Toc16421"/>
      <w:bookmarkStart w:id="193" w:name="_Toc3017"/>
      <w:bookmarkStart w:id="194" w:name="_Toc414898843"/>
      <w:r>
        <w:rPr>
          <w:rFonts w:hint="default" w:ascii="Times New Roman" w:hAnsi="Times New Roman" w:eastAsia="楷体_GB2312" w:cs="Times New Roman"/>
          <w:b/>
          <w:bCs/>
          <w:kern w:val="2"/>
          <w:sz w:val="32"/>
          <w:szCs w:val="32"/>
          <w:lang w:val="en-US" w:eastAsia="zh-CN" w:bidi="ar-SA"/>
        </w:rPr>
        <w:t>第二节  壮大做强四个五百亿</w:t>
      </w:r>
      <w:bookmarkEnd w:id="182"/>
      <w:r>
        <w:rPr>
          <w:rFonts w:hint="default" w:ascii="Times New Roman" w:hAnsi="Times New Roman" w:eastAsia="楷体_GB2312" w:cs="Times New Roman"/>
          <w:b/>
          <w:bCs/>
          <w:kern w:val="2"/>
          <w:sz w:val="32"/>
          <w:szCs w:val="32"/>
          <w:lang w:val="en-US" w:eastAsia="zh-CN" w:bidi="ar-SA"/>
        </w:rPr>
        <w:t>级产业集群</w:t>
      </w:r>
      <w:bookmarkEnd w:id="190"/>
      <w:bookmarkEnd w:id="191"/>
      <w:bookmarkEnd w:id="192"/>
      <w:bookmarkEnd w:id="193"/>
      <w:bookmarkEnd w:id="194"/>
    </w:p>
    <w:p w14:paraId="0ED12125">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195" w:name="_Toc16384"/>
      <w:bookmarkStart w:id="196" w:name="_Toc1611967265"/>
      <w:bookmarkStart w:id="197" w:name="_Toc13547"/>
      <w:bookmarkStart w:id="198" w:name="_Toc488"/>
      <w:bookmarkStart w:id="199" w:name="_Toc31143"/>
      <w:bookmarkStart w:id="200" w:name="_Toc3830"/>
      <w:r>
        <w:rPr>
          <w:rFonts w:hint="default" w:ascii="Times New Roman" w:hAnsi="Times New Roman" w:eastAsia="黑体" w:cs="Times New Roman"/>
          <w:b w:val="0"/>
          <w:bCs w:val="0"/>
          <w:sz w:val="32"/>
          <w:szCs w:val="32"/>
        </w:rPr>
        <w:t>一、现代生物医药</w:t>
      </w:r>
      <w:bookmarkEnd w:id="195"/>
      <w:bookmarkEnd w:id="196"/>
    </w:p>
    <w:p w14:paraId="2981E862">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依托海南</w:t>
      </w:r>
      <w:r>
        <w:rPr>
          <w:rFonts w:hint="eastAsia" w:ascii="仿宋_GB2312" w:hAnsi="仿宋_GB2312" w:eastAsia="仿宋_GB2312" w:cs="仿宋_GB2312"/>
          <w:sz w:val="32"/>
          <w:szCs w:val="32"/>
          <w:lang w:eastAsia="zh-CN"/>
        </w:rPr>
        <w:t>自由贸易港</w:t>
      </w:r>
      <w:r>
        <w:rPr>
          <w:rFonts w:hint="eastAsia" w:ascii="仿宋_GB2312" w:hAnsi="仿宋_GB2312" w:eastAsia="仿宋_GB2312" w:cs="仿宋_GB2312"/>
          <w:sz w:val="32"/>
          <w:szCs w:val="32"/>
        </w:rPr>
        <w:t>和博鳌乐城政策叠加优势，</w:t>
      </w:r>
      <w:r>
        <w:rPr>
          <w:rFonts w:hint="eastAsia" w:ascii="仿宋_GB2312" w:hAnsi="仿宋_GB2312" w:eastAsia="仿宋_GB2312" w:cs="仿宋_GB2312"/>
          <w:sz w:val="32"/>
          <w:szCs w:val="32"/>
          <w:lang w:bidi="ar"/>
        </w:rPr>
        <w:t>加快生物药创新突破、化学药高端</w:t>
      </w:r>
      <w:r>
        <w:rPr>
          <w:rFonts w:hint="eastAsia" w:ascii="仿宋_GB2312" w:hAnsi="仿宋_GB2312" w:eastAsia="仿宋_GB2312" w:cs="仿宋_GB2312"/>
          <w:sz w:val="32"/>
          <w:szCs w:val="32"/>
          <w:lang w:eastAsia="zh-CN" w:bidi="ar"/>
        </w:rPr>
        <w:t>转型</w:t>
      </w:r>
      <w:r>
        <w:rPr>
          <w:rFonts w:hint="eastAsia" w:ascii="仿宋_GB2312" w:hAnsi="仿宋_GB2312" w:eastAsia="仿宋_GB2312" w:cs="仿宋_GB2312"/>
          <w:sz w:val="32"/>
          <w:szCs w:val="32"/>
          <w:lang w:bidi="ar"/>
        </w:rPr>
        <w:t>、现代中药品牌特色化、医疗器械数智一体</w:t>
      </w:r>
      <w:r>
        <w:rPr>
          <w:rFonts w:hint="eastAsia" w:ascii="仿宋_GB2312" w:hAnsi="仿宋_GB2312" w:eastAsia="仿宋_GB2312" w:cs="仿宋_GB2312"/>
          <w:sz w:val="32"/>
          <w:szCs w:val="32"/>
          <w:lang w:eastAsia="zh-CN" w:bidi="ar"/>
        </w:rPr>
        <w:t>化等</w:t>
      </w:r>
      <w:r>
        <w:rPr>
          <w:rFonts w:hint="eastAsia" w:ascii="仿宋_GB2312" w:hAnsi="仿宋_GB2312" w:eastAsia="仿宋_GB2312" w:cs="仿宋_GB2312"/>
          <w:sz w:val="32"/>
          <w:szCs w:val="32"/>
          <w:lang w:bidi="ar"/>
        </w:rPr>
        <w:t>融合发展，</w:t>
      </w:r>
      <w:r>
        <w:rPr>
          <w:rFonts w:hint="eastAsia" w:ascii="仿宋_GB2312" w:hAnsi="仿宋_GB2312" w:eastAsia="仿宋_GB2312" w:cs="仿宋_GB2312"/>
          <w:sz w:val="32"/>
          <w:szCs w:val="32"/>
        </w:rPr>
        <w:t>推动生物医药产业“高端化、智能化、国际化”，</w:t>
      </w:r>
      <w:r>
        <w:rPr>
          <w:rFonts w:hint="eastAsia" w:ascii="仿宋_GB2312" w:hAnsi="仿宋_GB2312" w:eastAsia="仿宋_GB2312" w:cs="仿宋_GB2312"/>
          <w:sz w:val="32"/>
          <w:szCs w:val="32"/>
          <w:lang w:bidi="ar"/>
        </w:rPr>
        <w:t>以海口、琼海、三亚、儋州“四区联动”为重点，</w:t>
      </w:r>
      <w:r>
        <w:rPr>
          <w:rFonts w:hint="eastAsia" w:ascii="仿宋_GB2312" w:hAnsi="仿宋_GB2312" w:eastAsia="仿宋_GB2312" w:cs="仿宋_GB2312"/>
          <w:sz w:val="32"/>
          <w:szCs w:val="32"/>
        </w:rPr>
        <w:t>构建“研发+制造+服务+贸易”全链条生态体系，打造全球创新药械引进和中国创新药械出海的国际合作平台，到2030年，现代生物医药产业营收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达到500亿元。</w:t>
      </w:r>
    </w:p>
    <w:p w14:paraId="70CCDD6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生物药。</w:t>
      </w:r>
      <w:r>
        <w:rPr>
          <w:rFonts w:hint="eastAsia" w:ascii="仿宋_GB2312" w:hAnsi="仿宋_GB2312" w:eastAsia="仿宋_GB2312" w:cs="仿宋_GB2312"/>
          <w:sz w:val="32"/>
          <w:szCs w:val="32"/>
        </w:rPr>
        <w:t>依托海南博鳌乐城国际医疗旅游先行区政策优势和独特海洋资源，围绕抗体药物、重组蛋白、</w:t>
      </w:r>
      <w:r>
        <w:rPr>
          <w:rFonts w:hint="eastAsia" w:ascii="仿宋_GB2312" w:hAnsi="仿宋_GB2312" w:eastAsia="仿宋_GB2312" w:cs="仿宋_GB2312"/>
          <w:sz w:val="32"/>
          <w:szCs w:val="32"/>
          <w:lang w:eastAsia="zh-CN"/>
        </w:rPr>
        <w:t>细胞治疗、</w:t>
      </w:r>
      <w:r>
        <w:rPr>
          <w:rFonts w:hint="eastAsia" w:ascii="仿宋_GB2312" w:hAnsi="仿宋_GB2312" w:eastAsia="仿宋_GB2312" w:cs="仿宋_GB2312"/>
          <w:sz w:val="32"/>
          <w:szCs w:val="32"/>
        </w:rPr>
        <w:t>新型疫苗等重点领域加大创新投入</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"https://www.hn93.org.cn/h-nd-3565.html" \t "https://chat.deepseek.com/a/chat/s/_blank" </w:instrText>
      </w:r>
      <w:r>
        <w:rPr>
          <w:rFonts w:hint="eastAsia" w:ascii="仿宋_GB2312" w:hAnsi="仿宋_GB2312" w:eastAsia="仿宋_GB2312" w:cs="仿宋_GB2312"/>
        </w:rPr>
        <w:fldChar w:fldCharType="separate"/>
      </w:r>
      <w:r>
        <w:rPr>
          <w:rFonts w:hint="eastAsia" w:ascii="仿宋_GB2312" w:hAnsi="仿宋_GB2312" w:eastAsia="仿宋_GB2312" w:cs="仿宋_GB2312"/>
        </w:rPr>
        <w:fldChar w:fldCharType="end"/>
      </w:r>
      <w:r>
        <w:rPr>
          <w:rFonts w:hint="eastAsia" w:ascii="仿宋_GB2312" w:hAnsi="仿宋_GB2312" w:eastAsia="仿宋_GB2312" w:cs="仿宋_GB2312"/>
          <w:sz w:val="32"/>
          <w:szCs w:val="32"/>
        </w:rPr>
        <w:t>。抗体药物领域，加快发展针对肿瘤、免疫类疾病、代谢类疾病的单抗药物、双（多）抗药物和抗体偶联药；重组蛋白及多肽药物领域，重点开发新一代胰岛素、GLP-1（胰高血糖素样肽-1）等药物，布局</w:t>
      </w:r>
      <w:r>
        <w:rPr>
          <w:rFonts w:hint="eastAsia" w:ascii="仿宋_GB2312" w:hAnsi="仿宋_GB2312" w:eastAsia="仿宋_GB2312" w:cs="仿宋_GB2312"/>
          <w:sz w:val="32"/>
          <w:szCs w:val="32"/>
          <w:lang w:eastAsia="zh-CN"/>
        </w:rPr>
        <w:t>阿尔茨海默病</w:t>
      </w:r>
      <w:r>
        <w:rPr>
          <w:rFonts w:hint="eastAsia" w:ascii="仿宋_GB2312" w:hAnsi="仿宋_GB2312" w:eastAsia="仿宋_GB2312" w:cs="仿宋_GB2312"/>
          <w:sz w:val="32"/>
          <w:szCs w:val="32"/>
        </w:rPr>
        <w:t>等创新靶点；细胞治疗领域，加快免疫细胞治疗和干细胞治疗</w:t>
      </w:r>
      <w:r>
        <w:rPr>
          <w:rFonts w:hint="eastAsia" w:ascii="仿宋_GB2312" w:hAnsi="仿宋_GB2312" w:eastAsia="仿宋_GB2312" w:cs="仿宋_GB2312"/>
          <w:sz w:val="32"/>
          <w:szCs w:val="32"/>
          <w:lang w:eastAsia="zh-CN"/>
        </w:rPr>
        <w:t>等生物医学新</w:t>
      </w:r>
      <w:r>
        <w:rPr>
          <w:rFonts w:hint="eastAsia" w:ascii="仿宋_GB2312" w:hAnsi="仿宋_GB2312" w:eastAsia="仿宋_GB2312" w:cs="仿宋_GB2312"/>
          <w:sz w:val="32"/>
          <w:szCs w:val="32"/>
        </w:rPr>
        <w:t>技术转化应用，</w:t>
      </w:r>
      <w:r>
        <w:rPr>
          <w:rFonts w:hint="eastAsia" w:ascii="仿宋_GB2312" w:hAnsi="仿宋_GB2312" w:eastAsia="仿宋_GB2312" w:cs="仿宋_GB2312"/>
          <w:sz w:val="32"/>
          <w:szCs w:val="32"/>
          <w:lang w:eastAsia="zh-CN"/>
        </w:rPr>
        <w:t>构建从研发孵化到临床转化和产业化应用的闭环生态。</w:t>
      </w:r>
      <w:r>
        <w:rPr>
          <w:rFonts w:hint="eastAsia" w:ascii="仿宋_GB2312" w:hAnsi="仿宋_GB2312" w:eastAsia="仿宋_GB2312" w:cs="仿宋_GB2312"/>
          <w:sz w:val="32"/>
          <w:szCs w:val="32"/>
        </w:rPr>
        <w:t>聚焦源头创新，全力打造AI选药、下一代递送系统等前沿平台，持续培育合成生物学、纳米抗体等前沿领域，为生物药产业创新突破发展注入新动能</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"https://www.zmgrc.gov.cn/show-31834.html" \t "https://chat.deepseek.com/a/chat/s/_blank" </w:instrText>
      </w:r>
      <w:r>
        <w:rPr>
          <w:rFonts w:hint="eastAsia" w:ascii="仿宋_GB2312" w:hAnsi="仿宋_GB2312" w:eastAsia="仿宋_GB2312" w:cs="仿宋_GB2312"/>
        </w:rPr>
        <w:fldChar w:fldCharType="separate"/>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"https://www.hinews.cn/page?n=2802778&amp;m=1&amp;s=1044" \t "https://chat.deepseek.com/a/chat/s/_blank" </w:instrText>
      </w:r>
      <w:r>
        <w:rPr>
          <w:rFonts w:hint="eastAsia" w:ascii="仿宋_GB2312" w:hAnsi="仿宋_GB2312" w:eastAsia="仿宋_GB2312" w:cs="仿宋_GB2312"/>
        </w:rPr>
        <w:fldChar w:fldCharType="separate"/>
      </w:r>
      <w:r>
        <w:rPr>
          <w:rFonts w:hint="eastAsia" w:ascii="仿宋_GB2312" w:hAnsi="仿宋_GB2312" w:eastAsia="仿宋_GB2312" w:cs="仿宋_GB2312"/>
        </w:rPr>
        <w:fldChar w:fldCharType="end"/>
      </w:r>
      <w:r>
        <w:rPr>
          <w:rFonts w:hint="eastAsia" w:ascii="仿宋_GB2312" w:hAnsi="仿宋_GB2312" w:eastAsia="仿宋_GB2312" w:cs="仿宋_GB2312"/>
          <w:sz w:val="32"/>
          <w:szCs w:val="32"/>
        </w:rPr>
        <w:t>。</w:t>
      </w:r>
    </w:p>
    <w:p w14:paraId="7D6DF18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化学药。</w:t>
      </w:r>
      <w:r>
        <w:rPr>
          <w:rFonts w:hint="eastAsia" w:ascii="仿宋_GB2312" w:hAnsi="仿宋_GB2312" w:eastAsia="仿宋_GB2312" w:cs="仿宋_GB2312"/>
          <w:sz w:val="32"/>
          <w:szCs w:val="32"/>
        </w:rPr>
        <w:t>聚焦临床需求与产业升级，以技术突破和成本降低重塑化学药产品竞争力。锚定肿瘤、慢性病等重大临床未满足需求，主攻新靶点、新机制创新药及改良型新药研发，推动成果快速转化；针对临床紧缺的高价值药品，提速首仿与抢仿进程，严格落实仿制药质量和疗效一致性评价，保障用药安全</w:t>
      </w:r>
      <w:r>
        <w:rPr>
          <w:rFonts w:hint="eastAsia" w:ascii="仿宋_GB2312" w:hAnsi="仿宋_GB2312" w:eastAsia="仿宋_GB2312" w:cs="仿宋_GB2312"/>
          <w:sz w:val="32"/>
          <w:szCs w:val="32"/>
          <w:lang w:val="en-US" w:eastAsia="zh-CN"/>
        </w:rPr>
        <w:t>有效</w:t>
      </w:r>
      <w:r>
        <w:rPr>
          <w:rFonts w:hint="eastAsia" w:ascii="仿宋_GB2312" w:hAnsi="仿宋_GB2312" w:eastAsia="仿宋_GB2312" w:cs="仿宋_GB2312"/>
          <w:sz w:val="32"/>
          <w:szCs w:val="32"/>
        </w:rPr>
        <w:t>可及；集中攻关脂质体、纳米制剂、药械组合等新型给药系统，破解复杂制剂工艺瓶颈，定向开发儿童、老人等特殊人群专用制剂。在产业链上游，重点培育高附加值原料药，构建“高附加值中间体+特色原料药+化学制剂”一体化体系。加速药品国际</w:t>
      </w:r>
      <w:r>
        <w:rPr>
          <w:rFonts w:hint="eastAsia" w:ascii="仿宋_GB2312" w:hAnsi="仿宋_GB2312" w:eastAsia="仿宋_GB2312" w:cs="仿宋_GB2312"/>
          <w:sz w:val="32"/>
          <w:szCs w:val="32"/>
          <w:lang w:eastAsia="zh-CN"/>
        </w:rPr>
        <w:t>注册</w:t>
      </w:r>
      <w:r>
        <w:rPr>
          <w:rFonts w:hint="eastAsia" w:ascii="仿宋_GB2312" w:hAnsi="仿宋_GB2312" w:eastAsia="仿宋_GB2312" w:cs="仿宋_GB2312"/>
          <w:sz w:val="32"/>
          <w:szCs w:val="32"/>
        </w:rPr>
        <w:t>认证，开拓“一带一路”沿线及东盟市场，推动国产化学药融入全球供应链。</w:t>
      </w:r>
    </w:p>
    <w:p w14:paraId="5E67D997">
      <w:pPr>
        <w:keepNext w:val="0"/>
        <w:keepLines w:val="0"/>
        <w:pageBreakBefore w:val="0"/>
        <w:widowControl w:val="0"/>
        <w:kinsoku/>
        <w:wordWrap/>
        <w:overflowPunct w:val="0"/>
        <w:topLinePunct w:val="0"/>
        <w:autoSpaceDE/>
        <w:autoSpaceDN/>
        <w:bidi w:val="0"/>
        <w:adjustRightInd w:val="0"/>
        <w:snapToGrid w:val="0"/>
        <w:spacing w:beforeAutospacing="0" w:afterAutospacing="0" w:line="596" w:lineRule="exact"/>
        <w:ind w:left="0" w:firstLine="632" w:firstLineChars="200"/>
        <w:jc w:val="both"/>
        <w:textAlignment w:val="auto"/>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2"/>
          <w:sz w:val="32"/>
          <w:szCs w:val="32"/>
          <w:lang w:val="en-US" w:eastAsia="zh-CN" w:bidi="ar-SA"/>
        </w:rPr>
        <w:t>现代中药。</w:t>
      </w:r>
      <w:r>
        <w:rPr>
          <w:rFonts w:hint="eastAsia" w:ascii="仿宋_GB2312" w:hAnsi="仿宋_GB2312" w:eastAsia="仿宋_GB2312" w:cs="仿宋_GB2312"/>
          <w:kern w:val="0"/>
          <w:sz w:val="32"/>
          <w:szCs w:val="32"/>
          <w:lang w:val="en-US" w:eastAsia="zh-CN" w:bidi="ar-SA"/>
        </w:rPr>
        <w:t>充分利用海南独特的资源禀赋和气候优势，科学布局中药材GAP（《中药材生产质量管理规范》）种植基地，构建现代中药全产业链。</w:t>
      </w:r>
      <w:r>
        <w:rPr>
          <w:rFonts w:hint="eastAsia" w:ascii="仿宋_GB2312" w:hAnsi="仿宋_GB2312" w:eastAsia="仿宋_GB2312" w:cs="仿宋_GB2312"/>
          <w:kern w:val="2"/>
          <w:sz w:val="32"/>
          <w:szCs w:val="32"/>
          <w:lang w:val="en-US" w:eastAsia="zh-CN" w:bidi="ar-SA"/>
        </w:rPr>
        <w:t>在沉香、益智等道地药材主产区，集约布局中药饮片生产基地，着力发展</w:t>
      </w:r>
      <w:r>
        <w:rPr>
          <w:rFonts w:hint="eastAsia" w:ascii="仿宋_GB2312" w:hAnsi="仿宋_GB2312" w:eastAsia="仿宋_GB2312" w:cs="仿宋_GB2312"/>
          <w:kern w:val="0"/>
          <w:sz w:val="32"/>
          <w:szCs w:val="32"/>
          <w:lang w:val="en-US" w:eastAsia="zh-CN" w:bidi="ar-SA"/>
        </w:rPr>
        <w:t>中药配方颗粒、超微饮片等新型饮片，推进特色饮片质量标准与生产工艺的系统提升。</w:t>
      </w:r>
      <w:r>
        <w:rPr>
          <w:rFonts w:hint="eastAsia" w:ascii="仿宋_GB2312" w:hAnsi="仿宋_GB2312" w:eastAsia="仿宋_GB2312" w:cs="仿宋_GB2312"/>
          <w:kern w:val="2"/>
          <w:sz w:val="32"/>
          <w:szCs w:val="32"/>
          <w:lang w:val="en-US" w:eastAsia="zh-CN" w:bidi="ar-SA"/>
        </w:rPr>
        <w:t>加快南药、黎药等民族医药的传统疗法挖掘与新药研发，推动院内制剂与经典名方向市场化产品高效转化，培育一批疗效确切、使用便捷、质量稳定、临床价值高的中成药品种，系统打造“海南南药”与“黎药瑰宝”等特色产品品牌和地域标识。</w:t>
      </w:r>
      <w:r>
        <w:rPr>
          <w:rFonts w:hint="eastAsia" w:ascii="仿宋_GB2312" w:hAnsi="仿宋_GB2312" w:eastAsia="仿宋_GB2312" w:cs="仿宋_GB2312"/>
          <w:kern w:val="0"/>
          <w:sz w:val="32"/>
          <w:szCs w:val="32"/>
          <w:lang w:val="en-US" w:eastAsia="zh-CN" w:bidi="ar-SA"/>
        </w:rPr>
        <w:t>加强药食同源产品开发，打造以沉香为代表的香料、精油等芳香产品系列，积极培育“中药+”融合生态。</w:t>
      </w:r>
    </w:p>
    <w:p w14:paraId="4D29923B">
      <w:pPr>
        <w:keepNext w:val="0"/>
        <w:keepLines w:val="0"/>
        <w:pageBreakBefore w:val="0"/>
        <w:widowControl w:val="0"/>
        <w:kinsoku/>
        <w:wordWrap/>
        <w:overflowPunct w:val="0"/>
        <w:topLinePunct w:val="0"/>
        <w:autoSpaceDE/>
        <w:autoSpaceDN/>
        <w:bidi w:val="0"/>
        <w:adjustRightInd w:val="0"/>
        <w:snapToGrid w:val="0"/>
        <w:spacing w:beforeAutospacing="0" w:afterAutospacing="0" w:line="596" w:lineRule="exact"/>
        <w:ind w:left="0" w:firstLine="632"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医疗器械。</w:t>
      </w:r>
      <w:r>
        <w:rPr>
          <w:rFonts w:hint="eastAsia" w:ascii="仿宋_GB2312" w:hAnsi="仿宋_GB2312" w:eastAsia="仿宋_GB2312" w:cs="仿宋_GB2312"/>
          <w:kern w:val="2"/>
          <w:sz w:val="32"/>
          <w:szCs w:val="32"/>
          <w:lang w:val="en-US" w:eastAsia="zh-CN" w:bidi="ar-SA"/>
        </w:rPr>
        <w:t>重点发展药物涂层/可降解支架、3D打印骨科植入物、人工角膜等高端植介入器械；大力开发分子诊断、化学发光免疫诊断、即时检验等先进诊断技术和产品，以高通量基因测序、质谱、医学影像、生物信息诊断等临床需求，发展心脑血管与热带病筛查的智能POCT（即时检验）及AI影像诊断设备；培育外骨骼康复机器人、AI中医检测及心脏康复等数字疗法与智慧康养产品；前瞻布局干细胞治疗产品及脑组织再生等生物活性材料，探索再生医学临床转化。深化“乐城临床验证+海南研发生产”闭环与跨境委托生产模式，打造国际创新医疗器械进入中国市场的首站转化平台与先进制造基地。</w:t>
      </w:r>
    </w:p>
    <w:p w14:paraId="2481E445">
      <w:pPr>
        <w:keepNext w:val="0"/>
        <w:keepLines w:val="0"/>
        <w:pageBreakBefore w:val="0"/>
        <w:widowControl w:val="0"/>
        <w:kinsoku/>
        <w:wordWrap/>
        <w:overflowPunct w:val="0"/>
        <w:topLinePunct w:val="0"/>
        <w:autoSpaceDE/>
        <w:autoSpaceDN/>
        <w:bidi w:val="0"/>
        <w:adjustRightInd w:val="0"/>
        <w:snapToGrid w:val="0"/>
        <w:spacing w:beforeAutospacing="0" w:afterAutospacing="0" w:line="596" w:lineRule="exact"/>
        <w:ind w:left="0" w:firstLine="632" w:firstLineChars="200"/>
        <w:jc w:val="both"/>
        <w:textAlignment w:val="auto"/>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新业态。</w:t>
      </w:r>
      <w:r>
        <w:rPr>
          <w:rFonts w:hint="eastAsia" w:ascii="仿宋_GB2312" w:hAnsi="仿宋_GB2312" w:eastAsia="仿宋_GB2312" w:cs="仿宋_GB2312"/>
          <w:kern w:val="0"/>
          <w:sz w:val="32"/>
          <w:szCs w:val="32"/>
          <w:lang w:val="en-US" w:eastAsia="zh-CN" w:bidi="ar-SA"/>
        </w:rPr>
        <w:t>拓展“颜值经济”新赛道，引进射频微针、微聚焦超声等高精密医美设备制造，研发水凝胶、再生材料等新型产品与高端功能性护肤品，打造高端医美创新转化基地。建设特色营养与核医学中心，发展针对特定疾病的特医食品与功能性保健食品；布局新型医用同位素生产与诊疗一体化放射性药物研发。</w:t>
      </w:r>
      <w:r>
        <w:rPr>
          <w:rFonts w:hint="eastAsia" w:ascii="仿宋_GB2312" w:hAnsi="仿宋_GB2312" w:eastAsia="仿宋_GB2312" w:cs="仿宋_GB2312"/>
          <w:kern w:val="2"/>
          <w:sz w:val="32"/>
          <w:szCs w:val="32"/>
        </w:rPr>
        <w:t>发展数字疗法、硼中子俘获疗法等新技术，加快临床应用与服务平台建设，扩大新技术疗法应用范围</w:t>
      </w:r>
      <w:r>
        <w:rPr>
          <w:rFonts w:hint="eastAsia" w:ascii="仿宋_GB2312" w:hAnsi="仿宋_GB2312" w:eastAsia="仿宋_GB2312" w:cs="仿宋_GB2312"/>
          <w:kern w:val="0"/>
          <w:sz w:val="32"/>
          <w:szCs w:val="32"/>
          <w:lang w:val="en-US" w:eastAsia="zh-CN" w:bidi="ar-SA"/>
        </w:rPr>
        <w:t>。依托乐城医疗资源，聚焦细胞治疗、基因治疗、脑机接口等前沿赛道，完善细胞实验室、检验检测平台、中试平台等医药研发配套服务，做大国际化与跨境医疗服务新市场。</w:t>
      </w:r>
    </w:p>
    <w:tbl>
      <w:tblPr>
        <w:tblStyle w:val="27"/>
        <w:tblW w:w="5000" w:type="pct"/>
        <w:tblInd w:w="0" w:type="dxa"/>
        <w:tblLayout w:type="autofit"/>
        <w:tblCellMar>
          <w:top w:w="0" w:type="dxa"/>
          <w:left w:w="28" w:type="dxa"/>
          <w:bottom w:w="0" w:type="dxa"/>
          <w:right w:w="28" w:type="dxa"/>
        </w:tblCellMar>
      </w:tblPr>
      <w:tblGrid>
        <w:gridCol w:w="8864"/>
      </w:tblGrid>
      <w:tr w14:paraId="7C757D70">
        <w:tblPrEx>
          <w:tblCellMar>
            <w:top w:w="0" w:type="dxa"/>
            <w:left w:w="28" w:type="dxa"/>
            <w:bottom w:w="0" w:type="dxa"/>
            <w:right w:w="28"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14:paraId="60A24B3C">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28"/>
                <w:lang w:val="en-US" w:eastAsia="zh-CN" w:bidi="ar-SA"/>
              </w:rPr>
            </w:pPr>
            <w:r>
              <w:rPr>
                <w:rFonts w:hint="eastAsia" w:ascii="仿宋_GB2312" w:hAnsi="仿宋_GB2312" w:eastAsia="仿宋_GB2312" w:cs="仿宋_GB2312"/>
                <w:b/>
                <w:kern w:val="2"/>
                <w:sz w:val="28"/>
                <w:szCs w:val="28"/>
                <w:lang w:val="en-US" w:eastAsia="zh-CN" w:bidi="ar-SA"/>
              </w:rPr>
              <w:t>专栏4 现代生物医药产业重点项目</w:t>
            </w:r>
          </w:p>
        </w:tc>
      </w:tr>
      <w:tr w14:paraId="0B5E4A7F">
        <w:tblPrEx>
          <w:tblCellMar>
            <w:top w:w="0" w:type="dxa"/>
            <w:left w:w="28" w:type="dxa"/>
            <w:bottom w:w="0" w:type="dxa"/>
            <w:right w:w="28"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top"/>
          </w:tcPr>
          <w:p w14:paraId="05FFD754">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rPr>
            </w:pPr>
            <w:r>
              <w:rPr>
                <w:rFonts w:hint="default" w:ascii="Times New Roman" w:hAnsi="Times New Roman" w:eastAsia="仿宋_GB2312" w:cs="Times New Roman"/>
                <w:b/>
                <w:bCs/>
                <w:sz w:val="28"/>
                <w:szCs w:val="28"/>
              </w:rPr>
              <w:t>生物药</w:t>
            </w:r>
            <w:r>
              <w:rPr>
                <w:rFonts w:hint="default" w:ascii="Times New Roman" w:hAnsi="Times New Roman" w:eastAsia="仿宋_GB2312" w:cs="Times New Roman"/>
                <w:sz w:val="28"/>
                <w:szCs w:val="28"/>
              </w:rPr>
              <w:t>。谋划海口生物医药研发及生产基地、海口生物多肽创新应用基地、洋浦无细胞合成蛋白质等项目。</w:t>
            </w:r>
          </w:p>
          <w:p w14:paraId="027FBD70">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rPr>
            </w:pPr>
            <w:r>
              <w:rPr>
                <w:rFonts w:hint="default" w:ascii="Times New Roman" w:hAnsi="Times New Roman" w:eastAsia="仿宋_GB2312" w:cs="Times New Roman"/>
                <w:b/>
                <w:bCs/>
                <w:sz w:val="28"/>
                <w:szCs w:val="28"/>
              </w:rPr>
              <w:t>化学药。</w:t>
            </w:r>
            <w:r>
              <w:rPr>
                <w:rFonts w:hint="eastAsia" w:eastAsia="仿宋_GB2312" w:cs="Times New Roman"/>
                <w:b w:val="0"/>
                <w:bCs w:val="0"/>
                <w:sz w:val="28"/>
                <w:szCs w:val="28"/>
                <w:lang w:val="en-US" w:eastAsia="zh-CN"/>
              </w:rPr>
              <w:t>推进</w:t>
            </w:r>
            <w:r>
              <w:rPr>
                <w:rFonts w:hint="default" w:ascii="Times New Roman" w:hAnsi="Times New Roman" w:eastAsia="仿宋_GB2312" w:cs="Times New Roman"/>
                <w:sz w:val="28"/>
                <w:szCs w:val="28"/>
              </w:rPr>
              <w:t>海口高端药物制剂研发及生产基地等项目建设。</w:t>
            </w:r>
          </w:p>
          <w:p w14:paraId="647E8AC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rPr>
            </w:pPr>
            <w:r>
              <w:rPr>
                <w:rFonts w:hint="default" w:ascii="Times New Roman" w:hAnsi="Times New Roman" w:eastAsia="仿宋_GB2312" w:cs="Times New Roman"/>
                <w:b/>
                <w:bCs/>
                <w:sz w:val="28"/>
                <w:szCs w:val="28"/>
              </w:rPr>
              <w:t>中药</w:t>
            </w:r>
            <w:r>
              <w:rPr>
                <w:rFonts w:hint="default" w:ascii="Times New Roman" w:hAnsi="Times New Roman" w:eastAsia="仿宋_GB2312" w:cs="Times New Roman"/>
                <w:sz w:val="28"/>
                <w:szCs w:val="28"/>
              </w:rPr>
              <w:t>。</w:t>
            </w:r>
            <w:r>
              <w:rPr>
                <w:rFonts w:hint="eastAsia" w:eastAsia="仿宋_GB2312" w:cs="Times New Roman"/>
                <w:sz w:val="28"/>
                <w:szCs w:val="28"/>
                <w:lang w:val="en-US" w:eastAsia="zh-CN"/>
              </w:rPr>
              <w:t>推进</w:t>
            </w:r>
            <w:r>
              <w:rPr>
                <w:rFonts w:hint="default" w:ascii="Times New Roman" w:hAnsi="Times New Roman" w:eastAsia="仿宋_GB2312" w:cs="Times New Roman"/>
                <w:sz w:val="28"/>
                <w:szCs w:val="28"/>
              </w:rPr>
              <w:t>陵水中药饮片加工基地等项目建设。</w:t>
            </w:r>
          </w:p>
          <w:p w14:paraId="376C5632">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rPr>
            </w:pPr>
            <w:r>
              <w:rPr>
                <w:rFonts w:hint="default" w:ascii="Times New Roman" w:hAnsi="Times New Roman" w:eastAsia="仿宋_GB2312" w:cs="Times New Roman"/>
                <w:b/>
                <w:bCs/>
                <w:sz w:val="28"/>
                <w:szCs w:val="28"/>
              </w:rPr>
              <w:t>医疗器械</w:t>
            </w:r>
            <w:r>
              <w:rPr>
                <w:rFonts w:hint="default" w:ascii="Times New Roman" w:hAnsi="Times New Roman" w:eastAsia="仿宋_GB2312" w:cs="Times New Roman"/>
                <w:sz w:val="28"/>
                <w:szCs w:val="28"/>
              </w:rPr>
              <w:t>。</w:t>
            </w:r>
            <w:r>
              <w:rPr>
                <w:rFonts w:hint="eastAsia" w:eastAsia="仿宋_GB2312" w:cs="Times New Roman"/>
                <w:sz w:val="28"/>
                <w:szCs w:val="28"/>
                <w:lang w:val="en-US" w:eastAsia="zh-CN"/>
              </w:rPr>
              <w:t>推进</w:t>
            </w:r>
            <w:r>
              <w:rPr>
                <w:rFonts w:hint="default" w:ascii="Times New Roman" w:hAnsi="Times New Roman" w:eastAsia="仿宋_GB2312" w:cs="Times New Roman"/>
                <w:sz w:val="28"/>
                <w:szCs w:val="28"/>
              </w:rPr>
              <w:t>海口药械研发生产总部基地、海口高端康复医疗器械生产加工基地、琼海微创介入医械及新材料等项目建设。</w:t>
            </w:r>
          </w:p>
          <w:p w14:paraId="61A7FAC1">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创新平台。</w:t>
            </w:r>
            <w:r>
              <w:rPr>
                <w:rFonts w:hint="default" w:ascii="Times New Roman" w:hAnsi="Times New Roman" w:eastAsia="仿宋_GB2312" w:cs="Times New Roman"/>
                <w:sz w:val="28"/>
                <w:szCs w:val="28"/>
              </w:rPr>
              <w:t>建设药物结构与成分分析专业技术服务平台、生物医药中试平台、概念验证中心等创新平台。</w:t>
            </w:r>
          </w:p>
        </w:tc>
      </w:tr>
    </w:tbl>
    <w:p w14:paraId="776EFBC9">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01" w:name="_Toc1283773277"/>
      <w:bookmarkStart w:id="202" w:name="_Toc17394"/>
      <w:r>
        <w:rPr>
          <w:rFonts w:hint="default" w:ascii="Times New Roman" w:hAnsi="Times New Roman" w:eastAsia="黑体" w:cs="Times New Roman"/>
          <w:b w:val="0"/>
          <w:bCs w:val="0"/>
          <w:sz w:val="32"/>
          <w:szCs w:val="32"/>
        </w:rPr>
        <w:t>二、商业航天</w:t>
      </w:r>
      <w:bookmarkEnd w:id="197"/>
      <w:bookmarkEnd w:id="198"/>
      <w:bookmarkEnd w:id="199"/>
      <w:bookmarkEnd w:id="200"/>
      <w:bookmarkEnd w:id="201"/>
      <w:bookmarkEnd w:id="202"/>
    </w:p>
    <w:p w14:paraId="2C84A6D6">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服务“航天强国”战略为核心，全力推进海南商业航天发射场建设，“以场带产”形成涵盖商业发射、星箭制造、卫星应用等全链条产业集群，打造火箭链、卫星链、数据链和“航天+”产业体系。到2030年，商业航天</w:t>
      </w:r>
      <w:r>
        <w:rPr>
          <w:rFonts w:hint="eastAsia" w:ascii="仿宋_GB2312" w:hAnsi="仿宋_GB2312" w:eastAsia="仿宋_GB2312" w:cs="仿宋_GB2312"/>
          <w:sz w:val="32"/>
          <w:szCs w:val="32"/>
          <w:lang w:eastAsia="zh"/>
        </w:rPr>
        <w:t>产业</w:t>
      </w:r>
      <w:r>
        <w:rPr>
          <w:rFonts w:hint="eastAsia" w:ascii="仿宋_GB2312" w:hAnsi="仿宋_GB2312" w:eastAsia="仿宋_GB2312" w:cs="仿宋_GB2312"/>
          <w:sz w:val="32"/>
          <w:szCs w:val="32"/>
        </w:rPr>
        <w:t>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达到500亿元。</w:t>
      </w:r>
    </w:p>
    <w:p w14:paraId="6505D3AF">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发射场。</w:t>
      </w:r>
      <w:r>
        <w:rPr>
          <w:rFonts w:hint="eastAsia" w:ascii="仿宋_GB2312" w:hAnsi="仿宋_GB2312" w:eastAsia="仿宋_GB2312" w:cs="仿宋_GB2312"/>
          <w:sz w:val="32"/>
          <w:szCs w:val="32"/>
        </w:rPr>
        <w:t>围绕“出厂即发射、发射即运营、返回即复用”目标体系，强化商业航天发射场硬基础设施和软实力建设，加快新发射工位和测控、安控、测发等重大基础设施和核心能力建设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探索多元化的商业发射工位融资、建设、运营模式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加快海上回收平台建设，</w:t>
      </w:r>
      <w:r>
        <w:rPr>
          <w:rFonts w:hint="eastAsia" w:ascii="仿宋_GB2312" w:hAnsi="仿宋_GB2312" w:eastAsia="仿宋_GB2312" w:cs="仿宋_GB2312"/>
          <w:sz w:val="32"/>
          <w:szCs w:val="32"/>
        </w:rPr>
        <w:t>构建“回收－评估－复用”一条龙的航天绿色制造体系。</w:t>
      </w:r>
      <w:r>
        <w:rPr>
          <w:rFonts w:hint="eastAsia" w:ascii="仿宋_GB2312" w:hAnsi="仿宋_GB2312" w:eastAsia="仿宋_GB2312" w:cs="仿宋_GB2312"/>
          <w:sz w:val="32"/>
          <w:szCs w:val="32"/>
          <w:shd w:val="clear" w:color="auto" w:fill="FFFFFF"/>
        </w:rPr>
        <w:t>逐步建立成熟稳定的商业航天发射任务机制，实现低成本、高频次、安全可持续的商业发射能力。</w:t>
      </w:r>
    </w:p>
    <w:p w14:paraId="1983DB5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火箭链。</w:t>
      </w:r>
      <w:r>
        <w:rPr>
          <w:rFonts w:hint="eastAsia" w:ascii="仿宋_GB2312" w:hAnsi="仿宋_GB2312" w:eastAsia="仿宋_GB2312" w:cs="仿宋_GB2312"/>
          <w:sz w:val="32"/>
          <w:szCs w:val="32"/>
          <w:shd w:val="clear" w:color="auto" w:fill="FFFFFF"/>
        </w:rPr>
        <w:t>以</w:t>
      </w:r>
      <w:r>
        <w:rPr>
          <w:rFonts w:hint="eastAsia" w:ascii="仿宋_GB2312" w:hAnsi="仿宋_GB2312" w:eastAsia="仿宋_GB2312" w:cs="仿宋_GB2312"/>
          <w:sz w:val="32"/>
          <w:szCs w:val="32"/>
        </w:rPr>
        <w:t>火箭总装总测为重点，</w:t>
      </w:r>
      <w:r>
        <w:rPr>
          <w:rFonts w:hint="eastAsia" w:ascii="仿宋_GB2312" w:hAnsi="仿宋_GB2312" w:eastAsia="仿宋_GB2312" w:cs="仿宋_GB2312"/>
          <w:sz w:val="32"/>
          <w:szCs w:val="32"/>
          <w:lang w:val="en-US" w:eastAsia="zh-CN"/>
        </w:rPr>
        <w:t>支持</w:t>
      </w:r>
      <w:r>
        <w:rPr>
          <w:rFonts w:hint="eastAsia" w:ascii="仿宋_GB2312" w:hAnsi="仿宋_GB2312" w:eastAsia="仿宋_GB2312" w:cs="仿宋_GB2312"/>
          <w:sz w:val="32"/>
          <w:szCs w:val="32"/>
        </w:rPr>
        <w:t>招引重点产业项目落地。发挥优质企业“头雁效应”，</w:t>
      </w:r>
      <w:r>
        <w:rPr>
          <w:rFonts w:hint="eastAsia" w:ascii="仿宋_GB2312" w:hAnsi="仿宋_GB2312" w:eastAsia="仿宋_GB2312" w:cs="仿宋_GB2312"/>
          <w:sz w:val="32"/>
          <w:szCs w:val="32"/>
          <w:lang w:val="en-US" w:eastAsia="zh-CN"/>
        </w:rPr>
        <w:t>带动</w:t>
      </w:r>
      <w:r>
        <w:rPr>
          <w:rFonts w:hint="eastAsia" w:ascii="仿宋_GB2312" w:hAnsi="仿宋_GB2312" w:eastAsia="仿宋_GB2312" w:cs="仿宋_GB2312"/>
          <w:sz w:val="32"/>
          <w:szCs w:val="32"/>
        </w:rPr>
        <w:t>国内企业将关键材料和单机研发、分系统和大部段生产等环节在海南布局，重点发展环保型火箭用复合材料、控制类及故障检测类单机、火箭回收和修复技术等，培育一批专精特新企业，建设一批火箭技术平台，积极构建“设计－制造－试验－量产”全链条产业体系。</w:t>
      </w:r>
    </w:p>
    <w:p w14:paraId="61970F4C">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卫星链。</w:t>
      </w:r>
      <w:r>
        <w:rPr>
          <w:rFonts w:hint="eastAsia" w:ascii="仿宋_GB2312" w:hAnsi="仿宋_GB2312" w:eastAsia="仿宋_GB2312" w:cs="仿宋_GB2312"/>
          <w:sz w:val="32"/>
          <w:szCs w:val="32"/>
        </w:rPr>
        <w:t>加快建设卫星超级工厂及其配套工程，建设国际卫星先进制造中心、国际星箭协同研发中心，汇聚商业卫星总装试验业务，带动关键分系统和部组件研制生产及进出口业务落地。集聚一批卫星及应用芯片设计、通信系统研发、智能卫星开发、卫星应用终端研制、卫星运营等产业链上下游企业，加速形成规模效应。推动重大科研设施共享共用和公共服务平台建设，构建产业培育服务体系。</w:t>
      </w:r>
    </w:p>
    <w:p w14:paraId="17C610E3">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数据链。</w:t>
      </w:r>
      <w:r>
        <w:rPr>
          <w:rFonts w:hint="eastAsia" w:ascii="仿宋_GB2312" w:hAnsi="仿宋_GB2312" w:eastAsia="仿宋_GB2312" w:cs="仿宋_GB2312"/>
          <w:sz w:val="32"/>
          <w:szCs w:val="32"/>
        </w:rPr>
        <w:t>加大以新一代机载、船载、车载和手持设备等为代表的终端集成产品制造和规模化应用，在海洋、交通、应急等领域形成一批通导遥卫星应用</w:t>
      </w:r>
      <w:r>
        <w:rPr>
          <w:rFonts w:hint="eastAsia" w:ascii="仿宋_GB2312" w:hAnsi="仿宋_GB2312" w:eastAsia="仿宋_GB2312" w:cs="仿宋_GB2312"/>
          <w:sz w:val="32"/>
          <w:szCs w:val="32"/>
          <w:lang w:val="en-US" w:eastAsia="zh-CN"/>
        </w:rPr>
        <w:t>案例</w:t>
      </w:r>
      <w:r>
        <w:rPr>
          <w:rFonts w:hint="eastAsia" w:ascii="仿宋_GB2312" w:hAnsi="仿宋_GB2312" w:eastAsia="仿宋_GB2312" w:cs="仿宋_GB2312"/>
          <w:sz w:val="32"/>
          <w:szCs w:val="32"/>
        </w:rPr>
        <w:t>。以卫星数据为核心商品，加快建设国际卫星数据交易服务平台，推动通导遥数据一体化交易、共享、分析和应用，加速形成卫星数据产业链。优化卫星数据交易和流通的市场环境，加快培引数据服务机构，探</w:t>
      </w:r>
      <w:r>
        <w:rPr>
          <w:rFonts w:hint="eastAsia" w:ascii="仿宋_GB2312" w:hAnsi="仿宋_GB2312" w:eastAsia="仿宋_GB2312" w:cs="仿宋_GB2312"/>
          <w:sz w:val="32"/>
          <w:szCs w:val="32"/>
          <w:lang w:eastAsia="zh-CN"/>
        </w:rPr>
        <w:t>索将</w:t>
      </w:r>
      <w:r>
        <w:rPr>
          <w:rFonts w:hint="eastAsia" w:ascii="仿宋_GB2312" w:hAnsi="仿宋_GB2312" w:eastAsia="仿宋_GB2312" w:cs="仿宋_GB2312"/>
          <w:sz w:val="32"/>
          <w:szCs w:val="32"/>
        </w:rPr>
        <w:t>卫星数据与终端应用融入健康、养老、教育、文旅等领域，推动市场需求从B端向C端拓展。建设海南卫星数据与应用研究中心，做大来数加工、数据出海等业务。争取在低轨卫星服务、通导遥数据融合服务等领域先试先行，催生新应用场景。</w:t>
      </w:r>
    </w:p>
    <w:tbl>
      <w:tblPr>
        <w:tblStyle w:val="27"/>
        <w:tblW w:w="0" w:type="auto"/>
        <w:tblInd w:w="125" w:type="dxa"/>
        <w:tblLayout w:type="fixed"/>
        <w:tblCellMar>
          <w:top w:w="0" w:type="dxa"/>
          <w:left w:w="0" w:type="dxa"/>
          <w:bottom w:w="0" w:type="dxa"/>
          <w:right w:w="0" w:type="dxa"/>
        </w:tblCellMar>
      </w:tblPr>
      <w:tblGrid>
        <w:gridCol w:w="8844"/>
      </w:tblGrid>
      <w:tr w14:paraId="0694155E">
        <w:tblPrEx>
          <w:tblCellMar>
            <w:top w:w="0" w:type="dxa"/>
            <w:left w:w="0" w:type="dxa"/>
            <w:bottom w:w="0" w:type="dxa"/>
            <w:right w:w="0" w:type="dxa"/>
          </w:tblCellMar>
        </w:tblPrEx>
        <w:trPr>
          <w:trHeight w:val="567" w:hRule="atLeast"/>
        </w:trPr>
        <w:tc>
          <w:tcPr>
            <w:tcW w:w="88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4E3D885">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28"/>
              </w:rPr>
            </w:pPr>
            <w:r>
              <w:rPr>
                <w:rFonts w:hint="eastAsia" w:ascii="仿宋_GB2312" w:hAnsi="仿宋_GB2312" w:eastAsia="仿宋_GB2312" w:cs="仿宋_GB2312"/>
                <w:b/>
                <w:sz w:val="28"/>
                <w:szCs w:val="28"/>
              </w:rPr>
              <w:t>专栏5 商业航天产业重点项目</w:t>
            </w:r>
          </w:p>
        </w:tc>
      </w:tr>
      <w:tr w14:paraId="6F41B8F1">
        <w:tblPrEx>
          <w:tblCellMar>
            <w:top w:w="0" w:type="dxa"/>
            <w:left w:w="0" w:type="dxa"/>
            <w:bottom w:w="0" w:type="dxa"/>
            <w:right w:w="0" w:type="dxa"/>
          </w:tblCellMar>
        </w:tblPrEx>
        <w:trPr>
          <w:trHeight w:val="567" w:hRule="atLeast"/>
        </w:trPr>
        <w:tc>
          <w:tcPr>
            <w:tcW w:w="88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0647CC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发射场。</w:t>
            </w:r>
            <w:r>
              <w:rPr>
                <w:rFonts w:hint="default" w:ascii="Times New Roman" w:hAnsi="Times New Roman" w:eastAsia="仿宋_GB2312" w:cs="Times New Roman"/>
                <w:sz w:val="28"/>
                <w:szCs w:val="28"/>
              </w:rPr>
              <w:t>建设三号、四号发射工位及加注库区、火箭厂房、卫星厂房、测控站等配套重大基础设施。</w:t>
            </w:r>
          </w:p>
          <w:p w14:paraId="4340E102">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火箭链。</w:t>
            </w:r>
            <w:r>
              <w:rPr>
                <w:rFonts w:hint="default" w:ascii="Times New Roman" w:hAnsi="Times New Roman" w:eastAsia="仿宋_GB2312" w:cs="Times New Roman"/>
                <w:sz w:val="28"/>
                <w:szCs w:val="28"/>
              </w:rPr>
              <w:t>建设运载火箭总装总测复用工厂、</w:t>
            </w:r>
            <w:r>
              <w:rPr>
                <w:rFonts w:hint="default" w:eastAsia="仿宋_GB2312" w:cs="Times New Roman"/>
                <w:sz w:val="28"/>
                <w:szCs w:val="28"/>
              </w:rPr>
              <w:t>火箭贮箱及火箭动力系统子级总装基地</w:t>
            </w:r>
            <w:r>
              <w:rPr>
                <w:rFonts w:hint="default" w:eastAsia="仿宋_GB2312" w:cs="Times New Roman"/>
                <w:sz w:val="28"/>
                <w:szCs w:val="28"/>
                <w:lang w:eastAsia="zh-CN"/>
              </w:rPr>
              <w:t>、</w:t>
            </w:r>
            <w:r>
              <w:rPr>
                <w:rFonts w:hint="default" w:ascii="Times New Roman" w:hAnsi="Times New Roman" w:eastAsia="仿宋_GB2312" w:cs="Times New Roman"/>
                <w:sz w:val="28"/>
                <w:szCs w:val="28"/>
              </w:rPr>
              <w:t>火箭总装总测技术厂房等项目。</w:t>
            </w:r>
          </w:p>
          <w:p w14:paraId="5898D4EB">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宋体" w:cs="Times New Roman"/>
                <w:sz w:val="28"/>
                <w:szCs w:val="28"/>
              </w:rPr>
            </w:pPr>
            <w:r>
              <w:rPr>
                <w:rFonts w:hint="default" w:ascii="Times New Roman" w:hAnsi="Times New Roman" w:eastAsia="仿宋_GB2312" w:cs="Times New Roman"/>
                <w:b/>
                <w:bCs/>
                <w:sz w:val="28"/>
                <w:szCs w:val="28"/>
              </w:rPr>
              <w:t>卫星链。</w:t>
            </w:r>
            <w:r>
              <w:rPr>
                <w:rFonts w:hint="default" w:ascii="Times New Roman" w:hAnsi="Times New Roman" w:eastAsia="仿宋_GB2312" w:cs="Times New Roman"/>
                <w:sz w:val="28"/>
                <w:szCs w:val="28"/>
              </w:rPr>
              <w:t>建设</w:t>
            </w:r>
            <w:r>
              <w:rPr>
                <w:rFonts w:hint="default" w:eastAsia="仿宋_GB2312" w:cs="Times New Roman"/>
                <w:sz w:val="28"/>
                <w:szCs w:val="28"/>
              </w:rPr>
              <w:t>海南自贸港卫星星座</w:t>
            </w:r>
            <w:r>
              <w:rPr>
                <w:rFonts w:hint="default" w:ascii="Times New Roman" w:hAnsi="Times New Roman" w:eastAsia="仿宋_GB2312" w:cs="Times New Roman"/>
                <w:sz w:val="28"/>
                <w:szCs w:val="28"/>
              </w:rPr>
              <w:t>、海南卫星超级工厂等项目。</w:t>
            </w:r>
          </w:p>
        </w:tc>
      </w:tr>
    </w:tbl>
    <w:p w14:paraId="46BDB46B">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03" w:name="_Toc28022"/>
      <w:bookmarkStart w:id="204" w:name="_Toc25508"/>
      <w:bookmarkStart w:id="205" w:name="_Toc11914"/>
      <w:bookmarkStart w:id="206" w:name="_Toc5420"/>
      <w:bookmarkStart w:id="207" w:name="_Toc933108647"/>
      <w:bookmarkStart w:id="208" w:name="_Toc1163"/>
      <w:r>
        <w:rPr>
          <w:rFonts w:hint="default" w:ascii="Times New Roman" w:hAnsi="Times New Roman" w:eastAsia="黑体" w:cs="Times New Roman"/>
          <w:b w:val="0"/>
          <w:bCs w:val="0"/>
          <w:sz w:val="32"/>
          <w:szCs w:val="32"/>
        </w:rPr>
        <w:t>三、深海科技</w:t>
      </w:r>
      <w:bookmarkEnd w:id="203"/>
      <w:bookmarkEnd w:id="204"/>
      <w:bookmarkEnd w:id="205"/>
      <w:bookmarkEnd w:id="206"/>
      <w:bookmarkEnd w:id="207"/>
      <w:bookmarkEnd w:id="208"/>
    </w:p>
    <w:p w14:paraId="36822F89">
      <w:pPr>
        <w:keepNext w:val="0"/>
        <w:keepLines w:val="0"/>
        <w:pageBreakBefore w:val="0"/>
        <w:widowControl w:val="0"/>
        <w:shd w:val="clear" w:color="auto" w:fill="auto"/>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海洋强国”战略，以“产业集群发展、核心技术攻关”为主线，以发挥比较优势、构建产业生态为发力点，聚力发展深海科技装备、高端海工装备、船舶及游艇修造、海洋新基建等产业，将海南打造成为深海高端装备</w:t>
      </w:r>
      <w:r>
        <w:rPr>
          <w:rFonts w:hint="eastAsia" w:ascii="仿宋_GB2312" w:hAnsi="仿宋_GB2312" w:eastAsia="仿宋_GB2312" w:cs="仿宋_GB2312"/>
          <w:sz w:val="32"/>
          <w:szCs w:val="32"/>
          <w:lang w:val="en-US" w:eastAsia="zh-CN"/>
        </w:rPr>
        <w:t>制造的</w:t>
      </w:r>
      <w:r>
        <w:rPr>
          <w:rFonts w:hint="eastAsia" w:ascii="仿宋_GB2312" w:hAnsi="仿宋_GB2312" w:eastAsia="仿宋_GB2312" w:cs="仿宋_GB2312"/>
          <w:sz w:val="32"/>
          <w:szCs w:val="32"/>
        </w:rPr>
        <w:t>产业</w:t>
      </w:r>
      <w:r>
        <w:rPr>
          <w:rFonts w:hint="eastAsia" w:ascii="仿宋_GB2312" w:hAnsi="仿宋_GB2312" w:eastAsia="仿宋_GB2312" w:cs="仿宋_GB2312"/>
          <w:sz w:val="32"/>
          <w:szCs w:val="32"/>
          <w:lang w:val="en-US" w:eastAsia="zh-CN"/>
        </w:rPr>
        <w:t>集聚</w:t>
      </w:r>
      <w:r>
        <w:rPr>
          <w:rFonts w:hint="eastAsia" w:ascii="仿宋_GB2312" w:hAnsi="仿宋_GB2312" w:eastAsia="仿宋_GB2312" w:cs="仿宋_GB2312"/>
          <w:sz w:val="32"/>
          <w:szCs w:val="32"/>
        </w:rPr>
        <w:t>区、全球技术应用</w:t>
      </w:r>
      <w:r>
        <w:rPr>
          <w:rFonts w:hint="eastAsia" w:ascii="仿宋_GB2312" w:hAnsi="仿宋_GB2312" w:eastAsia="仿宋_GB2312" w:cs="仿宋_GB2312"/>
          <w:sz w:val="32"/>
          <w:szCs w:val="32"/>
          <w:lang w:val="en-US" w:eastAsia="zh-CN"/>
        </w:rPr>
        <w:t>的领先实践地</w:t>
      </w:r>
      <w:r>
        <w:rPr>
          <w:rFonts w:hint="eastAsia" w:ascii="仿宋_GB2312" w:hAnsi="仿宋_GB2312" w:eastAsia="仿宋_GB2312" w:cs="仿宋_GB2312"/>
          <w:sz w:val="32"/>
          <w:szCs w:val="32"/>
        </w:rPr>
        <w:t>、国际市场开发合作</w:t>
      </w:r>
      <w:r>
        <w:rPr>
          <w:rFonts w:hint="eastAsia" w:ascii="仿宋_GB2312" w:hAnsi="仿宋_GB2312" w:eastAsia="仿宋_GB2312" w:cs="仿宋_GB2312"/>
          <w:sz w:val="32"/>
          <w:szCs w:val="32"/>
          <w:lang w:val="en-US" w:eastAsia="zh-CN"/>
        </w:rPr>
        <w:t>的重要平台</w:t>
      </w:r>
      <w:r>
        <w:rPr>
          <w:rFonts w:hint="eastAsia" w:ascii="仿宋_GB2312" w:hAnsi="仿宋_GB2312" w:eastAsia="仿宋_GB2312" w:cs="仿宋_GB2312"/>
          <w:sz w:val="32"/>
          <w:szCs w:val="32"/>
        </w:rPr>
        <w:t>。到2030年，深海科技产业营收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达到500亿元。</w:t>
      </w:r>
    </w:p>
    <w:p w14:paraId="2AF8C01A">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深海科技装备。</w:t>
      </w:r>
      <w:r>
        <w:rPr>
          <w:rFonts w:hint="eastAsia" w:ascii="仿宋_GB2312" w:hAnsi="仿宋_GB2312" w:eastAsia="仿宋_GB2312" w:cs="仿宋_GB2312"/>
          <w:sz w:val="32"/>
          <w:szCs w:val="32"/>
        </w:rPr>
        <w:t>围绕科学研究、深海考古、工程作业、海洋生态治理等需求，</w:t>
      </w:r>
      <w:r>
        <w:rPr>
          <w:rFonts w:hint="eastAsia" w:ascii="仿宋_GB2312" w:hAnsi="仿宋_GB2312" w:eastAsia="仿宋_GB2312" w:cs="仿宋_GB2312"/>
          <w:sz w:val="32"/>
          <w:szCs w:val="32"/>
          <w:lang w:bidi="ar"/>
        </w:rPr>
        <w:t>推动深海载人潜水器、水下机器人、极区深海装备</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bidi="ar"/>
        </w:rPr>
        <w:t>前沿技术装备的研发突破，构建具有海南特色的深海科技装备体系，打造涵盖深海探测、资源开发、综合测试及运维服务等完整产业链的资源集聚高地。发挥“深海勇士”号、“奋斗者”号、</w:t>
      </w:r>
      <w:r>
        <w:rPr>
          <w:rFonts w:hint="eastAsia" w:ascii="仿宋_GB2312" w:hAnsi="仿宋_GB2312" w:eastAsia="仿宋_GB2312" w:cs="仿宋_GB2312"/>
          <w:sz w:val="32"/>
          <w:szCs w:val="32"/>
          <w:lang w:val="en-US" w:eastAsia="zh-CN" w:bidi="ar"/>
        </w:rPr>
        <w:t>海洋科学</w:t>
      </w:r>
      <w:r>
        <w:rPr>
          <w:rFonts w:hint="eastAsia" w:ascii="仿宋_GB2312" w:hAnsi="仿宋_GB2312" w:eastAsia="仿宋_GB2312" w:cs="仿宋_GB2312"/>
          <w:sz w:val="32"/>
          <w:szCs w:val="32"/>
          <w:lang w:bidi="ar"/>
        </w:rPr>
        <w:t>观测网等重大项目的牵引带动作用，攻</w:t>
      </w:r>
      <w:r>
        <w:rPr>
          <w:rFonts w:hint="eastAsia" w:ascii="仿宋_GB2312" w:hAnsi="仿宋_GB2312" w:eastAsia="仿宋_GB2312" w:cs="仿宋_GB2312"/>
          <w:color w:val="auto"/>
          <w:sz w:val="32"/>
          <w:szCs w:val="32"/>
          <w:lang w:bidi="ar"/>
        </w:rPr>
        <w:t>克核心配套与</w:t>
      </w:r>
      <w:r>
        <w:rPr>
          <w:rFonts w:hint="eastAsia" w:ascii="仿宋_GB2312" w:hAnsi="仿宋_GB2312" w:eastAsia="仿宋_GB2312" w:cs="仿宋_GB2312"/>
          <w:color w:val="auto"/>
          <w:sz w:val="32"/>
          <w:szCs w:val="32"/>
          <w:lang w:eastAsia="zh-CN" w:bidi="ar"/>
        </w:rPr>
        <w:t>关键</w:t>
      </w:r>
      <w:r>
        <w:rPr>
          <w:rFonts w:hint="eastAsia" w:ascii="仿宋_GB2312" w:hAnsi="仿宋_GB2312" w:eastAsia="仿宋_GB2312" w:cs="仿宋_GB2312"/>
          <w:color w:val="auto"/>
          <w:sz w:val="32"/>
          <w:szCs w:val="32"/>
          <w:lang w:bidi="ar"/>
        </w:rPr>
        <w:t>小件，加快浮力材料、水下电机、高压海水泵、机械手、水声通信与定位等关键小件研发，推进关键小件谱系化</w:t>
      </w:r>
      <w:r>
        <w:rPr>
          <w:rFonts w:hint="eastAsia" w:ascii="仿宋_GB2312" w:hAnsi="仿宋_GB2312" w:eastAsia="仿宋_GB2312" w:cs="仿宋_GB2312"/>
          <w:sz w:val="32"/>
          <w:szCs w:val="32"/>
          <w:lang w:bidi="ar"/>
        </w:rPr>
        <w:t>、功能化发展。拓展商业化应用场景，加速科技成果向实际应用转化，加快载人潜水器、水下机器人</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沙滩清理机器人</w:t>
      </w:r>
      <w:r>
        <w:rPr>
          <w:rFonts w:hint="eastAsia" w:ascii="仿宋_GB2312" w:hAnsi="仿宋_GB2312" w:eastAsia="仿宋_GB2312" w:cs="仿宋_GB2312"/>
          <w:sz w:val="32"/>
          <w:szCs w:val="32"/>
          <w:lang w:bidi="ar"/>
        </w:rPr>
        <w:t>等产业化进程，支持企业面向市场开展“订单式”研发。</w:t>
      </w:r>
    </w:p>
    <w:p w14:paraId="2832986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高端海工装备。</w:t>
      </w:r>
      <w:r>
        <w:rPr>
          <w:rFonts w:hint="eastAsia" w:ascii="仿宋_GB2312" w:hAnsi="仿宋_GB2312" w:eastAsia="仿宋_GB2312" w:cs="仿宋_GB2312"/>
          <w:sz w:val="32"/>
          <w:szCs w:val="32"/>
        </w:rPr>
        <w:t>围绕深海能源资源勘探开发、海上工程服务等方向，引培一批高端海工装备企业。深海油气开发领域，重点突破水下生产系统总体设计及核心部件国产化等关键技术装备，推动水下采油树与高附加值油服产品自主组装。深海采矿装备领域，支持企业牵头联合在琼科研院所，攻坚关键深海采矿工程技术难题和核心装备，通过海上试验和验证，建立海南先发优势。深远海养殖领域，着力提升岛内装备供给能力，发展数字渔业和智慧渔业装备，鼓励企业开展智能投喂、环境监测、远程监控、智能网衣清洗等设备研发生产</w:t>
      </w:r>
      <w:bookmarkStart w:id="209" w:name="OLE_LINK8"/>
      <w:r>
        <w:rPr>
          <w:rFonts w:hint="eastAsia" w:ascii="仿宋_GB2312" w:hAnsi="仿宋_GB2312" w:eastAsia="仿宋_GB2312" w:cs="仿宋_GB2312"/>
          <w:sz w:val="32"/>
          <w:szCs w:val="32"/>
        </w:rPr>
        <w:t>。</w:t>
      </w:r>
    </w:p>
    <w:bookmarkEnd w:id="209"/>
    <w:p w14:paraId="7ED64808">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船舶及游艇修造。</w:t>
      </w:r>
      <w:r>
        <w:rPr>
          <w:rFonts w:hint="eastAsia" w:ascii="仿宋_GB2312" w:hAnsi="仿宋_GB2312" w:eastAsia="仿宋_GB2312" w:cs="仿宋_GB2312"/>
          <w:sz w:val="32"/>
          <w:szCs w:val="32"/>
        </w:rPr>
        <w:t>“以修带造”培育修造船能力，合理配置海岸带资源，谋划建设船舶修造基地，引培船舶修造主体，提升中小型公务船、渔船、运输船、风电运维船等传统船舶修造能力，支持开展新能源船舶研发、设计、制造、维保等业务。面向海南岛内消费市场以及国际需求，打造涵盖游艇“研发设计+制造维修+</w:t>
      </w:r>
      <w:bookmarkStart w:id="210" w:name="OLE_LINK22"/>
      <w:r>
        <w:rPr>
          <w:rFonts w:hint="eastAsia" w:ascii="仿宋_GB2312" w:hAnsi="仿宋_GB2312" w:eastAsia="仿宋_GB2312" w:cs="仿宋_GB2312"/>
          <w:sz w:val="32"/>
          <w:szCs w:val="32"/>
        </w:rPr>
        <w:t>游艇经济+展会展览+赛事宣传+金融租赁</w:t>
      </w:r>
      <w:bookmarkEnd w:id="210"/>
      <w:r>
        <w:rPr>
          <w:rFonts w:hint="eastAsia" w:ascii="仿宋_GB2312" w:hAnsi="仿宋_GB2312" w:eastAsia="仿宋_GB2312" w:cs="仿宋_GB2312"/>
          <w:sz w:val="32"/>
          <w:szCs w:val="32"/>
        </w:rPr>
        <w:t>”的高能级全产业链游艇产业生态。以船舶、游艇修造带动提升岛内动力系统、电气系统、舱室设备、通讯导航、智能系统、动力系统等核心配套能力。探索布局邮轮维保产业。</w:t>
      </w:r>
    </w:p>
    <w:p w14:paraId="3491045D">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海洋新基建。</w:t>
      </w:r>
      <w:r>
        <w:rPr>
          <w:rFonts w:hint="eastAsia" w:ascii="仿宋_GB2312" w:hAnsi="仿宋_GB2312" w:eastAsia="仿宋_GB2312" w:cs="仿宋_GB2312"/>
          <w:sz w:val="32"/>
          <w:szCs w:val="32"/>
        </w:rPr>
        <w:t>重点突破海洋生物环境抗附着及防腐蚀、密封防腐散热、浸入式冷却、可回收水下泵模块等关键核心技术，加快推进海底数据舱、水下运维装备、水下光缆等关键零部件及特种海工水泥制造。推动海洋</w:t>
      </w:r>
      <w:r>
        <w:rPr>
          <w:rFonts w:hint="eastAsia" w:ascii="仿宋_GB2312" w:hAnsi="仿宋_GB2312" w:eastAsia="仿宋_GB2312" w:cs="仿宋_GB2312"/>
          <w:sz w:val="32"/>
          <w:szCs w:val="32"/>
          <w:lang w:val="en-US" w:eastAsia="zh-CN"/>
        </w:rPr>
        <w:t>新基建</w:t>
      </w:r>
      <w:r>
        <w:rPr>
          <w:rFonts w:hint="eastAsia" w:ascii="仿宋_GB2312" w:hAnsi="仿宋_GB2312" w:eastAsia="仿宋_GB2312" w:cs="仿宋_GB2312"/>
          <w:sz w:val="32"/>
          <w:szCs w:val="32"/>
        </w:rPr>
        <w:t>与清洁能源产业深度耦合发展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布局建设港口甲醇、氢能等清洁燃料岸基和海上加注设施，论证跨海输氢管道，培育海洋绿色燃料供应中心。</w:t>
      </w:r>
    </w:p>
    <w:tbl>
      <w:tblPr>
        <w:tblStyle w:val="27"/>
        <w:tblW w:w="5000" w:type="pct"/>
        <w:tblInd w:w="0" w:type="dxa"/>
        <w:tblLayout w:type="autofit"/>
        <w:tblCellMar>
          <w:top w:w="0" w:type="dxa"/>
          <w:left w:w="0" w:type="dxa"/>
          <w:bottom w:w="0" w:type="dxa"/>
          <w:right w:w="0" w:type="dxa"/>
        </w:tblCellMar>
      </w:tblPr>
      <w:tblGrid>
        <w:gridCol w:w="9060"/>
      </w:tblGrid>
      <w:tr w14:paraId="282585D8">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E3A0DC">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18"/>
              </w:rPr>
            </w:pPr>
            <w:r>
              <w:rPr>
                <w:rFonts w:hint="eastAsia" w:ascii="仿宋_GB2312" w:hAnsi="仿宋_GB2312" w:eastAsia="仿宋_GB2312" w:cs="仿宋_GB2312"/>
                <w:b/>
                <w:sz w:val="28"/>
              </w:rPr>
              <w:t>专栏6 深海科技产业重点项目</w:t>
            </w:r>
          </w:p>
        </w:tc>
      </w:tr>
      <w:tr w14:paraId="1A298BC6">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52A4D81">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深海科技装备。</w:t>
            </w:r>
            <w:r>
              <w:rPr>
                <w:rFonts w:hint="default" w:ascii="Times New Roman" w:hAnsi="Times New Roman" w:eastAsia="仿宋_GB2312" w:cs="Times New Roman"/>
                <w:sz w:val="28"/>
                <w:szCs w:val="28"/>
              </w:rPr>
              <w:t>推</w:t>
            </w:r>
            <w:r>
              <w:rPr>
                <w:rFonts w:hint="eastAsia" w:eastAsia="仿宋_GB2312" w:cs="Times New Roman"/>
                <w:sz w:val="28"/>
                <w:szCs w:val="28"/>
                <w:lang w:val="en-US" w:eastAsia="zh-CN"/>
              </w:rPr>
              <w:t>进</w:t>
            </w:r>
            <w:r>
              <w:rPr>
                <w:rFonts w:hint="default" w:eastAsia="仿宋_GB2312" w:cs="Times New Roman"/>
                <w:sz w:val="28"/>
                <w:szCs w:val="28"/>
                <w:lang w:val="en-US" w:eastAsia="zh-CN"/>
              </w:rPr>
              <w:t>三亚崖州湾科技城深海装备制造基地</w:t>
            </w:r>
            <w:r>
              <w:rPr>
                <w:rFonts w:hint="default" w:ascii="Times New Roman" w:hAnsi="Times New Roman" w:eastAsia="仿宋_GB2312" w:cs="Times New Roman"/>
                <w:sz w:val="28"/>
                <w:szCs w:val="28"/>
              </w:rPr>
              <w:t>、</w:t>
            </w:r>
            <w:r>
              <w:rPr>
                <w:rFonts w:hint="default" w:eastAsia="仿宋_GB2312" w:cs="Times New Roman"/>
                <w:sz w:val="28"/>
                <w:szCs w:val="28"/>
                <w:lang w:val="en-US" w:eastAsia="zh-CN"/>
              </w:rPr>
              <w:t>临高智能</w:t>
            </w:r>
            <w:r>
              <w:rPr>
                <w:rFonts w:hint="default" w:ascii="Times New Roman" w:hAnsi="Times New Roman" w:eastAsia="仿宋_GB2312" w:cs="Times New Roman"/>
                <w:sz w:val="28"/>
                <w:szCs w:val="28"/>
              </w:rPr>
              <w:t>装备制造基地</w:t>
            </w:r>
            <w:r>
              <w:rPr>
                <w:rFonts w:hint="default" w:eastAsia="仿宋_GB2312" w:cs="Times New Roman"/>
                <w:sz w:val="28"/>
                <w:szCs w:val="28"/>
                <w:lang w:val="en-US" w:eastAsia="zh-CN"/>
              </w:rPr>
              <w:t>等项目建设</w:t>
            </w:r>
            <w:r>
              <w:rPr>
                <w:rFonts w:hint="default" w:ascii="Times New Roman" w:hAnsi="Times New Roman" w:eastAsia="仿宋_GB2312" w:cs="Times New Roman"/>
                <w:sz w:val="28"/>
                <w:szCs w:val="28"/>
              </w:rPr>
              <w:t>。</w:t>
            </w:r>
          </w:p>
          <w:p w14:paraId="4EDD210E">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sz w:val="28"/>
                <w:szCs w:val="28"/>
              </w:rPr>
            </w:pPr>
            <w:r>
              <w:rPr>
                <w:rFonts w:hint="default" w:ascii="Times New Roman" w:hAnsi="Times New Roman" w:eastAsia="仿宋_GB2312" w:cs="Times New Roman"/>
                <w:b/>
                <w:bCs/>
                <w:sz w:val="28"/>
                <w:szCs w:val="28"/>
              </w:rPr>
              <w:t>高端海工装备。</w:t>
            </w:r>
            <w:r>
              <w:rPr>
                <w:rFonts w:hint="default" w:ascii="Times New Roman" w:hAnsi="Times New Roman" w:eastAsia="仿宋_GB2312" w:cs="Times New Roman"/>
                <w:sz w:val="28"/>
                <w:szCs w:val="28"/>
              </w:rPr>
              <w:t>推</w:t>
            </w:r>
            <w:r>
              <w:rPr>
                <w:rFonts w:hint="eastAsia" w:eastAsia="仿宋_GB2312" w:cs="Times New Roman"/>
                <w:sz w:val="28"/>
                <w:szCs w:val="28"/>
                <w:lang w:val="en-US" w:eastAsia="zh-CN"/>
              </w:rPr>
              <w:t>进</w:t>
            </w:r>
            <w:r>
              <w:rPr>
                <w:rFonts w:hint="default" w:ascii="Times New Roman" w:hAnsi="Times New Roman" w:eastAsia="仿宋_GB2312" w:cs="Times New Roman"/>
                <w:sz w:val="28"/>
                <w:szCs w:val="28"/>
              </w:rPr>
              <w:t>深海开发系统工程等项目建设。</w:t>
            </w:r>
          </w:p>
          <w:p w14:paraId="646F4406">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船舶及游艇修造。</w:t>
            </w:r>
            <w:r>
              <w:rPr>
                <w:rFonts w:hint="default" w:ascii="Times New Roman" w:hAnsi="Times New Roman" w:eastAsia="仿宋_GB2312" w:cs="Times New Roman"/>
                <w:sz w:val="28"/>
                <w:szCs w:val="28"/>
              </w:rPr>
              <w:t>推</w:t>
            </w:r>
            <w:r>
              <w:rPr>
                <w:rFonts w:hint="eastAsia" w:eastAsia="仿宋_GB2312" w:cs="Times New Roman"/>
                <w:sz w:val="28"/>
                <w:szCs w:val="28"/>
                <w:lang w:val="en-US" w:eastAsia="zh-CN"/>
              </w:rPr>
              <w:t>进</w:t>
            </w:r>
            <w:r>
              <w:rPr>
                <w:rFonts w:hint="default" w:eastAsia="仿宋_GB2312" w:cs="Times New Roman"/>
                <w:sz w:val="28"/>
                <w:szCs w:val="28"/>
                <w:lang w:val="en-US" w:eastAsia="zh-CN"/>
              </w:rPr>
              <w:t>昌江大型船舶综合维修基地、</w:t>
            </w:r>
            <w:r>
              <w:rPr>
                <w:rFonts w:hint="default" w:ascii="Times New Roman" w:hAnsi="Times New Roman" w:eastAsia="仿宋_GB2312" w:cs="Times New Roman"/>
                <w:sz w:val="28"/>
                <w:szCs w:val="28"/>
              </w:rPr>
              <w:t>临高钢质船舶修造、东方海工装备制造与修造船基地等项目建设。</w:t>
            </w:r>
          </w:p>
          <w:p w14:paraId="79CA5B21">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海洋新基建。</w:t>
            </w:r>
            <w:r>
              <w:rPr>
                <w:rFonts w:hint="default" w:ascii="Times New Roman" w:hAnsi="Times New Roman" w:eastAsia="仿宋_GB2312" w:cs="Times New Roman"/>
                <w:sz w:val="28"/>
                <w:szCs w:val="28"/>
                <w:lang w:val="en-US" w:eastAsia="zh-CN"/>
              </w:rPr>
              <w:t>推</w:t>
            </w:r>
            <w:r>
              <w:rPr>
                <w:rFonts w:hint="eastAsia" w:eastAsia="仿宋_GB2312" w:cs="Times New Roman"/>
                <w:sz w:val="28"/>
                <w:szCs w:val="28"/>
                <w:lang w:val="en-US" w:eastAsia="zh-CN"/>
              </w:rPr>
              <w:t>进</w:t>
            </w:r>
            <w:r>
              <w:rPr>
                <w:rFonts w:hint="default" w:ascii="Times New Roman" w:hAnsi="Times New Roman" w:eastAsia="仿宋_GB2312" w:cs="Times New Roman"/>
                <w:sz w:val="28"/>
                <w:szCs w:val="28"/>
              </w:rPr>
              <w:t>潜标、浮标、水下滑翔机等各类观测</w:t>
            </w:r>
            <w:r>
              <w:rPr>
                <w:rFonts w:hint="eastAsia" w:eastAsia="仿宋_GB2312" w:cs="Times New Roman"/>
                <w:sz w:val="28"/>
                <w:szCs w:val="28"/>
                <w:lang w:val="en-US" w:eastAsia="zh-CN"/>
              </w:rPr>
              <w:t>设备设施</w:t>
            </w:r>
            <w:r>
              <w:rPr>
                <w:rFonts w:hint="default" w:ascii="Times New Roman" w:hAnsi="Times New Roman" w:eastAsia="仿宋_GB2312" w:cs="Times New Roman"/>
                <w:sz w:val="28"/>
                <w:szCs w:val="28"/>
              </w:rPr>
              <w:t>建设。</w:t>
            </w:r>
          </w:p>
        </w:tc>
      </w:tr>
    </w:tbl>
    <w:p w14:paraId="280F59FB">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11" w:name="_Toc808231875"/>
      <w:bookmarkStart w:id="212" w:name="_Toc4835"/>
      <w:bookmarkStart w:id="213" w:name="_Toc5709"/>
      <w:bookmarkStart w:id="214" w:name="_Toc30192"/>
      <w:bookmarkStart w:id="215" w:name="_Toc19988"/>
      <w:bookmarkStart w:id="216" w:name="_Toc3548"/>
      <w:r>
        <w:rPr>
          <w:rFonts w:hint="default" w:ascii="Times New Roman" w:hAnsi="Times New Roman" w:eastAsia="黑体" w:cs="Times New Roman"/>
          <w:b w:val="0"/>
          <w:bCs w:val="0"/>
          <w:sz w:val="32"/>
          <w:szCs w:val="32"/>
        </w:rPr>
        <w:t>四、节能环保</w:t>
      </w:r>
      <w:bookmarkEnd w:id="211"/>
      <w:bookmarkEnd w:id="212"/>
      <w:bookmarkEnd w:id="213"/>
      <w:bookmarkEnd w:id="214"/>
      <w:bookmarkEnd w:id="215"/>
    </w:p>
    <w:p w14:paraId="61605E2C">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以“绿色低碳、循环利用”为发展思路，重点发展生物降解材料、有色金属、废弃物资资源化利用产业，加快发展绿色建筑与建材产业，加强技术攻关与市场推广，深入实施节能降碳改造，畅通资源循环利用链条，打造节能环保产业创新高地。到2030年，节能环保产业营收</w:t>
      </w:r>
      <w:r>
        <w:rPr>
          <w:rFonts w:hint="eastAsia" w:ascii="仿宋_GB2312" w:hAnsi="仿宋_GB2312" w:eastAsia="仿宋_GB2312" w:cs="仿宋_GB2312"/>
          <w:sz w:val="32"/>
          <w:szCs w:val="32"/>
          <w:lang w:eastAsia="zh-CN" w:bidi="ar"/>
        </w:rPr>
        <w:t>力争</w:t>
      </w:r>
      <w:r>
        <w:rPr>
          <w:rFonts w:hint="eastAsia" w:ascii="仿宋_GB2312" w:hAnsi="仿宋_GB2312" w:eastAsia="仿宋_GB2312" w:cs="仿宋_GB2312"/>
          <w:sz w:val="32"/>
          <w:szCs w:val="32"/>
          <w:lang w:bidi="ar"/>
        </w:rPr>
        <w:t>达到800亿元。</w:t>
      </w:r>
    </w:p>
    <w:p w14:paraId="4C8CC7D9">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生物降解材料。</w:t>
      </w:r>
      <w:r>
        <w:rPr>
          <w:rFonts w:hint="eastAsia" w:ascii="仿宋_GB2312" w:hAnsi="仿宋_GB2312" w:eastAsia="仿宋_GB2312" w:cs="仿宋_GB2312"/>
          <w:sz w:val="32"/>
          <w:szCs w:val="32"/>
          <w:lang w:bidi="ar"/>
        </w:rPr>
        <w:t>充分发挥</w:t>
      </w:r>
      <w:r>
        <w:rPr>
          <w:rFonts w:hint="eastAsia" w:ascii="仿宋_GB2312" w:hAnsi="仿宋_GB2312" w:eastAsia="仿宋_GB2312" w:cs="仿宋_GB2312"/>
          <w:sz w:val="32"/>
          <w:szCs w:val="32"/>
          <w:lang w:eastAsia="zh-CN" w:bidi="ar"/>
        </w:rPr>
        <w:t>海南自由贸易港</w:t>
      </w:r>
      <w:r>
        <w:rPr>
          <w:rFonts w:hint="eastAsia" w:ascii="仿宋_GB2312" w:hAnsi="仿宋_GB2312" w:eastAsia="仿宋_GB2312" w:cs="仿宋_GB2312"/>
          <w:sz w:val="32"/>
          <w:szCs w:val="32"/>
          <w:lang w:bidi="ar"/>
        </w:rPr>
        <w:t>政策优势和治塑示范效应，构建覆盖“资源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bidi="ar"/>
        </w:rPr>
        <w:t>研发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bidi="ar"/>
        </w:rPr>
        <w:t>制造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bidi="ar"/>
        </w:rPr>
        <w:t>应用”的全产业链体系。重点发展以非粮生物基聚乳酸（PLA）、聚羟基脂肪酸酯（PHA）等为原料的生物降解材料，推动农业废弃物与海洋资源高值化利用。着力壮大全生物降解膜袋、餐饮具、酒店用品及冷链包装等</w:t>
      </w:r>
      <w:r>
        <w:rPr>
          <w:rFonts w:hint="eastAsia" w:ascii="仿宋_GB2312" w:hAnsi="仿宋_GB2312" w:eastAsia="仿宋_GB2312" w:cs="仿宋_GB2312"/>
          <w:spacing w:val="6"/>
          <w:sz w:val="32"/>
          <w:szCs w:val="32"/>
          <w:lang w:bidi="ar"/>
        </w:rPr>
        <w:t>终端制品规模，深化生物降解材料在热带农产品保鲜、绿色供应链、高端消费品包装</w:t>
      </w:r>
      <w:r>
        <w:rPr>
          <w:rFonts w:hint="eastAsia" w:ascii="仿宋_GB2312" w:hAnsi="仿宋_GB2312" w:eastAsia="仿宋_GB2312" w:cs="仿宋_GB2312"/>
          <w:spacing w:val="6"/>
          <w:kern w:val="2"/>
          <w:sz w:val="32"/>
          <w:szCs w:val="32"/>
        </w:rPr>
        <w:t>、物流快递</w:t>
      </w:r>
      <w:r>
        <w:rPr>
          <w:rFonts w:hint="eastAsia" w:ascii="仿宋_GB2312" w:hAnsi="仿宋_GB2312" w:eastAsia="仿宋_GB2312" w:cs="仿宋_GB2312"/>
          <w:spacing w:val="6"/>
          <w:sz w:val="32"/>
          <w:szCs w:val="32"/>
          <w:lang w:bidi="ar"/>
        </w:rPr>
        <w:t>及农业地膜等领域的推广应用。</w:t>
      </w:r>
    </w:p>
    <w:p w14:paraId="665EBCB6">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有色金属。</w:t>
      </w:r>
      <w:r>
        <w:rPr>
          <w:rFonts w:hint="eastAsia" w:ascii="仿宋_GB2312" w:hAnsi="仿宋_GB2312" w:eastAsia="仿宋_GB2312" w:cs="仿宋_GB2312"/>
          <w:sz w:val="32"/>
          <w:szCs w:val="32"/>
          <w:lang w:bidi="ar"/>
        </w:rPr>
        <w:t>服务国家资源安全保障，支持锆铪资源储运中心建设。聚焦核工业、航空航天、动力电池等新兴产业需求，以锆铪分离、锆铪新材料、碳酸锂、稀土精深加工等为重点，按照“安全、绿色、集约”原则，适度发展稀有金属产业，增强产业链供应链韧性。推进铜精矿保税混矿试点落地，探索发展金精矿等保税混矿</w:t>
      </w:r>
      <w:r>
        <w:rPr>
          <w:rFonts w:hint="eastAsia" w:ascii="仿宋_GB2312" w:hAnsi="仿宋_GB2312" w:eastAsia="仿宋_GB2312" w:cs="仿宋_GB2312"/>
          <w:sz w:val="32"/>
          <w:szCs w:val="32"/>
          <w:lang w:val="en-US" w:eastAsia="zh-CN" w:bidi="ar"/>
        </w:rPr>
        <w:t>产业</w:t>
      </w:r>
      <w:r>
        <w:rPr>
          <w:rFonts w:hint="eastAsia" w:ascii="仿宋_GB2312" w:hAnsi="仿宋_GB2312" w:eastAsia="仿宋_GB2312" w:cs="仿宋_GB2312"/>
          <w:sz w:val="32"/>
          <w:szCs w:val="32"/>
          <w:lang w:bidi="ar"/>
        </w:rPr>
        <w:t>。</w:t>
      </w:r>
    </w:p>
    <w:p w14:paraId="5C3C4E19">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废弃物资资源化综合利用。</w:t>
      </w:r>
      <w:r>
        <w:rPr>
          <w:rFonts w:hint="eastAsia" w:ascii="仿宋_GB2312" w:hAnsi="仿宋_GB2312" w:eastAsia="仿宋_GB2312" w:cs="仿宋_GB2312"/>
          <w:sz w:val="32"/>
          <w:szCs w:val="32"/>
          <w:lang w:bidi="ar"/>
        </w:rPr>
        <w:t>加强铁矿尾矿、锆钛矿尾矿等尾矿综合利用，支持企业开展尾矿有价值元素、伴生矿物高效分离提取和资源化利用，提升尾矿在建材原料制备、有价组分回收、采空区填充及环境修复等领域的高值化利用水平。有序推进光伏组件、风机叶片、动力电池等新能源产业废弃设备一体化回收、加工、利用，完善报废装备回收拆解企业布局。</w:t>
      </w:r>
    </w:p>
    <w:p w14:paraId="14C979BE">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绿色建筑与建材。</w:t>
      </w:r>
      <w:r>
        <w:rPr>
          <w:rFonts w:hint="eastAsia" w:ascii="仿宋_GB2312" w:hAnsi="仿宋_GB2312" w:eastAsia="仿宋_GB2312" w:cs="仿宋_GB2312"/>
          <w:sz w:val="32"/>
          <w:szCs w:val="32"/>
          <w:lang w:bidi="ar"/>
        </w:rPr>
        <w:t>构建智能装配细分产业链，生产绿色混凝土、钢结构部品、绿色隔墙板等环保产品。鼓励企业应用新型结构体系与工艺技术，发展集成吊顶、整体厨卫、全屋定制等装配式终端产品及绿色智能家居。配套发展绿色建材，重点研发生产耐盐耐腐、保温隔热、防水密封等新型功能材料、绿色板材、高性能门窗幕墙系统及再生循环建材。</w:t>
      </w:r>
    </w:p>
    <w:tbl>
      <w:tblPr>
        <w:tblStyle w:val="27"/>
        <w:tblW w:w="5000" w:type="pct"/>
        <w:tblInd w:w="0" w:type="dxa"/>
        <w:tblLayout w:type="autofit"/>
        <w:tblCellMar>
          <w:top w:w="0" w:type="dxa"/>
          <w:left w:w="0" w:type="dxa"/>
          <w:bottom w:w="0" w:type="dxa"/>
          <w:right w:w="0" w:type="dxa"/>
        </w:tblCellMar>
      </w:tblPr>
      <w:tblGrid>
        <w:gridCol w:w="9060"/>
      </w:tblGrid>
      <w:tr w14:paraId="6F240491">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8CAA6C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28"/>
              </w:rPr>
            </w:pPr>
            <w:r>
              <w:rPr>
                <w:rFonts w:hint="eastAsia" w:ascii="仿宋_GB2312" w:hAnsi="仿宋_GB2312" w:eastAsia="仿宋_GB2312" w:cs="仿宋_GB2312"/>
                <w:b/>
                <w:sz w:val="28"/>
                <w:szCs w:val="28"/>
                <w:lang w:bidi="ar"/>
              </w:rPr>
              <w:t>专栏7 节能环保产业重点项目</w:t>
            </w:r>
          </w:p>
        </w:tc>
      </w:tr>
      <w:tr w14:paraId="514C361E">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1FC22D">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bidi="ar"/>
              </w:rPr>
              <w:t>生物降解材料。</w:t>
            </w:r>
            <w:r>
              <w:rPr>
                <w:rFonts w:hint="default" w:ascii="Times New Roman" w:hAnsi="Times New Roman" w:eastAsia="仿宋_GB2312" w:cs="Times New Roman"/>
                <w:sz w:val="28"/>
                <w:szCs w:val="28"/>
                <w:lang w:val="en-US" w:eastAsia="zh-CN" w:bidi="ar"/>
              </w:rPr>
              <w:t>推</w:t>
            </w:r>
            <w:r>
              <w:rPr>
                <w:rFonts w:hint="eastAsia" w:eastAsia="仿宋_GB2312" w:cs="Times New Roman"/>
                <w:sz w:val="28"/>
                <w:szCs w:val="28"/>
                <w:lang w:val="en-US" w:eastAsia="zh-CN" w:bidi="ar"/>
              </w:rPr>
              <w:t>动</w:t>
            </w:r>
            <w:r>
              <w:rPr>
                <w:rFonts w:hint="default" w:ascii="Times New Roman" w:hAnsi="Times New Roman" w:eastAsia="仿宋_GB2312" w:cs="Times New Roman"/>
                <w:sz w:val="28"/>
                <w:szCs w:val="28"/>
                <w:lang w:bidi="ar"/>
              </w:rPr>
              <w:t>海口全生物降解餐饮具生产基地（二期）</w:t>
            </w:r>
            <w:r>
              <w:rPr>
                <w:rFonts w:hint="eastAsia" w:eastAsia="仿宋_GB2312" w:cs="Times New Roman"/>
                <w:sz w:val="28"/>
                <w:szCs w:val="28"/>
                <w:lang w:eastAsia="zh-CN" w:bidi="ar"/>
              </w:rPr>
              <w:t>等</w:t>
            </w:r>
            <w:r>
              <w:rPr>
                <w:rFonts w:hint="default" w:ascii="Times New Roman" w:hAnsi="Times New Roman" w:eastAsia="仿宋_GB2312" w:cs="Times New Roman"/>
                <w:sz w:val="28"/>
                <w:szCs w:val="28"/>
                <w:lang w:bidi="ar"/>
              </w:rPr>
              <w:t>项目投产。</w:t>
            </w:r>
          </w:p>
          <w:p w14:paraId="1B8FF61F">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bidi="ar"/>
              </w:rPr>
              <w:t>有色金属。</w:t>
            </w:r>
            <w:r>
              <w:rPr>
                <w:rFonts w:hint="default" w:ascii="Times New Roman" w:hAnsi="Times New Roman" w:eastAsia="仿宋_GB2312" w:cs="Times New Roman"/>
                <w:sz w:val="28"/>
                <w:szCs w:val="28"/>
                <w:lang w:val="en-US" w:eastAsia="zh-CN" w:bidi="ar"/>
              </w:rPr>
              <w:t>推</w:t>
            </w:r>
            <w:r>
              <w:rPr>
                <w:rFonts w:hint="eastAsia" w:eastAsia="仿宋_GB2312" w:cs="Times New Roman"/>
                <w:sz w:val="28"/>
                <w:szCs w:val="28"/>
                <w:lang w:val="en-US" w:eastAsia="zh-CN" w:bidi="ar"/>
              </w:rPr>
              <w:t>进</w:t>
            </w:r>
            <w:r>
              <w:rPr>
                <w:rFonts w:hint="default" w:ascii="Times New Roman" w:hAnsi="Times New Roman" w:eastAsia="仿宋_GB2312" w:cs="Times New Roman"/>
                <w:sz w:val="28"/>
                <w:szCs w:val="28"/>
                <w:lang w:bidi="ar"/>
              </w:rPr>
              <w:t>儋州锆钛矿精选、昌江碳酸锂</w:t>
            </w:r>
            <w:r>
              <w:rPr>
                <w:rFonts w:hint="eastAsia" w:eastAsia="仿宋_GB2312" w:cs="Times New Roman"/>
                <w:sz w:val="28"/>
                <w:szCs w:val="28"/>
                <w:lang w:val="en-US" w:eastAsia="zh-CN" w:bidi="ar"/>
              </w:rPr>
              <w:t>等</w:t>
            </w:r>
            <w:r>
              <w:rPr>
                <w:rFonts w:hint="default" w:ascii="Times New Roman" w:hAnsi="Times New Roman" w:eastAsia="仿宋_GB2312" w:cs="Times New Roman"/>
                <w:sz w:val="28"/>
                <w:szCs w:val="28"/>
                <w:lang w:bidi="ar"/>
              </w:rPr>
              <w:t>项目建设。</w:t>
            </w:r>
          </w:p>
          <w:p w14:paraId="525D96DB">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left"/>
              <w:textAlignment w:val="auto"/>
              <w:outlineLvl w:val="9"/>
              <w:rPr>
                <w:rFonts w:hint="default" w:ascii="Times New Roman" w:hAnsi="Times New Roman" w:eastAsia="仿宋_GB2312" w:cs="Times New Roman"/>
                <w:sz w:val="28"/>
                <w:szCs w:val="28"/>
                <w:lang w:bidi="ar"/>
              </w:rPr>
            </w:pPr>
            <w:r>
              <w:rPr>
                <w:rFonts w:hint="default" w:ascii="Times New Roman" w:hAnsi="Times New Roman" w:eastAsia="仿宋_GB2312" w:cs="Times New Roman"/>
                <w:b/>
                <w:bCs/>
                <w:sz w:val="28"/>
                <w:szCs w:val="28"/>
                <w:lang w:bidi="ar"/>
              </w:rPr>
              <w:t>废弃物资综合循环利用。</w:t>
            </w:r>
            <w:r>
              <w:rPr>
                <w:rFonts w:hint="default" w:ascii="Times New Roman" w:hAnsi="Times New Roman" w:eastAsia="仿宋_GB2312" w:cs="Times New Roman"/>
                <w:sz w:val="28"/>
                <w:szCs w:val="28"/>
                <w:lang w:val="en-US" w:eastAsia="zh-CN" w:bidi="ar"/>
              </w:rPr>
              <w:t>推</w:t>
            </w:r>
            <w:r>
              <w:rPr>
                <w:rFonts w:hint="eastAsia" w:eastAsia="仿宋_GB2312" w:cs="Times New Roman"/>
                <w:sz w:val="28"/>
                <w:szCs w:val="28"/>
                <w:lang w:val="en-US" w:eastAsia="zh-CN" w:bidi="ar"/>
              </w:rPr>
              <w:t>进</w:t>
            </w:r>
            <w:r>
              <w:rPr>
                <w:rFonts w:hint="default" w:ascii="Times New Roman" w:hAnsi="Times New Roman" w:eastAsia="仿宋_GB2312" w:cs="Times New Roman"/>
                <w:sz w:val="28"/>
                <w:szCs w:val="28"/>
                <w:lang w:bidi="ar"/>
              </w:rPr>
              <w:t>海口再生资源综合利用基地二期、屯昌绿色低碳循环经济产业区等</w:t>
            </w:r>
            <w:r>
              <w:rPr>
                <w:rFonts w:hint="default" w:eastAsia="仿宋_GB2312" w:cs="Times New Roman"/>
                <w:sz w:val="28"/>
                <w:szCs w:val="28"/>
                <w:lang w:val="en-US" w:eastAsia="zh-CN" w:bidi="ar"/>
              </w:rPr>
              <w:t>项目</w:t>
            </w:r>
            <w:r>
              <w:rPr>
                <w:rFonts w:hint="default" w:ascii="Times New Roman" w:hAnsi="Times New Roman" w:eastAsia="仿宋_GB2312" w:cs="Times New Roman"/>
                <w:sz w:val="28"/>
                <w:szCs w:val="28"/>
                <w:lang w:bidi="ar"/>
              </w:rPr>
              <w:t>建设。</w:t>
            </w:r>
          </w:p>
          <w:p w14:paraId="15F0536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bidi="ar"/>
              </w:rPr>
              <w:t>绿色建筑与建材。</w:t>
            </w:r>
            <w:r>
              <w:rPr>
                <w:rFonts w:hint="default" w:ascii="Times New Roman" w:hAnsi="Times New Roman" w:eastAsia="仿宋_GB2312" w:cs="Times New Roman"/>
                <w:sz w:val="28"/>
                <w:szCs w:val="28"/>
                <w:lang w:val="en-US" w:eastAsia="zh-CN" w:bidi="ar"/>
              </w:rPr>
              <w:t>推</w:t>
            </w:r>
            <w:r>
              <w:rPr>
                <w:rFonts w:hint="eastAsia" w:eastAsia="仿宋_GB2312" w:cs="Times New Roman"/>
                <w:sz w:val="28"/>
                <w:szCs w:val="28"/>
                <w:lang w:val="en-US" w:eastAsia="zh-CN" w:bidi="ar"/>
              </w:rPr>
              <w:t>进</w:t>
            </w:r>
            <w:r>
              <w:rPr>
                <w:rFonts w:hint="default" w:ascii="Times New Roman" w:hAnsi="Times New Roman" w:eastAsia="仿宋_GB2312" w:cs="Times New Roman"/>
                <w:sz w:val="28"/>
                <w:szCs w:val="28"/>
                <w:lang w:bidi="ar"/>
              </w:rPr>
              <w:t>澄迈生态环保建材、澄迈环保型金属材料、昌江环保型建材生产</w:t>
            </w:r>
            <w:r>
              <w:rPr>
                <w:rFonts w:hint="eastAsia" w:eastAsia="仿宋_GB2312" w:cs="Times New Roman"/>
                <w:sz w:val="28"/>
                <w:szCs w:val="28"/>
                <w:lang w:val="en-US" w:eastAsia="zh-CN" w:bidi="ar"/>
              </w:rPr>
              <w:t>等</w:t>
            </w:r>
            <w:r>
              <w:rPr>
                <w:rFonts w:hint="default" w:ascii="Times New Roman" w:hAnsi="Times New Roman" w:eastAsia="仿宋_GB2312" w:cs="Times New Roman"/>
                <w:sz w:val="28"/>
                <w:szCs w:val="28"/>
                <w:lang w:bidi="ar"/>
              </w:rPr>
              <w:t>项目建设。</w:t>
            </w:r>
          </w:p>
        </w:tc>
      </w:tr>
    </w:tbl>
    <w:p w14:paraId="44DA594A">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217" w:name="_Toc18080"/>
      <w:bookmarkStart w:id="218" w:name="_Toc135835677"/>
      <w:bookmarkStart w:id="219" w:name="_Toc5920"/>
      <w:bookmarkStart w:id="220" w:name="_Toc27185"/>
      <w:bookmarkStart w:id="221" w:name="_Toc16898"/>
      <w:r>
        <w:rPr>
          <w:rFonts w:hint="default" w:ascii="Times New Roman" w:hAnsi="Times New Roman" w:eastAsia="楷体_GB2312" w:cs="Times New Roman"/>
          <w:b/>
          <w:bCs/>
          <w:kern w:val="2"/>
          <w:sz w:val="32"/>
          <w:szCs w:val="32"/>
          <w:lang w:val="en-US" w:eastAsia="zh-CN" w:bidi="ar-SA"/>
        </w:rPr>
        <w:t>第三节  做精做优五个百亿级产业</w:t>
      </w:r>
      <w:bookmarkEnd w:id="183"/>
      <w:bookmarkEnd w:id="184"/>
      <w:bookmarkEnd w:id="185"/>
      <w:bookmarkEnd w:id="216"/>
      <w:r>
        <w:rPr>
          <w:rFonts w:hint="default" w:ascii="Times New Roman" w:hAnsi="Times New Roman" w:eastAsia="楷体_GB2312" w:cs="Times New Roman"/>
          <w:b/>
          <w:bCs/>
          <w:kern w:val="2"/>
          <w:sz w:val="32"/>
          <w:szCs w:val="32"/>
          <w:lang w:val="en-US" w:eastAsia="zh-CN" w:bidi="ar-SA"/>
        </w:rPr>
        <w:t>集群</w:t>
      </w:r>
      <w:bookmarkEnd w:id="217"/>
      <w:bookmarkEnd w:id="218"/>
      <w:bookmarkEnd w:id="219"/>
      <w:bookmarkEnd w:id="220"/>
      <w:bookmarkEnd w:id="221"/>
    </w:p>
    <w:p w14:paraId="1671B455">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22" w:name="_Toc6266"/>
      <w:bookmarkStart w:id="223" w:name="_Toc23951"/>
      <w:bookmarkStart w:id="224" w:name="_Toc2014245082"/>
      <w:bookmarkStart w:id="225" w:name="_Toc1500"/>
      <w:bookmarkStart w:id="226" w:name="_Toc20016"/>
      <w:bookmarkStart w:id="227" w:name="_Toc6909"/>
      <w:bookmarkStart w:id="228" w:name="_Toc21325"/>
      <w:bookmarkStart w:id="229" w:name="_Toc25420"/>
      <w:bookmarkStart w:id="230" w:name="_Toc12533"/>
      <w:bookmarkStart w:id="231" w:name="_Toc22305"/>
      <w:r>
        <w:rPr>
          <w:rFonts w:hint="default" w:ascii="Times New Roman" w:hAnsi="Times New Roman" w:eastAsia="黑体" w:cs="Times New Roman"/>
          <w:b w:val="0"/>
          <w:bCs w:val="0"/>
          <w:sz w:val="32"/>
          <w:szCs w:val="32"/>
        </w:rPr>
        <w:t>一、清洁能源</w:t>
      </w:r>
      <w:bookmarkEnd w:id="222"/>
      <w:bookmarkEnd w:id="223"/>
      <w:bookmarkEnd w:id="224"/>
      <w:bookmarkEnd w:id="225"/>
      <w:bookmarkEnd w:id="226"/>
    </w:p>
    <w:p w14:paraId="6D40B701">
      <w:pPr>
        <w:keepNext w:val="0"/>
        <w:keepLines w:val="0"/>
        <w:pageBreakBefore w:val="0"/>
        <w:widowControl w:val="0"/>
        <w:tabs>
          <w:tab w:val="left" w:pos="720"/>
        </w:tabs>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紧扣国家生态文明试验区定位和海南低碳岛</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目标，以清洁能源开发为牵引，以重大项目建设为支撑，巩固提升风能、核能、太阳能等领域产业优势，带动新型储能、新能源装备制造产业发展。到2030年，清洁能源产业营收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00亿元。</w:t>
      </w:r>
    </w:p>
    <w:p w14:paraId="25E7BD9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风能。</w:t>
      </w:r>
      <w:r>
        <w:rPr>
          <w:rFonts w:hint="eastAsia" w:ascii="仿宋_GB2312" w:hAnsi="仿宋_GB2312" w:eastAsia="仿宋_GB2312" w:cs="仿宋_GB2312"/>
          <w:sz w:val="32"/>
          <w:szCs w:val="32"/>
        </w:rPr>
        <w:t>稳步推进已规划风场建设，推动儋州、东方、乐东等地海上风电项目向深远海布局，加快海上风电规模化、集约化开发。探索漂浮式风电技术与深海油气平台协同开发，加快漂浮式海上风场建设，拓展海上风电可开发海域面积。加速大兆瓦级海上风电机组批量应用，推动抗台风、耐腐蚀、高效能的海上风电机组和基础设施发展。鼓励海上风电采用“风电+”综合开发模式，统筹规划建设网箱养殖、海洋牧场、海上光伏等设施，提高海域利用效率。在洋浦、东方建设海上风电联合储备中心和物流中心，打造海上风电出口基地。</w:t>
      </w:r>
    </w:p>
    <w:p w14:paraId="1CE466EF">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核能。</w:t>
      </w:r>
      <w:r>
        <w:rPr>
          <w:rFonts w:hint="eastAsia" w:ascii="仿宋_GB2312" w:hAnsi="仿宋_GB2312" w:eastAsia="仿宋_GB2312" w:cs="仿宋_GB2312"/>
          <w:sz w:val="32"/>
          <w:szCs w:val="32"/>
        </w:rPr>
        <w:t>加快推动昌江核电二期（3、4号机组）和“玲龙一号”核电小堆建成投产，积极推进核电5、6号机组建设，探索浮动核反应堆基地建设，建成“大、中、小、浮”兼备的核电能源枢纽，在确保安全稳妥的前提下，进一步扩大核电生产能力。支持核技术在医学诊疗、环境治理、材料改性、食品保鲜等领域的非动力应用。</w:t>
      </w:r>
    </w:p>
    <w:p w14:paraId="1962ED3B">
      <w:pPr>
        <w:keepNext w:val="0"/>
        <w:keepLines w:val="0"/>
        <w:pageBreakBefore w:val="0"/>
        <w:widowControl w:val="0"/>
        <w:kinsoku/>
        <w:wordWrap/>
        <w:overflowPunct w:val="0"/>
        <w:topLinePunct w:val="0"/>
        <w:autoSpaceDE/>
        <w:autoSpaceDN/>
        <w:bidi w:val="0"/>
        <w:adjustRightInd w:val="0"/>
        <w:snapToGrid w:val="0"/>
        <w:spacing w:beforeAutospacing="0" w:afterAutospacing="0" w:line="596" w:lineRule="exact"/>
        <w:ind w:left="0" w:firstLine="632" w:firstLineChars="200"/>
        <w:jc w:val="both"/>
        <w:textAlignment w:val="auto"/>
        <w:outlineLvl w:val="9"/>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bCs/>
          <w:kern w:val="2"/>
          <w:sz w:val="32"/>
          <w:szCs w:val="32"/>
          <w:lang w:val="en-US" w:eastAsia="zh-CN" w:bidi="ar"/>
        </w:rPr>
        <w:t>太阳能。</w:t>
      </w:r>
      <w:r>
        <w:rPr>
          <w:rFonts w:hint="eastAsia" w:ascii="仿宋_GB2312" w:hAnsi="仿宋_GB2312" w:eastAsia="仿宋_GB2312" w:cs="仿宋_GB2312"/>
          <w:b w:val="0"/>
          <w:bCs w:val="0"/>
          <w:kern w:val="2"/>
          <w:sz w:val="32"/>
          <w:szCs w:val="32"/>
          <w:lang w:val="en-US" w:eastAsia="zh-CN" w:bidi="ar"/>
        </w:rPr>
        <w:t>统筹利用海上风电场区等区域，谋划建设海上光伏项目。积极推动工业园区、经济开发区等合理开展分布式光伏建设。加快实施“建筑光伏一体化”“光储充换一体化”等多元化发展模式，助力城市建筑可再生能源替代。</w:t>
      </w:r>
    </w:p>
    <w:p w14:paraId="355BD4A5">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新型储能。</w:t>
      </w:r>
      <w:r>
        <w:rPr>
          <w:rFonts w:hint="eastAsia" w:ascii="仿宋_GB2312" w:hAnsi="仿宋_GB2312" w:eastAsia="仿宋_GB2312" w:cs="仿宋_GB2312"/>
          <w:sz w:val="32"/>
          <w:szCs w:val="32"/>
        </w:rPr>
        <w:t>因地制宜发挥太阳能、风能、核能等资源优势，</w:t>
      </w:r>
      <w:r>
        <w:rPr>
          <w:rFonts w:hint="eastAsia" w:ascii="仿宋_GB2312" w:hAnsi="仿宋_GB2312" w:eastAsia="仿宋_GB2312" w:cs="仿宋_GB2312"/>
          <w:bCs/>
          <w:sz w:val="32"/>
          <w:szCs w:val="32"/>
        </w:rPr>
        <w:t>整体规划“电源、电网、负荷、储能”，打造一批独立储能电站项目和源网荷储一体化试点示范。积极推进独立储能电站的全省布局建设，</w:t>
      </w:r>
      <w:r>
        <w:rPr>
          <w:rFonts w:hint="eastAsia" w:ascii="仿宋_GB2312" w:hAnsi="仿宋_GB2312" w:eastAsia="仿宋_GB2312" w:cs="仿宋_GB2312"/>
          <w:bCs/>
          <w:sz w:val="32"/>
          <w:szCs w:val="32"/>
          <w:lang w:val="en-US" w:eastAsia="zh-CN"/>
        </w:rPr>
        <w:t>并</w:t>
      </w:r>
      <w:r>
        <w:rPr>
          <w:rFonts w:hint="eastAsia" w:ascii="仿宋_GB2312" w:hAnsi="仿宋_GB2312" w:eastAsia="仿宋_GB2312" w:cs="仿宋_GB2312"/>
          <w:bCs/>
          <w:sz w:val="32"/>
          <w:szCs w:val="32"/>
        </w:rPr>
        <w:t>推动</w:t>
      </w:r>
      <w:r>
        <w:rPr>
          <w:rFonts w:hint="eastAsia" w:ascii="仿宋_GB2312" w:hAnsi="仿宋_GB2312" w:eastAsia="仿宋_GB2312" w:cs="仿宋_GB2312"/>
          <w:bCs/>
          <w:sz w:val="32"/>
          <w:szCs w:val="32"/>
          <w:lang w:val="en-US" w:eastAsia="zh-CN"/>
        </w:rPr>
        <w:t>其</w:t>
      </w:r>
      <w:r>
        <w:rPr>
          <w:rFonts w:hint="eastAsia" w:ascii="仿宋_GB2312" w:hAnsi="仿宋_GB2312" w:eastAsia="仿宋_GB2312" w:cs="仿宋_GB2312"/>
          <w:bCs/>
          <w:sz w:val="32"/>
          <w:szCs w:val="32"/>
        </w:rPr>
        <w:t>在新型电力系统</w:t>
      </w:r>
      <w:r>
        <w:rPr>
          <w:rFonts w:hint="eastAsia" w:ascii="仿宋_GB2312" w:hAnsi="仿宋_GB2312" w:eastAsia="仿宋_GB2312" w:cs="仿宋_GB2312"/>
          <w:bCs/>
          <w:sz w:val="32"/>
          <w:szCs w:val="32"/>
          <w:lang w:val="en-US" w:eastAsia="zh-CN"/>
        </w:rPr>
        <w:t>中</w:t>
      </w:r>
      <w:r>
        <w:rPr>
          <w:rFonts w:hint="eastAsia" w:ascii="仿宋_GB2312" w:hAnsi="仿宋_GB2312" w:eastAsia="仿宋_GB2312" w:cs="仿宋_GB2312"/>
          <w:bCs/>
          <w:sz w:val="32"/>
          <w:szCs w:val="32"/>
        </w:rPr>
        <w:t>发挥关键作用。</w:t>
      </w:r>
    </w:p>
    <w:p w14:paraId="4A30161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清洁能源装备。</w:t>
      </w:r>
      <w:r>
        <w:rPr>
          <w:rFonts w:hint="eastAsia" w:ascii="仿宋_GB2312" w:hAnsi="仿宋_GB2312" w:eastAsia="仿宋_GB2312" w:cs="仿宋_GB2312"/>
          <w:sz w:val="32"/>
          <w:szCs w:val="32"/>
        </w:rPr>
        <w:t>推进儋州、东方等地海上风电装备制造基地建设，发展大功率风电机组、漂浮式平台及系泊系统整机制造。实施海上风电/光伏就地制氢，带动制氢、储氢装备及新型太阳能装备、燃料电池制造。围绕新能源汽车、海上风电、光伏等产业发展需求，推动新型储能装备生产制造，完善“风光储”新能源开发体系。</w:t>
      </w:r>
    </w:p>
    <w:tbl>
      <w:tblPr>
        <w:tblStyle w:val="27"/>
        <w:tblW w:w="5000" w:type="pct"/>
        <w:tblInd w:w="0" w:type="dxa"/>
        <w:tblLayout w:type="autofit"/>
        <w:tblCellMar>
          <w:top w:w="0" w:type="dxa"/>
          <w:left w:w="0" w:type="dxa"/>
          <w:bottom w:w="0" w:type="dxa"/>
          <w:right w:w="0" w:type="dxa"/>
        </w:tblCellMar>
      </w:tblPr>
      <w:tblGrid>
        <w:gridCol w:w="9060"/>
      </w:tblGrid>
      <w:tr w14:paraId="0B0ECC84">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884B5D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28"/>
              </w:rPr>
            </w:pPr>
            <w:r>
              <w:rPr>
                <w:rFonts w:hint="eastAsia" w:ascii="仿宋_GB2312" w:hAnsi="仿宋_GB2312" w:eastAsia="仿宋_GB2312" w:cs="仿宋_GB2312"/>
                <w:b/>
                <w:sz w:val="28"/>
              </w:rPr>
              <w:t>专栏8 清洁能源产业重点项目</w:t>
            </w:r>
          </w:p>
        </w:tc>
      </w:tr>
      <w:tr w14:paraId="49C1A829">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AA068C5">
            <w:pPr>
              <w:keepNext w:val="0"/>
              <w:keepLines w:val="0"/>
              <w:pageBreakBefore w:val="0"/>
              <w:widowControl w:val="0"/>
              <w:numPr>
                <w:ilvl w:val="0"/>
                <w:numId w:val="0"/>
              </w:numPr>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风能。</w:t>
            </w:r>
            <w:r>
              <w:rPr>
                <w:rFonts w:hint="eastAsia" w:ascii="仿宋_GB2312" w:hAnsi="仿宋_GB2312" w:eastAsia="仿宋_GB2312" w:cs="仿宋_GB2312"/>
                <w:sz w:val="28"/>
                <w:szCs w:val="28"/>
                <w:lang w:val="en-US" w:eastAsia="zh-CN"/>
              </w:rPr>
              <w:t>推进</w:t>
            </w:r>
            <w:r>
              <w:rPr>
                <w:rFonts w:hint="eastAsia" w:ascii="仿宋_GB2312" w:hAnsi="仿宋_GB2312" w:eastAsia="仿宋_GB2312" w:cs="仿宋_GB2312"/>
                <w:sz w:val="28"/>
                <w:szCs w:val="28"/>
              </w:rPr>
              <w:t>CZ4-CZ18海上风电、儋州120万千瓦海上风电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万宁漂浮式海上风电100万千瓦试验</w:t>
            </w:r>
            <w:r>
              <w:rPr>
                <w:rFonts w:hint="eastAsia" w:ascii="仿宋_GB2312" w:hAnsi="仿宋_GB2312" w:eastAsia="仿宋_GB2312" w:cs="仿宋_GB2312"/>
                <w:sz w:val="28"/>
                <w:szCs w:val="28"/>
                <w:lang w:val="en-US" w:eastAsia="zh-CN"/>
              </w:rPr>
              <w:t>等项目建设</w:t>
            </w:r>
            <w:r>
              <w:rPr>
                <w:rFonts w:hint="eastAsia" w:ascii="仿宋_GB2312" w:hAnsi="仿宋_GB2312" w:eastAsia="仿宋_GB2312" w:cs="仿宋_GB2312"/>
                <w:sz w:val="28"/>
                <w:szCs w:val="28"/>
              </w:rPr>
              <w:t>。</w:t>
            </w:r>
          </w:p>
          <w:p w14:paraId="40234020">
            <w:pPr>
              <w:keepNext w:val="0"/>
              <w:keepLines w:val="0"/>
              <w:pageBreakBefore w:val="0"/>
              <w:widowControl w:val="0"/>
              <w:numPr>
                <w:ilvl w:val="0"/>
                <w:numId w:val="0"/>
              </w:numPr>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核能。</w:t>
            </w:r>
            <w:r>
              <w:rPr>
                <w:rFonts w:hint="eastAsia" w:ascii="仿宋_GB2312" w:hAnsi="仿宋_GB2312" w:eastAsia="仿宋_GB2312" w:cs="仿宋_GB2312"/>
                <w:sz w:val="28"/>
                <w:szCs w:val="28"/>
                <w:lang w:val="en-US" w:eastAsia="zh-CN"/>
              </w:rPr>
              <w:t>推进</w:t>
            </w:r>
            <w:r>
              <w:rPr>
                <w:rFonts w:hint="eastAsia" w:ascii="仿宋_GB2312" w:hAnsi="仿宋_GB2312" w:eastAsia="仿宋_GB2312" w:cs="仿宋_GB2312"/>
                <w:sz w:val="28"/>
                <w:szCs w:val="28"/>
              </w:rPr>
              <w:t>昌江多用途模块式小型堆科技示范工程、昌江核电二期、中核海南5、6号机组等项目建设。</w:t>
            </w:r>
          </w:p>
          <w:p w14:paraId="039B6275">
            <w:pPr>
              <w:keepNext w:val="0"/>
              <w:keepLines w:val="0"/>
              <w:pageBreakBefore w:val="0"/>
              <w:widowControl w:val="0"/>
              <w:numPr>
                <w:ilvl w:val="0"/>
                <w:numId w:val="0"/>
              </w:numPr>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新型储能。</w:t>
            </w:r>
            <w:r>
              <w:rPr>
                <w:rFonts w:hint="eastAsia" w:ascii="仿宋_GB2312" w:hAnsi="仿宋_GB2312" w:eastAsia="仿宋_GB2312" w:cs="仿宋_GB2312"/>
                <w:sz w:val="28"/>
                <w:szCs w:val="28"/>
                <w:lang w:val="en-US" w:eastAsia="zh-CN"/>
              </w:rPr>
              <w:t>推进昌江、万宁、</w:t>
            </w:r>
            <w:r>
              <w:rPr>
                <w:rFonts w:hint="eastAsia" w:ascii="仿宋_GB2312" w:hAnsi="仿宋_GB2312" w:eastAsia="仿宋_GB2312" w:cs="仿宋_GB2312"/>
                <w:sz w:val="28"/>
                <w:szCs w:val="28"/>
              </w:rPr>
              <w:t>定安等市县的独立储能电站项目、澄迈多能互补分布式能源站项目</w:t>
            </w:r>
            <w:r>
              <w:rPr>
                <w:rFonts w:hint="eastAsia" w:ascii="仿宋_GB2312" w:hAnsi="仿宋_GB2312" w:eastAsia="仿宋_GB2312" w:cs="仿宋_GB2312"/>
                <w:sz w:val="28"/>
                <w:szCs w:val="28"/>
                <w:lang w:val="en-US" w:eastAsia="zh-CN"/>
              </w:rPr>
              <w:t>建设</w:t>
            </w:r>
            <w:r>
              <w:rPr>
                <w:rFonts w:hint="eastAsia" w:ascii="仿宋_GB2312" w:hAnsi="仿宋_GB2312" w:eastAsia="仿宋_GB2312" w:cs="仿宋_GB2312"/>
                <w:sz w:val="28"/>
                <w:szCs w:val="28"/>
              </w:rPr>
              <w:t>。</w:t>
            </w:r>
          </w:p>
          <w:p w14:paraId="39046BD1">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rPr>
            </w:pPr>
            <w:r>
              <w:rPr>
                <w:rFonts w:hint="eastAsia" w:ascii="仿宋_GB2312" w:hAnsi="仿宋_GB2312" w:eastAsia="仿宋_GB2312" w:cs="仿宋_GB2312"/>
                <w:b/>
                <w:bCs/>
                <w:sz w:val="28"/>
                <w:szCs w:val="28"/>
              </w:rPr>
              <w:t>清洁能源装备。</w:t>
            </w:r>
            <w:r>
              <w:rPr>
                <w:rFonts w:hint="eastAsia" w:ascii="仿宋_GB2312" w:hAnsi="仿宋_GB2312" w:eastAsia="仿宋_GB2312" w:cs="仿宋_GB2312"/>
                <w:sz w:val="28"/>
                <w:szCs w:val="28"/>
                <w:lang w:val="en-US" w:eastAsia="zh-CN"/>
              </w:rPr>
              <w:t>推进澄迈</w:t>
            </w:r>
            <w:r>
              <w:rPr>
                <w:rFonts w:hint="eastAsia" w:ascii="仿宋_GB2312" w:hAnsi="仿宋_GB2312" w:eastAsia="仿宋_GB2312" w:cs="仿宋_GB2312"/>
                <w:sz w:val="28"/>
                <w:szCs w:val="28"/>
              </w:rPr>
              <w:t>制氢装备研发及产业化、文昌光伏和高端铸造用石英砂提纯等项目建设。</w:t>
            </w:r>
          </w:p>
        </w:tc>
      </w:tr>
    </w:tbl>
    <w:p w14:paraId="1C68A26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32" w:name="_Toc582"/>
      <w:bookmarkStart w:id="233" w:name="_Toc25468"/>
      <w:bookmarkStart w:id="234" w:name="_Toc22937"/>
      <w:bookmarkStart w:id="235" w:name="_Toc1843975562"/>
      <w:bookmarkStart w:id="236" w:name="_Toc11775"/>
      <w:r>
        <w:rPr>
          <w:rFonts w:hint="default" w:ascii="Times New Roman" w:hAnsi="Times New Roman" w:eastAsia="黑体" w:cs="Times New Roman"/>
          <w:b w:val="0"/>
          <w:bCs w:val="0"/>
          <w:sz w:val="32"/>
          <w:szCs w:val="32"/>
        </w:rPr>
        <w:t>二、新能源汽车</w:t>
      </w:r>
      <w:bookmarkEnd w:id="232"/>
      <w:bookmarkEnd w:id="233"/>
      <w:bookmarkEnd w:id="234"/>
      <w:bookmarkEnd w:id="235"/>
      <w:bookmarkEnd w:id="236"/>
    </w:p>
    <w:p w14:paraId="53136BCD">
      <w:pPr>
        <w:keepNext w:val="0"/>
        <w:keepLines w:val="0"/>
        <w:pageBreakBefore w:val="0"/>
        <w:widowControl w:val="0"/>
        <w:numPr>
          <w:ilvl w:val="0"/>
          <w:numId w:val="0"/>
        </w:numPr>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聚焦智能网联、高端定制化改装、整车及零部件制造，</w:t>
      </w:r>
      <w:r>
        <w:rPr>
          <w:rFonts w:hint="eastAsia" w:ascii="仿宋_GB2312" w:hAnsi="仿宋_GB2312" w:eastAsia="仿宋_GB2312" w:cs="仿宋_GB2312"/>
          <w:sz w:val="32"/>
          <w:szCs w:val="32"/>
          <w:lang w:bidi="ar"/>
        </w:rPr>
        <w:t>持续推进新能源汽车产业供应链转型、产业链拓展、价值链提升，高标准打造汽车出口服务基地、汽车适配标定与测试基地</w:t>
      </w:r>
      <w:r>
        <w:rPr>
          <w:rFonts w:hint="eastAsia" w:ascii="仿宋_GB2312" w:hAnsi="仿宋_GB2312" w:eastAsia="仿宋_GB2312" w:cs="仿宋_GB2312"/>
          <w:sz w:val="32"/>
          <w:szCs w:val="32"/>
        </w:rPr>
        <w:t>。到2030年，新能源汽车产业营收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达到100亿元。</w:t>
      </w:r>
    </w:p>
    <w:p w14:paraId="2E48C7C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智能网联汽车。</w:t>
      </w:r>
      <w:r>
        <w:rPr>
          <w:rFonts w:hint="eastAsia" w:ascii="仿宋_GB2312" w:hAnsi="仿宋_GB2312" w:eastAsia="仿宋_GB2312" w:cs="仿宋_GB2312"/>
          <w:sz w:val="32"/>
          <w:szCs w:val="32"/>
        </w:rPr>
        <w:t>以海口、三亚、琼海联合体入选国家智能网联汽车“车路云一体化”应用试点城市、儋州入选国家首批智能网联汽车准入和上路通行试点名单为契机，发挥场景协同优势，将智能网联作为提升新能源汽车产业核心竞争力的战略切入点和突破口。</w:t>
      </w:r>
      <w:r>
        <w:rPr>
          <w:rFonts w:hint="eastAsia" w:ascii="仿宋_GB2312" w:hAnsi="仿宋_GB2312" w:eastAsia="仿宋_GB2312" w:cs="仿宋_GB2312"/>
          <w:b w:val="0"/>
          <w:bCs w:val="0"/>
          <w:i w:val="0"/>
          <w:iCs w:val="0"/>
          <w:caps w:val="0"/>
          <w:color w:val="000000"/>
          <w:spacing w:val="0"/>
          <w:sz w:val="32"/>
          <w:szCs w:val="32"/>
          <w:shd w:val="clear" w:color="auto" w:fill="auto"/>
        </w:rPr>
        <w:t>强化关键技术攻</w:t>
      </w:r>
      <w:r>
        <w:rPr>
          <w:rFonts w:hint="eastAsia" w:ascii="仿宋_GB2312" w:hAnsi="仿宋_GB2312" w:eastAsia="仿宋_GB2312" w:cs="仿宋_GB2312"/>
          <w:b w:val="0"/>
          <w:bCs w:val="0"/>
          <w:i w:val="0"/>
          <w:iCs w:val="0"/>
          <w:caps w:val="0"/>
          <w:color w:val="auto"/>
          <w:spacing w:val="0"/>
          <w:sz w:val="32"/>
          <w:szCs w:val="32"/>
          <w:shd w:val="clear" w:color="auto" w:fill="auto"/>
        </w:rPr>
        <w:t>关</w:t>
      </w:r>
      <w:r>
        <w:rPr>
          <w:rFonts w:hint="eastAsia" w:ascii="仿宋_GB2312" w:hAnsi="仿宋_GB2312" w:eastAsia="仿宋_GB2312" w:cs="仿宋_GB2312"/>
          <w:i w:val="0"/>
          <w:iCs w:val="0"/>
          <w:caps w:val="0"/>
          <w:color w:val="auto"/>
          <w:spacing w:val="0"/>
          <w:sz w:val="32"/>
          <w:szCs w:val="32"/>
          <w:shd w:val="clear" w:color="auto" w:fill="auto"/>
        </w:rPr>
        <w:t>，深化</w:t>
      </w:r>
      <w:r>
        <w:rPr>
          <w:rFonts w:hint="eastAsia" w:ascii="仿宋_GB2312" w:hAnsi="仿宋_GB2312" w:eastAsia="仿宋_GB2312" w:cs="仿宋_GB2312"/>
          <w:b w:val="0"/>
          <w:bCs w:val="0"/>
          <w:i w:val="0"/>
          <w:iCs w:val="0"/>
          <w:caps w:val="0"/>
          <w:color w:val="auto"/>
          <w:spacing w:val="0"/>
          <w:sz w:val="32"/>
          <w:szCs w:val="32"/>
          <w:shd w:val="clear" w:color="auto" w:fill="auto"/>
        </w:rPr>
        <w:t>车路云协同AI大模型</w:t>
      </w:r>
      <w:r>
        <w:rPr>
          <w:rFonts w:hint="eastAsia" w:ascii="仿宋_GB2312" w:hAnsi="仿宋_GB2312" w:eastAsia="仿宋_GB2312" w:cs="仿宋_GB2312"/>
          <w:i w:val="0"/>
          <w:iCs w:val="0"/>
          <w:caps w:val="0"/>
          <w:color w:val="auto"/>
          <w:spacing w:val="0"/>
          <w:sz w:val="32"/>
          <w:szCs w:val="32"/>
          <w:shd w:val="clear" w:color="auto" w:fill="auto"/>
        </w:rPr>
        <w:t>、端到端自动驾驶、高精地图等技术在无人</w:t>
      </w:r>
      <w:r>
        <w:rPr>
          <w:rFonts w:hint="eastAsia" w:ascii="仿宋_GB2312" w:hAnsi="仿宋_GB2312" w:eastAsia="仿宋_GB2312" w:cs="仿宋_GB2312"/>
          <w:i w:val="0"/>
          <w:iCs w:val="0"/>
          <w:caps w:val="0"/>
          <w:color w:val="auto"/>
          <w:spacing w:val="0"/>
          <w:sz w:val="32"/>
          <w:szCs w:val="32"/>
          <w:shd w:val="clear" w:color="auto" w:fill="auto"/>
          <w:lang w:eastAsia="zh-CN"/>
        </w:rPr>
        <w:t>驾驶</w:t>
      </w:r>
      <w:r>
        <w:rPr>
          <w:rFonts w:hint="eastAsia" w:ascii="仿宋_GB2312" w:hAnsi="仿宋_GB2312" w:eastAsia="仿宋_GB2312" w:cs="仿宋_GB2312"/>
          <w:i w:val="0"/>
          <w:iCs w:val="0"/>
          <w:caps w:val="0"/>
          <w:color w:val="auto"/>
          <w:spacing w:val="0"/>
          <w:sz w:val="32"/>
          <w:szCs w:val="32"/>
          <w:shd w:val="clear" w:color="auto" w:fill="auto"/>
        </w:rPr>
        <w:t>出租</w:t>
      </w:r>
      <w:r>
        <w:rPr>
          <w:rFonts w:hint="eastAsia" w:ascii="仿宋_GB2312" w:hAnsi="仿宋_GB2312" w:eastAsia="仿宋_GB2312" w:cs="仿宋_GB2312"/>
          <w:i w:val="0"/>
          <w:iCs w:val="0"/>
          <w:caps w:val="0"/>
          <w:color w:val="auto"/>
          <w:spacing w:val="0"/>
          <w:sz w:val="32"/>
          <w:szCs w:val="32"/>
          <w:shd w:val="clear" w:color="auto" w:fill="auto"/>
          <w:lang w:eastAsia="zh-CN"/>
        </w:rPr>
        <w:t>车</w:t>
      </w:r>
      <w:r>
        <w:rPr>
          <w:rFonts w:hint="eastAsia" w:ascii="仿宋_GB2312" w:hAnsi="仿宋_GB2312" w:eastAsia="仿宋_GB2312" w:cs="仿宋_GB2312"/>
          <w:i w:val="0"/>
          <w:iCs w:val="0"/>
          <w:caps w:val="0"/>
          <w:color w:val="auto"/>
          <w:spacing w:val="0"/>
          <w:sz w:val="32"/>
          <w:szCs w:val="32"/>
          <w:shd w:val="clear" w:color="auto" w:fill="auto"/>
        </w:rPr>
        <w:t>、智慧物流、机场接驳等场景的规模化应用，探索“技术</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iCs w:val="0"/>
          <w:caps w:val="0"/>
          <w:color w:val="auto"/>
          <w:spacing w:val="0"/>
          <w:sz w:val="32"/>
          <w:szCs w:val="32"/>
          <w:shd w:val="clear" w:color="auto" w:fill="auto"/>
        </w:rPr>
        <w:t>场景</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iCs w:val="0"/>
          <w:caps w:val="0"/>
          <w:color w:val="auto"/>
          <w:spacing w:val="0"/>
          <w:sz w:val="32"/>
          <w:szCs w:val="32"/>
          <w:shd w:val="clear" w:color="auto" w:fill="auto"/>
        </w:rPr>
        <w:t>商业”闭</w:t>
      </w:r>
      <w:r>
        <w:rPr>
          <w:rFonts w:hint="eastAsia" w:ascii="仿宋_GB2312" w:hAnsi="仿宋_GB2312" w:eastAsia="仿宋_GB2312" w:cs="仿宋_GB2312"/>
          <w:i w:val="0"/>
          <w:iCs w:val="0"/>
          <w:caps w:val="0"/>
          <w:color w:val="000000"/>
          <w:spacing w:val="0"/>
          <w:sz w:val="32"/>
          <w:szCs w:val="32"/>
          <w:shd w:val="clear" w:color="auto" w:fill="auto"/>
        </w:rPr>
        <w:t>环发展模式</w:t>
      </w:r>
      <w:r>
        <w:rPr>
          <w:rFonts w:hint="eastAsia" w:ascii="仿宋_GB2312" w:hAnsi="仿宋_GB2312" w:eastAsia="仿宋_GB2312" w:cs="仿宋_GB2312"/>
          <w:color w:val="000000"/>
          <w:sz w:val="32"/>
          <w:szCs w:val="32"/>
        </w:rPr>
        <w:t>。升级智能座舱体验，重点研发激光显示、多模态交互、流媒体后视镜、智能热管理及车载娱乐系统，推动座舱从“功能集成”向“情感交互”演进。</w:t>
      </w:r>
    </w:p>
    <w:p w14:paraId="793EB890">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高端定制化改装。</w:t>
      </w:r>
      <w:r>
        <w:rPr>
          <w:rFonts w:hint="eastAsia" w:ascii="仿宋_GB2312" w:hAnsi="仿宋_GB2312" w:eastAsia="仿宋_GB2312" w:cs="仿宋_GB2312"/>
          <w:sz w:val="32"/>
          <w:szCs w:val="32"/>
        </w:rPr>
        <w:t>抢抓汽车定制改装风口，发展合规改装业务，重点布局授权改装和消费性改装。引导改装企业与整车企业共创合作模式，聚焦新车定制改装车型研发与发布、进口新车改装转内销两个方向，开展差异化、个性化改装服务，打造全球汽车定制改装中心。聚焦国内新车改装出口、国内二手车改装出口、国外二手车改装复出口三大方向，开展符合目标国家规范的车辆改装及系统提升服务，打造全球二手车出口改装基地。规范“两头在外”维修业务发展，扩大发动机、变速器等“两头在外”维修业务规模，探索推动“两头在外”汽车整车维修业务落地。</w:t>
      </w:r>
    </w:p>
    <w:p w14:paraId="67105E7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整车及零部件制造。</w:t>
      </w:r>
      <w:r>
        <w:rPr>
          <w:rFonts w:hint="eastAsia" w:ascii="仿宋_GB2312" w:hAnsi="仿宋_GB2312" w:eastAsia="仿宋_GB2312" w:cs="仿宋_GB2312"/>
          <w:sz w:val="32"/>
          <w:szCs w:val="32"/>
        </w:rPr>
        <w:t>以加工增值</w:t>
      </w:r>
      <w:r>
        <w:rPr>
          <w:rFonts w:hint="eastAsia" w:ascii="仿宋_GB2312" w:hAnsi="仿宋_GB2312" w:eastAsia="仿宋_GB2312" w:cs="仿宋_GB2312"/>
          <w:sz w:val="32"/>
          <w:szCs w:val="32"/>
          <w:lang w:val="en-US" w:eastAsia="zh-CN"/>
        </w:rPr>
        <w:t>免关税</w:t>
      </w:r>
      <w:r>
        <w:rPr>
          <w:rFonts w:hint="eastAsia" w:ascii="仿宋_GB2312" w:hAnsi="仿宋_GB2312" w:eastAsia="仿宋_GB2312" w:cs="仿宋_GB2312"/>
          <w:sz w:val="32"/>
          <w:szCs w:val="32"/>
        </w:rPr>
        <w:t>政策试点为突破，发展</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rPr>
        <w:t>进口整车和底盘生产高端旅居、宿营、救护、医疗、消防等专用车，以智能化转型加快培育优势产业。围绕物流配送、机场接驳、旅游环线等特色场景，开发L3级别及以上自动驾驶车型。鼓励企业开发符合东南亚、中东、非洲等地域特色与市场需求的车型，加快“汽车出海”。</w:t>
      </w:r>
    </w:p>
    <w:tbl>
      <w:tblPr>
        <w:tblStyle w:val="27"/>
        <w:tblW w:w="5000" w:type="pct"/>
        <w:tblInd w:w="0" w:type="dxa"/>
        <w:tblLayout w:type="autofit"/>
        <w:tblCellMar>
          <w:top w:w="0" w:type="dxa"/>
          <w:left w:w="0" w:type="dxa"/>
          <w:bottom w:w="0" w:type="dxa"/>
          <w:right w:w="0" w:type="dxa"/>
        </w:tblCellMar>
      </w:tblPr>
      <w:tblGrid>
        <w:gridCol w:w="9060"/>
      </w:tblGrid>
      <w:tr w14:paraId="5E949C8E">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C99217">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18"/>
              </w:rPr>
            </w:pPr>
            <w:r>
              <w:rPr>
                <w:rFonts w:hint="eastAsia" w:ascii="仿宋_GB2312" w:hAnsi="仿宋_GB2312" w:eastAsia="仿宋_GB2312" w:cs="仿宋_GB2312"/>
                <w:b/>
                <w:sz w:val="28"/>
              </w:rPr>
              <w:t>专栏9 新能源汽车产业重点项目</w:t>
            </w:r>
          </w:p>
        </w:tc>
      </w:tr>
      <w:tr w14:paraId="29031DA2">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84AB887">
            <w:pPr>
              <w:keepNext w:val="0"/>
              <w:keepLines w:val="0"/>
              <w:pageBreakBefore w:val="0"/>
              <w:widowControl w:val="0"/>
              <w:numPr>
                <w:ilvl w:val="0"/>
                <w:numId w:val="0"/>
              </w:numPr>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智能网联汽车</w:t>
            </w:r>
            <w:r>
              <w:rPr>
                <w:rFonts w:hint="eastAsia" w:ascii="仿宋_GB2312" w:hAnsi="仿宋_GB2312" w:eastAsia="仿宋_GB2312" w:cs="仿宋_GB2312"/>
                <w:sz w:val="28"/>
                <w:szCs w:val="28"/>
              </w:rPr>
              <w:t>。加快海南智能网联汽车“车路云一体化”应用试点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深化与行业重点</w:t>
            </w:r>
            <w:r>
              <w:rPr>
                <w:rFonts w:hint="eastAsia" w:ascii="仿宋_GB2312" w:hAnsi="仿宋_GB2312" w:eastAsia="仿宋_GB2312" w:cs="仿宋_GB2312"/>
                <w:sz w:val="28"/>
                <w:szCs w:val="28"/>
              </w:rPr>
              <w:t>企业战略合作。</w:t>
            </w:r>
          </w:p>
          <w:p w14:paraId="01271F02">
            <w:pPr>
              <w:keepNext w:val="0"/>
              <w:keepLines w:val="0"/>
              <w:pageBreakBefore w:val="0"/>
              <w:widowControl w:val="0"/>
              <w:numPr>
                <w:ilvl w:val="0"/>
                <w:numId w:val="0"/>
              </w:numPr>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eastAsia" w:ascii="仿宋_GB2312" w:hAnsi="仿宋_GB2312" w:eastAsia="仿宋_GB2312" w:cs="仿宋_GB2312"/>
                <w:b/>
                <w:bCs/>
                <w:sz w:val="28"/>
                <w:szCs w:val="28"/>
                <w:lang w:val="en-US" w:eastAsia="zh-CN"/>
              </w:rPr>
              <w:t>新能源</w:t>
            </w:r>
            <w:r>
              <w:rPr>
                <w:rFonts w:hint="eastAsia" w:ascii="仿宋_GB2312" w:hAnsi="仿宋_GB2312" w:eastAsia="仿宋_GB2312" w:cs="仿宋_GB2312"/>
                <w:b/>
                <w:bCs/>
                <w:sz w:val="28"/>
                <w:szCs w:val="28"/>
              </w:rPr>
              <w:t>专用车</w:t>
            </w:r>
            <w:r>
              <w:rPr>
                <w:rFonts w:hint="eastAsia" w:ascii="仿宋_GB2312" w:hAnsi="仿宋_GB2312" w:eastAsia="仿宋_GB2312" w:cs="仿宋_GB2312"/>
                <w:sz w:val="28"/>
                <w:szCs w:val="28"/>
              </w:rPr>
              <w:t>。充分利用加工增值</w:t>
            </w:r>
            <w:r>
              <w:rPr>
                <w:rFonts w:hint="eastAsia" w:ascii="仿宋_GB2312" w:hAnsi="仿宋_GB2312" w:eastAsia="仿宋_GB2312" w:cs="仿宋_GB2312"/>
                <w:sz w:val="28"/>
                <w:szCs w:val="28"/>
                <w:lang w:val="en-US" w:eastAsia="zh-CN"/>
              </w:rPr>
              <w:t>免关税</w:t>
            </w:r>
            <w:r>
              <w:rPr>
                <w:rFonts w:hint="eastAsia" w:ascii="仿宋_GB2312" w:hAnsi="仿宋_GB2312" w:eastAsia="仿宋_GB2312" w:cs="仿宋_GB2312"/>
                <w:sz w:val="28"/>
                <w:szCs w:val="28"/>
              </w:rPr>
              <w:t>政策，</w:t>
            </w:r>
            <w:r>
              <w:rPr>
                <w:rFonts w:hint="eastAsia" w:ascii="仿宋_GB2312" w:hAnsi="仿宋_GB2312" w:eastAsia="仿宋_GB2312" w:cs="仿宋_GB2312"/>
                <w:sz w:val="28"/>
                <w:szCs w:val="28"/>
                <w:lang w:val="en-US" w:eastAsia="zh-CN"/>
              </w:rPr>
              <w:t>支持在琼</w:t>
            </w:r>
            <w:r>
              <w:rPr>
                <w:rFonts w:hint="eastAsia" w:ascii="仿宋_GB2312" w:hAnsi="仿宋_GB2312" w:eastAsia="仿宋_GB2312" w:cs="仿宋_GB2312"/>
                <w:sz w:val="28"/>
                <w:szCs w:val="28"/>
              </w:rPr>
              <w:t>企业逐步扩大产能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谋划</w:t>
            </w:r>
            <w:r>
              <w:rPr>
                <w:rFonts w:hint="eastAsia" w:ascii="仿宋_GB2312" w:hAnsi="仿宋_GB2312" w:eastAsia="仿宋_GB2312" w:cs="仿宋_GB2312"/>
                <w:sz w:val="28"/>
                <w:szCs w:val="28"/>
              </w:rPr>
              <w:t>消防、医疗、旅居等一批专用车项目落地</w:t>
            </w:r>
            <w:r>
              <w:rPr>
                <w:rFonts w:hint="eastAsia" w:ascii="仿宋_GB2312" w:hAnsi="仿宋_GB2312" w:eastAsia="仿宋_GB2312" w:cs="仿宋_GB2312"/>
                <w:sz w:val="28"/>
                <w:szCs w:val="28"/>
                <w:lang w:eastAsia="zh-CN"/>
              </w:rPr>
              <w:t>。</w:t>
            </w:r>
          </w:p>
        </w:tc>
      </w:tr>
    </w:tbl>
    <w:p w14:paraId="645A8A6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37" w:name="_Toc19966"/>
      <w:bookmarkStart w:id="238" w:name="_Toc14817"/>
      <w:bookmarkStart w:id="239" w:name="_Toc115"/>
      <w:bookmarkStart w:id="240" w:name="_Toc441996527"/>
      <w:bookmarkStart w:id="241" w:name="_Toc23530"/>
      <w:r>
        <w:rPr>
          <w:rFonts w:hint="default" w:ascii="Times New Roman" w:hAnsi="Times New Roman" w:eastAsia="黑体" w:cs="Times New Roman"/>
          <w:b w:val="0"/>
          <w:bCs w:val="0"/>
          <w:sz w:val="32"/>
          <w:szCs w:val="32"/>
        </w:rPr>
        <w:t>三、维修和再制造</w:t>
      </w:r>
      <w:bookmarkEnd w:id="237"/>
      <w:bookmarkEnd w:id="238"/>
      <w:bookmarkEnd w:id="239"/>
      <w:bookmarkEnd w:id="240"/>
      <w:bookmarkEnd w:id="241"/>
    </w:p>
    <w:p w14:paraId="37A82D1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以“创新监管模式、优化通关流程、深化政策供给”为支撑，做优做强</w:t>
      </w:r>
      <w:r>
        <w:rPr>
          <w:rFonts w:hint="eastAsia" w:ascii="仿宋_GB2312" w:hAnsi="仿宋_GB2312" w:eastAsia="仿宋_GB2312" w:cs="仿宋_GB2312"/>
          <w:sz w:val="32"/>
          <w:szCs w:val="32"/>
          <w:lang w:bidi="ar"/>
        </w:rPr>
        <w:t>飞机维修、海洋装备、工程机械维修和再制造等领域，积极拓展汽车整车与零部件、电子信息设备、高端医疗装备等领域维修和再制造，加快构建“技术领先、业态丰富、辐射全球”的高端维修和再制造产业新体系</w:t>
      </w:r>
      <w:r>
        <w:rPr>
          <w:rFonts w:hint="eastAsia" w:ascii="仿宋_GB2312" w:hAnsi="仿宋_GB2312" w:eastAsia="仿宋_GB2312" w:cs="仿宋_GB2312"/>
          <w:sz w:val="32"/>
          <w:szCs w:val="32"/>
        </w:rPr>
        <w:t>。到2030年，维修和再制造产业营收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达到300亿元。</w:t>
      </w:r>
    </w:p>
    <w:p w14:paraId="6B8E652B">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飞机维修</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bidi="ar"/>
        </w:rPr>
        <w:t>深化</w:t>
      </w:r>
      <w:r>
        <w:rPr>
          <w:rFonts w:hint="eastAsia" w:ascii="仿宋_GB2312" w:hAnsi="仿宋_GB2312" w:eastAsia="仿宋_GB2312" w:cs="仿宋_GB2312"/>
          <w:sz w:val="32"/>
          <w:szCs w:val="32"/>
        </w:rPr>
        <w:t>机体、发动机、</w:t>
      </w:r>
      <w:r>
        <w:rPr>
          <w:rFonts w:hint="eastAsia" w:ascii="仿宋_GB2312" w:hAnsi="仿宋_GB2312" w:eastAsia="仿宋_GB2312" w:cs="仿宋_GB2312"/>
          <w:color w:val="auto"/>
          <w:sz w:val="32"/>
          <w:szCs w:val="32"/>
        </w:rPr>
        <w:t>关键部件、复合材料等高价值维修能力，逐步建成“立足海南、辐射亚太、服务全球”的</w:t>
      </w:r>
      <w:r>
        <w:rPr>
          <w:rFonts w:hint="eastAsia" w:ascii="仿宋_GB2312" w:hAnsi="仿宋_GB2312" w:eastAsia="仿宋_GB2312" w:cs="仿宋_GB2312"/>
          <w:sz w:val="32"/>
          <w:szCs w:val="32"/>
        </w:rPr>
        <w:t>飞机维修格局。布局飞机改装、拆解环节，覆盖</w:t>
      </w:r>
      <w:r>
        <w:rPr>
          <w:rFonts w:hint="eastAsia" w:ascii="仿宋_GB2312" w:hAnsi="仿宋_GB2312" w:eastAsia="仿宋_GB2312" w:cs="仿宋_GB2312"/>
          <w:sz w:val="32"/>
          <w:szCs w:val="32"/>
          <w:lang w:bidi="ar"/>
        </w:rPr>
        <w:t>主流宽体和窄体飞机，打造飞机拆解、航材维修、航材贸易中心，</w:t>
      </w:r>
      <w:r>
        <w:rPr>
          <w:rFonts w:hint="eastAsia" w:ascii="仿宋_GB2312" w:hAnsi="仿宋_GB2312" w:eastAsia="仿宋_GB2312" w:cs="仿宋_GB2312"/>
          <w:sz w:val="32"/>
          <w:szCs w:val="32"/>
        </w:rPr>
        <w:t>循环利用拆解部件及金属/复合材料。</w:t>
      </w:r>
    </w:p>
    <w:p w14:paraId="06B735E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海洋装备维修和再制造。</w:t>
      </w:r>
      <w:r>
        <w:rPr>
          <w:rFonts w:hint="eastAsia" w:ascii="仿宋_GB2312" w:hAnsi="仿宋_GB2312" w:eastAsia="仿宋_GB2312" w:cs="仿宋_GB2312"/>
          <w:sz w:val="32"/>
          <w:szCs w:val="32"/>
        </w:rPr>
        <w:t>发展渔船和游艇电动化、轻量化、智能化改装再制造，以及游艇舾装件、驾驶监控系统与配套芯片的组装、维修</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再制造。开展船舶、游艇专用发动机、发电机、仪器仪表、导航设备、螺旋桨等关键件维修和再制造。探索起重船、打桩船、豪华客滚船、重吊船、多功能供应船、海洋勘探设备等海工装备维修和再制造。依托澄迈油气勘探生产服务基地，布局油服海工装备维修和再制造。</w:t>
      </w:r>
    </w:p>
    <w:p w14:paraId="1622BA4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工程机械维修和再制造。</w:t>
      </w:r>
      <w:r>
        <w:rPr>
          <w:rFonts w:hint="eastAsia" w:ascii="仿宋_GB2312" w:hAnsi="仿宋_GB2312" w:eastAsia="仿宋_GB2312" w:cs="仿宋_GB2312"/>
          <w:sz w:val="32"/>
          <w:szCs w:val="32"/>
        </w:rPr>
        <w:t>围绕土方机械、压实机械、起重机械、港口机械以及动力系统设备开展工程机械维修和再制造，突破工程机械维修和再制造关键技术研发与标准认证体系，健全维修和再制造专业人才培训等配套服务体系，持续完善维修和再制造产业生态，打造面向国际市场的工程机械维修和再制造基地。</w:t>
      </w:r>
    </w:p>
    <w:p w14:paraId="53106D9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其他领域维修和再制造。</w:t>
      </w:r>
      <w:r>
        <w:rPr>
          <w:rFonts w:hint="eastAsia" w:ascii="仿宋_GB2312" w:hAnsi="仿宋_GB2312" w:eastAsia="仿宋_GB2312" w:cs="仿宋_GB2312"/>
          <w:sz w:val="32"/>
          <w:szCs w:val="32"/>
        </w:rPr>
        <w:t>实施汽车发动机、变速器等零部件以及新能源汽车动力蓄电池梯次检测、分类重组、系统集成等维修和再制造。开展电子信息设备维修和再制造，丰富电脑、手机、机器人等高价值智能终端维修品类。探索核磁共振成像装置、超声波诊断仪、安检及探伤设备等高端医疗装备关键零配件维修和再制造。</w:t>
      </w:r>
    </w:p>
    <w:tbl>
      <w:tblPr>
        <w:tblStyle w:val="27"/>
        <w:tblW w:w="0" w:type="auto"/>
        <w:tblInd w:w="125" w:type="dxa"/>
        <w:tblLayout w:type="fixed"/>
        <w:tblCellMar>
          <w:top w:w="0" w:type="dxa"/>
          <w:left w:w="0" w:type="dxa"/>
          <w:bottom w:w="0" w:type="dxa"/>
          <w:right w:w="0" w:type="dxa"/>
        </w:tblCellMar>
      </w:tblPr>
      <w:tblGrid>
        <w:gridCol w:w="8844"/>
      </w:tblGrid>
      <w:tr w14:paraId="781B8C71">
        <w:tblPrEx>
          <w:tblCellMar>
            <w:top w:w="0" w:type="dxa"/>
            <w:left w:w="0" w:type="dxa"/>
            <w:bottom w:w="0" w:type="dxa"/>
            <w:right w:w="0" w:type="dxa"/>
          </w:tblCellMar>
        </w:tblPrEx>
        <w:trPr>
          <w:trHeight w:val="567" w:hRule="atLeast"/>
        </w:trPr>
        <w:tc>
          <w:tcPr>
            <w:tcW w:w="88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3E97FC">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18"/>
              </w:rPr>
            </w:pPr>
            <w:r>
              <w:rPr>
                <w:rFonts w:hint="eastAsia" w:ascii="仿宋_GB2312" w:hAnsi="仿宋_GB2312" w:eastAsia="仿宋_GB2312" w:cs="仿宋_GB2312"/>
                <w:b/>
                <w:sz w:val="28"/>
              </w:rPr>
              <w:t>专栏10 维修和再制造产业重点项目</w:t>
            </w:r>
          </w:p>
        </w:tc>
      </w:tr>
      <w:tr w14:paraId="05A81C98">
        <w:tblPrEx>
          <w:tblCellMar>
            <w:top w:w="0" w:type="dxa"/>
            <w:left w:w="0" w:type="dxa"/>
            <w:bottom w:w="0" w:type="dxa"/>
            <w:right w:w="0" w:type="dxa"/>
          </w:tblCellMar>
        </w:tblPrEx>
        <w:trPr>
          <w:trHeight w:val="567" w:hRule="atLeast"/>
        </w:trPr>
        <w:tc>
          <w:tcPr>
            <w:tcW w:w="88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87AFCCD">
            <w:pPr>
              <w:keepNext w:val="0"/>
              <w:keepLines w:val="0"/>
              <w:pageBreakBefore w:val="0"/>
              <w:widowControl w:val="0"/>
              <w:numPr>
                <w:ilvl w:val="0"/>
                <w:numId w:val="0"/>
              </w:numPr>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eastAsia" w:ascii="仿宋_GB2312" w:hAnsi="仿宋_GB2312" w:eastAsia="仿宋_GB2312" w:cs="仿宋_GB2312"/>
                <w:sz w:val="28"/>
                <w:szCs w:val="28"/>
                <w:lang w:val="en-US" w:eastAsia="zh-CN"/>
              </w:rPr>
              <w:t>推进</w:t>
            </w:r>
            <w:r>
              <w:rPr>
                <w:rFonts w:hint="eastAsia" w:ascii="仿宋_GB2312" w:hAnsi="仿宋_GB2312" w:eastAsia="仿宋_GB2312" w:cs="仿宋_GB2312"/>
                <w:sz w:val="28"/>
                <w:szCs w:val="28"/>
              </w:rPr>
              <w:t>海口航空OEM高端制造、洋浦电子信息产品维修和再制造、澄迈再制造医疗设备工厂、澄迈高端石油装备再制造产业园等项目建设。</w:t>
            </w:r>
          </w:p>
        </w:tc>
      </w:tr>
      <w:bookmarkEnd w:id="186"/>
      <w:bookmarkEnd w:id="187"/>
      <w:bookmarkEnd w:id="227"/>
      <w:bookmarkEnd w:id="228"/>
      <w:bookmarkEnd w:id="229"/>
      <w:bookmarkEnd w:id="230"/>
      <w:bookmarkEnd w:id="231"/>
    </w:tbl>
    <w:p w14:paraId="6B5D56B2">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42" w:name="_Toc404198"/>
      <w:bookmarkStart w:id="243" w:name="_Toc22581"/>
      <w:bookmarkStart w:id="244" w:name="_Toc18077"/>
      <w:bookmarkStart w:id="245" w:name="_Toc30238"/>
      <w:bookmarkStart w:id="246" w:name="_Toc9557"/>
      <w:bookmarkStart w:id="247" w:name="_Toc24591"/>
      <w:bookmarkStart w:id="248" w:name="_Toc28893"/>
      <w:bookmarkStart w:id="249" w:name="_Toc10924"/>
      <w:bookmarkStart w:id="250" w:name="_Toc17825"/>
      <w:bookmarkStart w:id="251" w:name="_Toc3781"/>
      <w:bookmarkStart w:id="252" w:name="_Toc25393"/>
      <w:r>
        <w:rPr>
          <w:rFonts w:hint="default" w:ascii="Times New Roman" w:hAnsi="Times New Roman" w:eastAsia="黑体" w:cs="Times New Roman"/>
          <w:b w:val="0"/>
          <w:bCs w:val="0"/>
          <w:sz w:val="32"/>
          <w:szCs w:val="32"/>
        </w:rPr>
        <w:t>四、低空经济</w:t>
      </w:r>
      <w:bookmarkEnd w:id="242"/>
      <w:bookmarkEnd w:id="243"/>
      <w:bookmarkEnd w:id="244"/>
      <w:bookmarkEnd w:id="245"/>
      <w:bookmarkEnd w:id="246"/>
    </w:p>
    <w:p w14:paraId="478E70EA">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以“保障服务飞行、应用带动制造、创新驱动发展”为总体思路，加快低空基础设施建设，丰富“低空+”应用场景，逆向助推低空飞行器研发组装制造业发展。到2030年，</w:t>
      </w:r>
      <w:r>
        <w:rPr>
          <w:rFonts w:hint="eastAsia" w:ascii="仿宋_GB2312" w:hAnsi="仿宋_GB2312" w:eastAsia="仿宋_GB2312" w:cs="仿宋_GB2312"/>
          <w:sz w:val="32"/>
          <w:szCs w:val="32"/>
          <w:lang w:val="en-US" w:eastAsia="zh-CN"/>
        </w:rPr>
        <w:t>低空经济产业营收力争达到100亿元</w:t>
      </w:r>
      <w:r>
        <w:rPr>
          <w:rFonts w:hint="eastAsia" w:ascii="仿宋_GB2312" w:hAnsi="仿宋_GB2312" w:eastAsia="仿宋_GB2312" w:cs="仿宋_GB2312"/>
          <w:sz w:val="32"/>
          <w:szCs w:val="32"/>
        </w:rPr>
        <w:t>。</w:t>
      </w:r>
    </w:p>
    <w:p w14:paraId="2DEECB9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低空基础设施。</w:t>
      </w:r>
      <w:r>
        <w:rPr>
          <w:rFonts w:hint="eastAsia" w:ascii="仿宋_GB2312" w:hAnsi="仿宋_GB2312" w:eastAsia="仿宋_GB2312" w:cs="仿宋_GB2312"/>
          <w:sz w:val="32"/>
          <w:szCs w:val="32"/>
        </w:rPr>
        <w:t>将低空基础设施纳入城市建设规划，加强与城市运输系统连接，</w:t>
      </w:r>
      <w:r>
        <w:rPr>
          <w:rFonts w:hint="eastAsia" w:ascii="仿宋_GB2312" w:hAnsi="仿宋_GB2312" w:eastAsia="仿宋_GB2312" w:cs="仿宋_GB2312"/>
          <w:sz w:val="32"/>
          <w:szCs w:val="32"/>
          <w:lang w:val="en-US" w:eastAsia="zh-CN"/>
        </w:rPr>
        <w:t>建设一批智能化、集成型、多用途的低空起降设施</w:t>
      </w:r>
      <w:r>
        <w:rPr>
          <w:rFonts w:hint="eastAsia" w:ascii="仿宋_GB2312" w:hAnsi="仿宋_GB2312" w:eastAsia="仿宋_GB2312" w:cs="仿宋_GB2312"/>
          <w:sz w:val="32"/>
          <w:szCs w:val="32"/>
        </w:rPr>
        <w:t>。布局“通感一体基站+天地一体网络”，搭建“干</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rPr>
        <w:t>支</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rPr>
        <w:t>末”网络体系，</w:t>
      </w:r>
      <w:r>
        <w:rPr>
          <w:rFonts w:hint="eastAsia" w:ascii="仿宋_GB2312" w:hAnsi="仿宋_GB2312" w:eastAsia="仿宋_GB2312" w:cs="仿宋_GB2312"/>
          <w:sz w:val="32"/>
          <w:szCs w:val="32"/>
          <w:lang w:val="en-US" w:eastAsia="zh-CN"/>
        </w:rPr>
        <w:t>建设低空智能网联系统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加快现有通用机场适配性改造，提升现有通用机场在低空飞行器起降、停放、补能、维修、托管等方面的保障能力</w:t>
      </w:r>
      <w:r>
        <w:rPr>
          <w:rFonts w:hint="eastAsia" w:ascii="仿宋_GB2312" w:hAnsi="仿宋_GB2312" w:eastAsia="仿宋_GB2312" w:cs="仿宋_GB2312"/>
          <w:sz w:val="32"/>
          <w:szCs w:val="32"/>
        </w:rPr>
        <w:t>。</w:t>
      </w:r>
    </w:p>
    <w:p w14:paraId="4D57300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低空应用场景。</w:t>
      </w:r>
      <w:r>
        <w:rPr>
          <w:rFonts w:hint="eastAsia" w:ascii="仿宋_GB2312" w:hAnsi="仿宋_GB2312" w:eastAsia="仿宋_GB2312" w:cs="仿宋_GB2312"/>
          <w:sz w:val="32"/>
          <w:szCs w:val="32"/>
        </w:rPr>
        <w:t>秉持“先载货、后载人，先隔离、后融合，先远郊、后城区”的原则，创新并拓展多元化应用场景，布局“低空+”新兴业态，引导各市县针对生产作业类、交通运输类和文体活动类等飞行活动开发特色化标志性低空应用场景。重点围绕应急救援、航空物流配送、跨海物流配送、旅游观光、环境监测、海洋管理、农业植保等应用领域以及能源、装备、通信等延伸应用领域打造一批</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项目。开拓市内、城际、省际、国际航线，开展低空陆岛物流试点示范。</w:t>
      </w:r>
    </w:p>
    <w:p w14:paraId="7BFBCD0C">
      <w:pPr>
        <w:keepNext w:val="0"/>
        <w:keepLines w:val="0"/>
        <w:pageBreakBefore w:val="0"/>
        <w:widowControl w:val="0"/>
        <w:numPr>
          <w:ilvl w:val="0"/>
          <w:numId w:val="0"/>
        </w:numPr>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低空飞行器组装制造。</w:t>
      </w:r>
      <w:r>
        <w:rPr>
          <w:rFonts w:hint="eastAsia" w:ascii="仿宋_GB2312" w:hAnsi="仿宋_GB2312" w:eastAsia="仿宋_GB2312" w:cs="仿宋_GB2312"/>
          <w:sz w:val="32"/>
          <w:szCs w:val="32"/>
        </w:rPr>
        <w:t>聚焦大中型工业级无人机等无人驾驶飞行器，积极布局中小型和轻型固定翼飞机、直升机、多用途飞机、水上飞机等通航飞机，突破发展飞行汽车、混合能源低空飞行器、电动垂直起降航空器等新型低空飞行器，完善低空飞行器产品体系。支持</w:t>
      </w:r>
      <w:r>
        <w:rPr>
          <w:rFonts w:hint="eastAsia" w:ascii="仿宋_GB2312" w:hAnsi="仿宋_GB2312" w:eastAsia="仿宋_GB2312" w:cs="仿宋_GB2312"/>
          <w:sz w:val="32"/>
          <w:szCs w:val="32"/>
          <w:lang w:bidi="ar"/>
        </w:rPr>
        <w:t>研发轻量化、高强度、高耐久先进材料，攻克结构部件装配校准、绿色与智能制造等关键技术，推动</w:t>
      </w:r>
      <w:r>
        <w:rPr>
          <w:rFonts w:hint="eastAsia" w:ascii="仿宋_GB2312" w:hAnsi="仿宋_GB2312" w:eastAsia="仿宋_GB2312" w:cs="仿宋_GB2312"/>
          <w:sz w:val="32"/>
          <w:szCs w:val="32"/>
          <w:lang w:val="en-US" w:eastAsia="zh-CN" w:bidi="ar"/>
        </w:rPr>
        <w:t>AI技术在</w:t>
      </w:r>
      <w:r>
        <w:rPr>
          <w:rFonts w:hint="eastAsia" w:ascii="仿宋_GB2312" w:hAnsi="仿宋_GB2312" w:eastAsia="仿宋_GB2312" w:cs="仿宋_GB2312"/>
          <w:sz w:val="32"/>
          <w:szCs w:val="32"/>
          <w:lang w:bidi="ar"/>
        </w:rPr>
        <w:t>飞</w:t>
      </w:r>
      <w:r>
        <w:rPr>
          <w:rFonts w:hint="eastAsia" w:ascii="仿宋_GB2312" w:hAnsi="仿宋_GB2312" w:eastAsia="仿宋_GB2312" w:cs="仿宋_GB2312"/>
          <w:sz w:val="32"/>
          <w:szCs w:val="32"/>
          <w:lang w:val="en-US" w:eastAsia="zh-CN" w:bidi="ar"/>
        </w:rPr>
        <w:t>行</w:t>
      </w:r>
      <w:r>
        <w:rPr>
          <w:rFonts w:hint="eastAsia" w:ascii="仿宋_GB2312" w:hAnsi="仿宋_GB2312" w:eastAsia="仿宋_GB2312" w:cs="仿宋_GB2312"/>
          <w:sz w:val="32"/>
          <w:szCs w:val="32"/>
          <w:lang w:bidi="ar"/>
        </w:rPr>
        <w:t>控</w:t>
      </w:r>
      <w:r>
        <w:rPr>
          <w:rFonts w:hint="eastAsia" w:ascii="仿宋_GB2312" w:hAnsi="仿宋_GB2312" w:eastAsia="仿宋_GB2312" w:cs="仿宋_GB2312"/>
          <w:sz w:val="32"/>
          <w:szCs w:val="32"/>
          <w:lang w:val="en-US" w:eastAsia="zh-CN" w:bidi="ar"/>
        </w:rPr>
        <w:t>制</w:t>
      </w:r>
      <w:r>
        <w:rPr>
          <w:rFonts w:hint="eastAsia" w:ascii="仿宋_GB2312" w:hAnsi="仿宋_GB2312" w:eastAsia="仿宋_GB2312" w:cs="仿宋_GB2312"/>
          <w:sz w:val="32"/>
          <w:szCs w:val="32"/>
          <w:lang w:bidi="ar"/>
        </w:rPr>
        <w:t>、态势感知、陆空联动、监视反制等</w:t>
      </w:r>
      <w:r>
        <w:rPr>
          <w:rFonts w:hint="eastAsia" w:ascii="仿宋_GB2312" w:hAnsi="仿宋_GB2312" w:eastAsia="仿宋_GB2312" w:cs="仿宋_GB2312"/>
          <w:sz w:val="32"/>
          <w:szCs w:val="32"/>
          <w:lang w:val="en-US" w:eastAsia="zh-CN" w:bidi="ar"/>
        </w:rPr>
        <w:t>环节应用</w:t>
      </w:r>
      <w:r>
        <w:rPr>
          <w:rFonts w:hint="eastAsia" w:ascii="仿宋_GB2312" w:hAnsi="仿宋_GB2312" w:eastAsia="仿宋_GB2312" w:cs="仿宋_GB2312"/>
          <w:sz w:val="32"/>
          <w:szCs w:val="32"/>
          <w:lang w:bidi="ar"/>
        </w:rPr>
        <w:t>。配套发展</w:t>
      </w:r>
      <w:r>
        <w:rPr>
          <w:rFonts w:hint="eastAsia" w:ascii="仿宋_GB2312" w:hAnsi="仿宋_GB2312" w:eastAsia="仿宋_GB2312" w:cs="仿宋_GB2312"/>
          <w:sz w:val="32"/>
          <w:szCs w:val="32"/>
        </w:rPr>
        <w:t>安全可靠性评估验证、适航审定等服务，建设飞行测试与应用试验基地，开展多场景试点与验证试飞。</w:t>
      </w:r>
    </w:p>
    <w:tbl>
      <w:tblPr>
        <w:tblStyle w:val="27"/>
        <w:tblW w:w="5000" w:type="pct"/>
        <w:tblInd w:w="0" w:type="dxa"/>
        <w:tblLayout w:type="autofit"/>
        <w:tblCellMar>
          <w:top w:w="0" w:type="dxa"/>
          <w:left w:w="0" w:type="dxa"/>
          <w:bottom w:w="0" w:type="dxa"/>
          <w:right w:w="0" w:type="dxa"/>
        </w:tblCellMar>
      </w:tblPr>
      <w:tblGrid>
        <w:gridCol w:w="9060"/>
      </w:tblGrid>
      <w:tr w14:paraId="76A15A97">
        <w:tblPrEx>
          <w:tblCellMar>
            <w:top w:w="0" w:type="dxa"/>
            <w:left w:w="0" w:type="dxa"/>
            <w:bottom w:w="0" w:type="dxa"/>
            <w:right w:w="0" w:type="dxa"/>
          </w:tblCellMar>
        </w:tblPrEx>
        <w:trPr>
          <w:trHeight w:val="512"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438122">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28"/>
              </w:rPr>
            </w:pPr>
            <w:r>
              <w:rPr>
                <w:rFonts w:hint="eastAsia" w:ascii="仿宋_GB2312" w:hAnsi="仿宋_GB2312" w:eastAsia="仿宋_GB2312" w:cs="仿宋_GB2312"/>
                <w:b/>
                <w:sz w:val="28"/>
                <w:szCs w:val="28"/>
              </w:rPr>
              <w:t>专栏11 低空经济产业重点项目</w:t>
            </w:r>
          </w:p>
        </w:tc>
      </w:tr>
      <w:tr w14:paraId="33CD67A5">
        <w:tblPrEx>
          <w:tblCellMar>
            <w:top w:w="0" w:type="dxa"/>
            <w:left w:w="0" w:type="dxa"/>
            <w:bottom w:w="0" w:type="dxa"/>
            <w:right w:w="0" w:type="dxa"/>
          </w:tblCellMar>
        </w:tblPrEx>
        <w:trPr>
          <w:trHeight w:val="341"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CB6CB2E">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低空基础设施。</w:t>
            </w:r>
            <w:r>
              <w:rPr>
                <w:rFonts w:hint="eastAsia" w:ascii="仿宋_GB2312" w:hAnsi="仿宋_GB2312" w:eastAsia="仿宋_GB2312" w:cs="仿宋_GB2312"/>
                <w:sz w:val="28"/>
                <w:szCs w:val="28"/>
                <w:lang w:val="en-US" w:eastAsia="zh-CN"/>
              </w:rPr>
              <w:t>推进东方低空基建和机场运营等项目建设</w:t>
            </w:r>
            <w:r>
              <w:rPr>
                <w:rFonts w:hint="eastAsia" w:ascii="仿宋_GB2312" w:hAnsi="仿宋_GB2312" w:eastAsia="仿宋_GB2312" w:cs="仿宋_GB2312"/>
                <w:sz w:val="28"/>
                <w:szCs w:val="28"/>
              </w:rPr>
              <w:t>。</w:t>
            </w:r>
          </w:p>
          <w:p w14:paraId="488A289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低空生产制造。</w:t>
            </w:r>
            <w:r>
              <w:rPr>
                <w:rFonts w:hint="eastAsia" w:ascii="仿宋_GB2312" w:hAnsi="仿宋_GB2312" w:eastAsia="仿宋_GB2312" w:cs="仿宋_GB2312"/>
                <w:spacing w:val="-6"/>
                <w:sz w:val="28"/>
                <w:szCs w:val="28"/>
                <w:lang w:val="en-US" w:eastAsia="zh-CN"/>
              </w:rPr>
              <w:t>推进</w:t>
            </w:r>
            <w:r>
              <w:rPr>
                <w:rFonts w:hint="eastAsia" w:ascii="仿宋_GB2312" w:hAnsi="仿宋_GB2312" w:eastAsia="仿宋_GB2312" w:cs="仿宋_GB2312"/>
                <w:spacing w:val="-6"/>
                <w:sz w:val="28"/>
                <w:szCs w:val="28"/>
              </w:rPr>
              <w:t>东方装备再制造及无人机国际交付中心等项目建设。</w:t>
            </w:r>
          </w:p>
          <w:p w14:paraId="47D45830">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等线" w:cs="Times New Roman"/>
              </w:rPr>
            </w:pPr>
            <w:r>
              <w:rPr>
                <w:rFonts w:hint="eastAsia" w:ascii="仿宋_GB2312" w:hAnsi="仿宋_GB2312" w:eastAsia="仿宋_GB2312" w:cs="仿宋_GB2312"/>
                <w:b/>
                <w:bCs/>
                <w:sz w:val="28"/>
                <w:szCs w:val="28"/>
              </w:rPr>
              <w:t>低空应用领域。</w:t>
            </w:r>
            <w:r>
              <w:rPr>
                <w:rFonts w:hint="eastAsia" w:ascii="仿宋_GB2312" w:hAnsi="仿宋_GB2312" w:eastAsia="仿宋_GB2312" w:cs="仿宋_GB2312"/>
                <w:sz w:val="28"/>
                <w:szCs w:val="28"/>
              </w:rPr>
              <w:t>围绕“低空+交通”“低空+旅游”“低空+海洋”等场景，谋划一批低空飞行器整机制造、组装加工、维修检测等领域项目。</w:t>
            </w:r>
          </w:p>
        </w:tc>
      </w:tr>
    </w:tbl>
    <w:p w14:paraId="4159133A">
      <w:pPr>
        <w:keepNext w:val="0"/>
        <w:keepLines w:val="0"/>
        <w:pageBreakBefore w:val="0"/>
        <w:widowControl w:val="0"/>
        <w:kinsoku/>
        <w:wordWrap/>
        <w:overflowPunct w:val="0"/>
        <w:topLinePunct w:val="0"/>
        <w:autoSpaceDE/>
        <w:autoSpaceDN/>
        <w:bidi w:val="0"/>
        <w:adjustRightInd w:val="0"/>
        <w:snapToGrid w:val="0"/>
        <w:spacing w:line="620"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53" w:name="_Toc7365"/>
      <w:bookmarkStart w:id="254" w:name="_Toc21060"/>
      <w:bookmarkStart w:id="255" w:name="_Toc2108565320"/>
      <w:bookmarkStart w:id="256" w:name="_Toc24987"/>
      <w:bookmarkStart w:id="257" w:name="_Toc8507"/>
      <w:r>
        <w:rPr>
          <w:rFonts w:hint="default" w:ascii="Times New Roman" w:hAnsi="Times New Roman" w:eastAsia="黑体" w:cs="Times New Roman"/>
          <w:b w:val="0"/>
          <w:bCs w:val="0"/>
          <w:sz w:val="32"/>
          <w:szCs w:val="32"/>
        </w:rPr>
        <w:t>五、南繁种业</w:t>
      </w:r>
      <w:bookmarkEnd w:id="253"/>
      <w:bookmarkEnd w:id="254"/>
      <w:bookmarkEnd w:id="255"/>
      <w:bookmarkEnd w:id="256"/>
      <w:bookmarkEnd w:id="257"/>
    </w:p>
    <w:p w14:paraId="54076992">
      <w:pPr>
        <w:keepNext w:val="0"/>
        <w:keepLines w:val="0"/>
        <w:pageBreakBefore w:val="0"/>
        <w:widowControl w:val="0"/>
        <w:kinsoku/>
        <w:wordWrap/>
        <w:overflowPunct w:val="0"/>
        <w:topLinePunct w:val="0"/>
        <w:autoSpaceDE/>
        <w:autoSpaceDN/>
        <w:bidi w:val="0"/>
        <w:adjustRightInd w:val="0"/>
        <w:snapToGrid w:val="0"/>
        <w:spacing w:line="620"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以“种源、种业、种市”为发展主线，锚定</w:t>
      </w:r>
      <w:r>
        <w:rPr>
          <w:rFonts w:hint="eastAsia" w:ascii="仿宋_GB2312" w:hAnsi="仿宋_GB2312" w:eastAsia="仿宋_GB2312" w:cs="仿宋_GB2312"/>
          <w:sz w:val="32"/>
          <w:szCs w:val="32"/>
          <w:lang w:val="en-US" w:eastAsia="zh-CN"/>
        </w:rPr>
        <w:t>育制种设备设施</w:t>
      </w:r>
      <w:r>
        <w:rPr>
          <w:rFonts w:hint="eastAsia" w:ascii="仿宋_GB2312" w:hAnsi="仿宋_GB2312" w:eastAsia="仿宋_GB2312" w:cs="仿宋_GB2312"/>
          <w:sz w:val="32"/>
          <w:szCs w:val="32"/>
        </w:rPr>
        <w:t>制造、种业出海服务贸易两大主攻方向，深化“南繁硅谷”建设，提升种业科研创新能力。到2030年，南繁种业营收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00亿元。</w:t>
      </w:r>
    </w:p>
    <w:p w14:paraId="17D1D974">
      <w:pPr>
        <w:keepNext w:val="0"/>
        <w:keepLines w:val="0"/>
        <w:pageBreakBefore w:val="0"/>
        <w:widowControl w:val="0"/>
        <w:kinsoku/>
        <w:wordWrap/>
        <w:overflowPunct w:val="0"/>
        <w:topLinePunct w:val="0"/>
        <w:autoSpaceDE/>
        <w:autoSpaceDN/>
        <w:bidi w:val="0"/>
        <w:adjustRightInd w:val="0"/>
        <w:snapToGrid w:val="0"/>
        <w:spacing w:line="620" w:lineRule="exact"/>
        <w:ind w:left="0" w:firstLine="632"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育制种设备设施。</w:t>
      </w:r>
      <w:r>
        <w:rPr>
          <w:rFonts w:hint="eastAsia" w:ascii="仿宋_GB2312" w:hAnsi="仿宋_GB2312" w:eastAsia="仿宋_GB2312" w:cs="仿宋_GB2312"/>
          <w:kern w:val="2"/>
          <w:sz w:val="32"/>
          <w:szCs w:val="32"/>
          <w:lang w:val="en-US" w:eastAsia="zh-CN" w:bidi="ar-SA"/>
        </w:rPr>
        <w:t>推进科研育种实验设备发展，围绕种子环境调控、表型分析、分子生物学研究等实验育种环节，研制基因扩增仪、高速冷冻离心机、光照培养箱、真空数种置床仪等实验设备。研发、改进、推广育制种智能装备，围绕育制种生产环节，研制作物自动化播种、施肥、赶粉授粉、种子加工及畜禽、水产养殖等设备设施。重点研制推广杂交水稻制繁种父本插秧机、水稻制繁种低损高净度智能收获机、玉米制繁种低损高净度智能收获机、智能测产收获机、水肥一体灌溉机、种质资源专用储藏柜等设施设备。</w:t>
      </w:r>
    </w:p>
    <w:p w14:paraId="520A20D6">
      <w:pPr>
        <w:keepNext w:val="0"/>
        <w:keepLines w:val="0"/>
        <w:pageBreakBefore w:val="0"/>
        <w:widowControl w:val="0"/>
        <w:kinsoku/>
        <w:wordWrap/>
        <w:overflowPunct w:val="0"/>
        <w:topLinePunct w:val="0"/>
        <w:autoSpaceDE/>
        <w:autoSpaceDN/>
        <w:bidi w:val="0"/>
        <w:adjustRightInd w:val="0"/>
        <w:snapToGrid w:val="0"/>
        <w:spacing w:line="620" w:lineRule="exact"/>
        <w:ind w:left="0" w:firstLine="632"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种业出海服务贸易。</w:t>
      </w:r>
      <w:r>
        <w:rPr>
          <w:rFonts w:hint="eastAsia" w:ascii="仿宋_GB2312" w:hAnsi="仿宋_GB2312" w:eastAsia="仿宋_GB2312" w:cs="仿宋_GB2312"/>
          <w:kern w:val="2"/>
          <w:sz w:val="32"/>
          <w:szCs w:val="32"/>
          <w:lang w:val="en-US" w:eastAsia="zh-CN" w:bidi="ar-SA"/>
        </w:rPr>
        <w:t>深化种业国际贸易合作，大力发展种子、种苗实物对外贸易以及跨国生物育种技术服务贸易，鼓励南繁种业CRO（合同研究组织）企业开展来数加工业务，拓展国际市场。支持特定种质资源引进及与其相关的内外检关键技术、标准规范等研发工作。充分发挥种业CRO信息化平台的服务引导作用，提供检验检测、实验室育种、知识产权等服务，形成商业化种业全产业链技术服务外包模式。</w:t>
      </w:r>
    </w:p>
    <w:tbl>
      <w:tblPr>
        <w:tblStyle w:val="27"/>
        <w:tblW w:w="5000" w:type="pct"/>
        <w:tblInd w:w="0" w:type="dxa"/>
        <w:tblLayout w:type="autofit"/>
        <w:tblCellMar>
          <w:top w:w="0" w:type="dxa"/>
          <w:left w:w="0" w:type="dxa"/>
          <w:bottom w:w="0" w:type="dxa"/>
          <w:right w:w="0" w:type="dxa"/>
        </w:tblCellMar>
      </w:tblPr>
      <w:tblGrid>
        <w:gridCol w:w="9060"/>
      </w:tblGrid>
      <w:tr w14:paraId="33B3BEAA">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E3C5E3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18"/>
              </w:rPr>
            </w:pPr>
            <w:r>
              <w:rPr>
                <w:rFonts w:hint="eastAsia" w:ascii="仿宋_GB2312" w:hAnsi="仿宋_GB2312" w:eastAsia="仿宋_GB2312" w:cs="仿宋_GB2312"/>
                <w:b/>
                <w:bCs/>
                <w:sz w:val="28"/>
                <w:szCs w:val="28"/>
              </w:rPr>
              <w:t>专栏12 南繁种业重点项目</w:t>
            </w:r>
          </w:p>
        </w:tc>
      </w:tr>
      <w:tr w14:paraId="6B9ED321">
        <w:tblPrEx>
          <w:tblCellMar>
            <w:top w:w="0" w:type="dxa"/>
            <w:left w:w="0" w:type="dxa"/>
            <w:bottom w:w="0" w:type="dxa"/>
            <w:right w:w="0" w:type="dxa"/>
          </w:tblCellMar>
        </w:tblPrEx>
        <w:trPr>
          <w:trHeight w:val="155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314FAD8">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重点创新载体。</w:t>
            </w:r>
            <w:r>
              <w:rPr>
                <w:rFonts w:hint="eastAsia" w:ascii="仿宋_GB2312" w:hAnsi="仿宋_GB2312" w:eastAsia="仿宋_GB2312" w:cs="仿宋_GB2312"/>
                <w:sz w:val="28"/>
                <w:szCs w:val="28"/>
              </w:rPr>
              <w:t>推</w:t>
            </w:r>
            <w:r>
              <w:rPr>
                <w:rFonts w:hint="eastAsia" w:ascii="仿宋_GB2312" w:hAnsi="仿宋_GB2312" w:eastAsia="仿宋_GB2312" w:cs="仿宋_GB2312"/>
                <w:sz w:val="28"/>
                <w:szCs w:val="28"/>
                <w:lang w:val="en-US" w:eastAsia="zh-CN"/>
              </w:rPr>
              <w:t>进</w:t>
            </w:r>
            <w:r>
              <w:rPr>
                <w:rFonts w:hint="eastAsia" w:ascii="仿宋_GB2312" w:hAnsi="仿宋_GB2312" w:eastAsia="仿宋_GB2312" w:cs="仿宋_GB2312"/>
                <w:sz w:val="28"/>
                <w:szCs w:val="28"/>
              </w:rPr>
              <w:t>国家动植物基因库、崖州湾实验室二期、林草动植物种质资源引进中转基地等项目建设。</w:t>
            </w:r>
          </w:p>
          <w:p w14:paraId="58FFE23F">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default" w:ascii="Times New Roman" w:hAnsi="Times New Roman" w:eastAsia="仿宋_GB2312" w:cs="Times New Roman"/>
                <w:sz w:val="28"/>
                <w:szCs w:val="28"/>
              </w:rPr>
            </w:pPr>
            <w:r>
              <w:rPr>
                <w:rFonts w:hint="eastAsia" w:ascii="仿宋_GB2312" w:hAnsi="仿宋_GB2312" w:eastAsia="仿宋_GB2312" w:cs="仿宋_GB2312"/>
                <w:b/>
                <w:bCs/>
                <w:sz w:val="28"/>
                <w:szCs w:val="28"/>
              </w:rPr>
              <w:t>重点孵化基地。</w:t>
            </w:r>
            <w:r>
              <w:rPr>
                <w:rFonts w:hint="eastAsia" w:ascii="仿宋_GB2312" w:hAnsi="仿宋_GB2312" w:eastAsia="仿宋_GB2312" w:cs="仿宋_GB2312"/>
                <w:sz w:val="28"/>
                <w:szCs w:val="28"/>
              </w:rPr>
              <w:t>推</w:t>
            </w:r>
            <w:r>
              <w:rPr>
                <w:rFonts w:hint="eastAsia" w:ascii="仿宋_GB2312" w:hAnsi="仿宋_GB2312" w:eastAsia="仿宋_GB2312" w:cs="仿宋_GB2312"/>
                <w:sz w:val="28"/>
                <w:szCs w:val="28"/>
                <w:lang w:val="en-US" w:eastAsia="zh-CN"/>
              </w:rPr>
              <w:t>进</w:t>
            </w:r>
            <w:r>
              <w:rPr>
                <w:rFonts w:hint="eastAsia" w:ascii="仿宋_GB2312" w:hAnsi="仿宋_GB2312" w:eastAsia="仿宋_GB2312" w:cs="仿宋_GB2312"/>
                <w:sz w:val="28"/>
                <w:szCs w:val="28"/>
              </w:rPr>
              <w:t>陵水水产南繁种苗基地、东方现代水产南繁种业产业园等项目建设。</w:t>
            </w:r>
          </w:p>
        </w:tc>
      </w:tr>
    </w:tbl>
    <w:p w14:paraId="7D3013B8">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200"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258" w:name="_Toc21235"/>
      <w:bookmarkStart w:id="259" w:name="_Toc27925"/>
      <w:bookmarkStart w:id="260" w:name="_Toc31876"/>
      <w:bookmarkStart w:id="261" w:name="_Toc9263"/>
      <w:bookmarkStart w:id="262" w:name="_Toc1087075342"/>
    </w:p>
    <w:p w14:paraId="693EFD7B">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第四节 探索培育X个未来产业</w:t>
      </w:r>
      <w:bookmarkEnd w:id="188"/>
      <w:bookmarkEnd w:id="189"/>
      <w:bookmarkEnd w:id="247"/>
      <w:bookmarkEnd w:id="248"/>
      <w:bookmarkEnd w:id="249"/>
      <w:bookmarkEnd w:id="250"/>
      <w:bookmarkEnd w:id="251"/>
      <w:bookmarkEnd w:id="252"/>
      <w:r>
        <w:rPr>
          <w:rFonts w:hint="default" w:ascii="Times New Roman" w:hAnsi="Times New Roman" w:eastAsia="楷体_GB2312" w:cs="Times New Roman"/>
          <w:b/>
          <w:bCs/>
          <w:kern w:val="2"/>
          <w:sz w:val="32"/>
          <w:szCs w:val="32"/>
          <w:lang w:val="en-US" w:eastAsia="zh-CN" w:bidi="ar-SA"/>
        </w:rPr>
        <w:t>集群</w:t>
      </w:r>
      <w:bookmarkEnd w:id="258"/>
      <w:bookmarkEnd w:id="259"/>
      <w:bookmarkEnd w:id="260"/>
      <w:bookmarkEnd w:id="261"/>
      <w:bookmarkEnd w:id="262"/>
    </w:p>
    <w:p w14:paraId="035D012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63" w:name="_Toc19023"/>
      <w:bookmarkStart w:id="264" w:name="_Toc6514"/>
      <w:bookmarkStart w:id="265" w:name="_Toc1097082460"/>
      <w:bookmarkStart w:id="266" w:name="_Toc4593"/>
      <w:bookmarkStart w:id="267" w:name="_Toc5427"/>
      <w:bookmarkStart w:id="268" w:name="_Toc4600"/>
      <w:bookmarkStart w:id="269" w:name="_Toc129785505"/>
      <w:bookmarkStart w:id="270" w:name="_Toc31054"/>
      <w:bookmarkStart w:id="271" w:name="_Toc2935"/>
      <w:bookmarkStart w:id="272" w:name="_Toc30373"/>
      <w:bookmarkStart w:id="273" w:name="_Toc14345"/>
      <w:bookmarkStart w:id="274" w:name="_Toc9909"/>
      <w:bookmarkStart w:id="275" w:name="_Toc29505"/>
      <w:bookmarkStart w:id="276" w:name="_Toc120023891"/>
      <w:r>
        <w:rPr>
          <w:rFonts w:hint="default" w:ascii="Times New Roman" w:hAnsi="Times New Roman" w:eastAsia="黑体" w:cs="Times New Roman"/>
          <w:b w:val="0"/>
          <w:bCs w:val="0"/>
          <w:sz w:val="32"/>
          <w:szCs w:val="32"/>
        </w:rPr>
        <w:t>一、生物制造</w:t>
      </w:r>
      <w:bookmarkEnd w:id="263"/>
      <w:bookmarkEnd w:id="264"/>
      <w:bookmarkEnd w:id="265"/>
      <w:bookmarkEnd w:id="266"/>
      <w:bookmarkEnd w:id="267"/>
    </w:p>
    <w:p w14:paraId="0E24BAEF">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按照“智造引领、多元融合、特色鲜明”发展思路，依托海洋生物制造、生物育种两大特色领域基础优</w:t>
      </w:r>
      <w:r>
        <w:rPr>
          <w:rFonts w:hint="eastAsia" w:ascii="仿宋_GB2312" w:hAnsi="仿宋_GB2312" w:eastAsia="仿宋_GB2312" w:cs="仿宋_GB2312"/>
          <w:color w:val="auto"/>
          <w:sz w:val="32"/>
          <w:szCs w:val="32"/>
        </w:rPr>
        <w:t>势，做强生物医药、生物食品、生物农业、生物材料、生物化工和生物能源</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核心产业。</w:t>
      </w:r>
      <w:r>
        <w:rPr>
          <w:rFonts w:hint="eastAsia" w:ascii="仿宋_GB2312" w:hAnsi="仿宋_GB2312" w:eastAsia="仿宋_GB2312" w:cs="仿宋_GB2312"/>
          <w:b/>
          <w:bCs/>
          <w:color w:val="auto"/>
          <w:sz w:val="32"/>
          <w:szCs w:val="32"/>
        </w:rPr>
        <w:t>提升生物制造创新转化能力。</w:t>
      </w:r>
      <w:r>
        <w:rPr>
          <w:rFonts w:hint="eastAsia" w:ascii="仿宋_GB2312" w:hAnsi="仿宋_GB2312" w:eastAsia="仿宋_GB2312" w:cs="仿宋_GB2312"/>
          <w:color w:val="auto"/>
          <w:sz w:val="32"/>
          <w:szCs w:val="32"/>
        </w:rPr>
        <w:t>聚焦基因编辑与检测、代谢分</w:t>
      </w:r>
      <w:r>
        <w:rPr>
          <w:rFonts w:hint="eastAsia" w:ascii="仿宋_GB2312" w:hAnsi="仿宋_GB2312" w:eastAsia="仿宋_GB2312" w:cs="仿宋_GB2312"/>
          <w:sz w:val="32"/>
          <w:szCs w:val="32"/>
        </w:rPr>
        <w:t>析与模拟、高通量筛选等关键环节，开发生物制造AI大模型、AI辅助研发设计工具，提升研发设计能力。围绕生物可降解材料、生物多肽工程、基因和细胞工程等领域，加快建设一批科研创新平台和中试平台。发挥国家技术转移海南中心作用，强化与粤港澳大湾区、长三角等地创新链协同。</w:t>
      </w:r>
      <w:r>
        <w:rPr>
          <w:rFonts w:hint="eastAsia" w:ascii="仿宋_GB2312" w:hAnsi="仿宋_GB2312" w:eastAsia="仿宋_GB2312" w:cs="仿宋_GB2312"/>
          <w:b/>
          <w:bCs/>
          <w:sz w:val="32"/>
          <w:szCs w:val="32"/>
        </w:rPr>
        <w:t>拓展生物制品场景应用。</w:t>
      </w:r>
      <w:r>
        <w:rPr>
          <w:rFonts w:hint="eastAsia" w:ascii="仿宋_GB2312" w:hAnsi="仿宋_GB2312" w:eastAsia="仿宋_GB2312" w:cs="仿宋_GB2312"/>
          <w:sz w:val="32"/>
          <w:szCs w:val="32"/>
        </w:rPr>
        <w:t>鼓励产业链成员协同开展生物制造新技术验证、新产品测试推介、新场景拓展，畅通“场景牵引－技术研发－产品创制－供需匹配”发展路径。加快“三新食品”、生物基新材料、农业生物制品等领域原创性产品准入，分批次、有梯度强化生物制造大单品培育。到2030年，生物制造产业营收</w:t>
      </w:r>
      <w:r>
        <w:rPr>
          <w:rFonts w:hint="eastAsia" w:ascii="仿宋_GB2312" w:hAnsi="仿宋_GB2312" w:eastAsia="仿宋_GB2312" w:cs="仿宋_GB2312"/>
          <w:sz w:val="32"/>
          <w:szCs w:val="32"/>
          <w:lang w:eastAsia="zh-CN"/>
        </w:rPr>
        <w:t>力争</w:t>
      </w:r>
      <w:r>
        <w:rPr>
          <w:rFonts w:hint="eastAsia" w:ascii="仿宋_GB2312" w:hAnsi="仿宋_GB2312" w:eastAsia="仿宋_GB2312" w:cs="仿宋_GB2312"/>
          <w:sz w:val="32"/>
          <w:szCs w:val="32"/>
        </w:rPr>
        <w:t>达到150亿元。</w:t>
      </w:r>
    </w:p>
    <w:p w14:paraId="48A521D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77" w:name="_Toc5249"/>
      <w:bookmarkStart w:id="278" w:name="_Toc25025"/>
      <w:bookmarkStart w:id="279" w:name="_Toc12228"/>
      <w:bookmarkStart w:id="280" w:name="_Toc751847944"/>
      <w:bookmarkStart w:id="281" w:name="_Toc23271"/>
      <w:r>
        <w:rPr>
          <w:rFonts w:hint="default" w:ascii="Times New Roman" w:hAnsi="Times New Roman" w:eastAsia="黑体" w:cs="Times New Roman"/>
          <w:b w:val="0"/>
          <w:bCs w:val="0"/>
          <w:sz w:val="32"/>
          <w:szCs w:val="32"/>
        </w:rPr>
        <w:t>二、氢能</w:t>
      </w:r>
      <w:bookmarkEnd w:id="277"/>
      <w:bookmarkEnd w:id="278"/>
      <w:bookmarkEnd w:id="279"/>
      <w:bookmarkEnd w:id="280"/>
      <w:bookmarkEnd w:id="281"/>
    </w:p>
    <w:p w14:paraId="2BCBA373">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按照“发挥优势，补齐短板”发展思路，立足海南特色优势及应用特点，因地制宜谋划氢能“制储输用”场景，以场景带动产业发展。</w:t>
      </w:r>
      <w:r>
        <w:rPr>
          <w:rFonts w:hint="eastAsia" w:ascii="仿宋_GB2312" w:hAnsi="仿宋_GB2312" w:eastAsia="仿宋_GB2312" w:cs="仿宋_GB2312"/>
          <w:b/>
          <w:bCs/>
          <w:kern w:val="2"/>
          <w:sz w:val="32"/>
          <w:szCs w:val="32"/>
          <w:lang w:val="en-US" w:eastAsia="zh-CN" w:bidi="ar-SA"/>
        </w:rPr>
        <w:t>稳步扩大低成本氢源供给。</w:t>
      </w:r>
      <w:r>
        <w:rPr>
          <w:rFonts w:hint="eastAsia" w:ascii="仿宋_GB2312" w:hAnsi="仿宋_GB2312" w:eastAsia="仿宋_GB2312" w:cs="仿宋_GB2312"/>
          <w:kern w:val="2"/>
          <w:sz w:val="32"/>
          <w:szCs w:val="32"/>
          <w:lang w:val="en-US" w:eastAsia="zh-CN" w:bidi="ar-SA"/>
        </w:rPr>
        <w:t>充分利用儋州、东方石化新材料产业基础，研发氢气提纯技术，提高工业副产氢供给量和利用率；拓展绿氢供给渠道，积极发展海上风电、核能、光伏等可再生能源制氢，集约化发展生物质制氢、电解水制氢，创新发展高压电解水制氢技术，推动电氢氨醇一体化发展，降低制氢成本，扩大制氢规模；探索多元氢储运模式，加快低温液态、固态、有机氢载体等技术应用，构建高密度、轻量化、低成本、多元化的氢能储运体系，逐步提升运输能力。</w:t>
      </w:r>
      <w:r>
        <w:rPr>
          <w:rFonts w:hint="eastAsia" w:ascii="仿宋_GB2312" w:hAnsi="仿宋_GB2312" w:eastAsia="仿宋_GB2312" w:cs="仿宋_GB2312"/>
          <w:b/>
          <w:bCs/>
          <w:kern w:val="2"/>
          <w:sz w:val="32"/>
          <w:szCs w:val="32"/>
          <w:lang w:val="en-US" w:eastAsia="zh-CN" w:bidi="ar-SA"/>
        </w:rPr>
        <w:t>拓宽氢能应用场景。</w:t>
      </w:r>
      <w:r>
        <w:rPr>
          <w:rFonts w:hint="eastAsia" w:ascii="仿宋_GB2312" w:hAnsi="仿宋_GB2312" w:eastAsia="仿宋_GB2312" w:cs="仿宋_GB2312"/>
          <w:kern w:val="2"/>
          <w:sz w:val="32"/>
          <w:szCs w:val="32"/>
          <w:lang w:val="en-US" w:eastAsia="zh-CN" w:bidi="ar-SA"/>
        </w:rPr>
        <w:t>在冷链物流车、短倒重卡、旅游巴士等专用车领域探索氢燃料动力替代；以文昌国际航天城为载体，探索液氢（绿氢）在商业航天发射领域的先行先试，打造航天领域绿氢应用示范基地；发展可再生能源制绿氢耦合生产绿氨、绿醇、绿色航煤等石化衍生品，逐步替代炼化企业天然气制氢来源；探索“风光发电+氢储能”一体化应用新模式。到2030年，氢能产业初具规模，以可再生能源制氢为主的供应体系初步建立。</w:t>
      </w:r>
    </w:p>
    <w:p w14:paraId="2A724D07">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82" w:name="_Toc28735"/>
      <w:bookmarkStart w:id="283" w:name="_Toc32546"/>
      <w:bookmarkStart w:id="284" w:name="_Toc262607099"/>
      <w:bookmarkStart w:id="285" w:name="_Toc4376"/>
      <w:bookmarkStart w:id="286" w:name="_Toc13973"/>
      <w:r>
        <w:rPr>
          <w:rFonts w:hint="default" w:ascii="Times New Roman" w:hAnsi="Times New Roman" w:eastAsia="黑体" w:cs="Times New Roman"/>
          <w:b w:val="0"/>
          <w:bCs w:val="0"/>
          <w:sz w:val="32"/>
          <w:szCs w:val="32"/>
        </w:rPr>
        <w:t>三、脑机接口</w:t>
      </w:r>
      <w:bookmarkEnd w:id="282"/>
      <w:bookmarkEnd w:id="283"/>
      <w:bookmarkEnd w:id="284"/>
      <w:bookmarkEnd w:id="285"/>
      <w:bookmarkEnd w:id="286"/>
    </w:p>
    <w:p w14:paraId="61AC6BB6">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以行业需求为牵引，</w:t>
      </w:r>
      <w:r>
        <w:rPr>
          <w:rFonts w:hint="eastAsia" w:ascii="仿宋_GB2312" w:hAnsi="仿宋_GB2312" w:eastAsia="仿宋_GB2312" w:cs="仿宋_GB2312"/>
          <w:sz w:val="32"/>
          <w:szCs w:val="32"/>
        </w:rPr>
        <w:t>加强脑图谱转化、高密度电极、神经芯片中试、生物封装等相关研究工作，融合</w:t>
      </w:r>
      <w:r>
        <w:rPr>
          <w:rFonts w:hint="eastAsia" w:ascii="仿宋_GB2312" w:hAnsi="仿宋_GB2312" w:eastAsia="仿宋_GB2312" w:cs="仿宋_GB2312"/>
          <w:sz w:val="32"/>
          <w:szCs w:val="32"/>
          <w:lang w:val="en-US" w:eastAsia="zh-CN"/>
        </w:rPr>
        <w:t>AI</w:t>
      </w:r>
      <w:r>
        <w:rPr>
          <w:rFonts w:hint="eastAsia" w:ascii="仿宋_GB2312" w:hAnsi="仿宋_GB2312" w:eastAsia="仿宋_GB2312" w:cs="仿宋_GB2312"/>
          <w:sz w:val="32"/>
          <w:szCs w:val="32"/>
        </w:rPr>
        <w:t>解码算法与神经大模型技术，培育脑机接口核心器件研发与创新应用生态</w:t>
      </w:r>
      <w:r>
        <w:rPr>
          <w:rFonts w:hint="eastAsia" w:ascii="仿宋_GB2312" w:hAnsi="仿宋_GB2312" w:eastAsia="仿宋_GB2312" w:cs="仿宋_GB2312"/>
          <w:sz w:val="32"/>
          <w:szCs w:val="32"/>
          <w:lang w:bidi="ar"/>
        </w:rPr>
        <w:t>。</w:t>
      </w:r>
      <w:r>
        <w:rPr>
          <w:rFonts w:hint="eastAsia" w:ascii="仿宋_GB2312" w:hAnsi="仿宋_GB2312" w:eastAsia="仿宋_GB2312" w:cs="仿宋_GB2312"/>
          <w:b/>
          <w:bCs/>
          <w:sz w:val="32"/>
          <w:szCs w:val="32"/>
          <w:lang w:bidi="ar"/>
        </w:rPr>
        <w:t>脑机接口核心器件研发。</w:t>
      </w:r>
      <w:r>
        <w:rPr>
          <w:rFonts w:hint="eastAsia" w:ascii="仿宋_GB2312" w:hAnsi="仿宋_GB2312" w:eastAsia="仿宋_GB2312" w:cs="仿宋_GB2312"/>
          <w:sz w:val="32"/>
          <w:szCs w:val="32"/>
        </w:rPr>
        <w:t>重点研发高通量神经信号采集及刺激、高自由度神经调控、低功耗无线传输等</w:t>
      </w:r>
      <w:r>
        <w:rPr>
          <w:rFonts w:hint="eastAsia" w:ascii="仿宋_GB2312" w:hAnsi="仿宋_GB2312" w:eastAsia="仿宋_GB2312" w:cs="仿宋_GB2312"/>
          <w:sz w:val="32"/>
          <w:szCs w:val="32"/>
          <w:shd w:val="clear" w:color="auto" w:fill="FFFFFF"/>
        </w:rPr>
        <w:t>关键脑机芯片，</w:t>
      </w:r>
      <w:r>
        <w:rPr>
          <w:rFonts w:hint="eastAsia" w:ascii="仿宋_GB2312" w:hAnsi="仿宋_GB2312" w:eastAsia="仿宋_GB2312" w:cs="仿宋_GB2312"/>
          <w:sz w:val="32"/>
          <w:szCs w:val="32"/>
        </w:rPr>
        <w:t>延伸发展低阻抗、薄介质新型电极材料，攻关植入/非植入式电极和新型传感器，实现脑机接口信号采集、调控、传输全链路覆盖。探索高性能脑机接口整机装备研制，谋划布局感知评估、情绪检测、控制交互、神经调控等多元化产品。</w:t>
      </w:r>
      <w:r>
        <w:rPr>
          <w:rFonts w:hint="eastAsia" w:ascii="仿宋_GB2312" w:hAnsi="仿宋_GB2312" w:eastAsia="仿宋_GB2312" w:cs="仿宋_GB2312"/>
          <w:b/>
          <w:bCs/>
          <w:sz w:val="32"/>
          <w:szCs w:val="32"/>
        </w:rPr>
        <w:t>脑机接口技术应用。</w:t>
      </w:r>
      <w:r>
        <w:rPr>
          <w:rFonts w:hint="eastAsia" w:ascii="仿宋_GB2312" w:hAnsi="仿宋_GB2312" w:eastAsia="仿宋_GB2312" w:cs="仿宋_GB2312"/>
          <w:sz w:val="32"/>
          <w:szCs w:val="32"/>
        </w:rPr>
        <w:t>结</w:t>
      </w:r>
      <w:r>
        <w:rPr>
          <w:rFonts w:hint="eastAsia" w:ascii="仿宋_GB2312" w:hAnsi="仿宋_GB2312" w:eastAsia="仿宋_GB2312" w:cs="仿宋_GB2312"/>
          <w:sz w:val="32"/>
          <w:szCs w:val="32"/>
          <w:lang w:bidi="ar"/>
        </w:rPr>
        <w:t>合博鳌乐城国际医疗旅游先行区政策优势，</w:t>
      </w:r>
      <w:r>
        <w:rPr>
          <w:rFonts w:hint="eastAsia" w:ascii="仿宋_GB2312" w:hAnsi="仿宋_GB2312" w:eastAsia="仿宋_GB2312" w:cs="仿宋_GB2312"/>
          <w:sz w:val="32"/>
          <w:szCs w:val="32"/>
        </w:rPr>
        <w:t>加快探索脑机接口产品临床研究和应用，重点推动脑机接口技术和产品在神经退行性疾病、精神类疾病等临床诊疗场景的先行先试。强化脑机接口与虚拟现实、具身智能等技术融合创新，探索部署脑控虚拟游戏、脑控智能家居、脑智培育等新场景。围绕航天、深海等特殊场景需求，创新依托脑机接口的设备和机器人控制模式，提升复杂场景作业效率。</w:t>
      </w:r>
      <w:r>
        <w:rPr>
          <w:rFonts w:hint="eastAsia" w:ascii="仿宋_GB2312" w:hAnsi="仿宋_GB2312" w:eastAsia="仿宋_GB2312" w:cs="仿宋_GB2312"/>
          <w:sz w:val="32"/>
          <w:szCs w:val="32"/>
          <w:lang w:bidi="ar"/>
        </w:rPr>
        <w:t>到2030年，形成一批规模化商用的标志性产品，源头创新、成果转化、产品开发、场景应用等产业生态初步形成。</w:t>
      </w:r>
    </w:p>
    <w:p w14:paraId="26B721DE">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2"/>
        <w:rPr>
          <w:rFonts w:hint="default" w:ascii="Times New Roman" w:hAnsi="Times New Roman" w:eastAsia="黑体" w:cs="Times New Roman"/>
          <w:b w:val="0"/>
          <w:bCs w:val="0"/>
          <w:sz w:val="32"/>
          <w:szCs w:val="32"/>
        </w:rPr>
      </w:pPr>
      <w:bookmarkStart w:id="287" w:name="_Toc10335"/>
      <w:bookmarkStart w:id="288" w:name="_Toc104"/>
      <w:bookmarkStart w:id="289" w:name="_Toc5508"/>
      <w:bookmarkStart w:id="290" w:name="_Toc11380"/>
      <w:bookmarkStart w:id="291" w:name="_Toc2024470622"/>
      <w:r>
        <w:rPr>
          <w:rFonts w:hint="default" w:ascii="Times New Roman" w:hAnsi="Times New Roman" w:eastAsia="黑体" w:cs="Times New Roman"/>
          <w:b w:val="0"/>
          <w:bCs w:val="0"/>
          <w:sz w:val="32"/>
          <w:szCs w:val="32"/>
        </w:rPr>
        <w:t>四、具身智能</w:t>
      </w:r>
      <w:bookmarkEnd w:id="287"/>
      <w:bookmarkEnd w:id="288"/>
      <w:bookmarkEnd w:id="289"/>
      <w:bookmarkEnd w:id="290"/>
      <w:bookmarkEnd w:id="291"/>
    </w:p>
    <w:p w14:paraId="1F7AACD6">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坚持“应用牵引，培育生态”，前瞻布局“智脑”模型，推动“本体”软硬件集成研制，建设典型示范应用，构建开源创新生态，加速服务业态融合与产业升级。</w:t>
      </w:r>
      <w:r>
        <w:rPr>
          <w:rFonts w:hint="eastAsia" w:ascii="仿宋_GB2312" w:hAnsi="仿宋_GB2312" w:eastAsia="仿宋_GB2312" w:cs="仿宋_GB2312"/>
          <w:b/>
          <w:bCs/>
          <w:sz w:val="32"/>
          <w:szCs w:val="32"/>
        </w:rPr>
        <w:t>“智脑”模型开发应用。</w:t>
      </w:r>
      <w:r>
        <w:rPr>
          <w:rFonts w:hint="eastAsia" w:ascii="仿宋_GB2312" w:hAnsi="仿宋_GB2312" w:eastAsia="仿宋_GB2312" w:cs="仿宋_GB2312"/>
          <w:sz w:val="32"/>
          <w:szCs w:val="32"/>
        </w:rPr>
        <w:t>面向深海勘探、自动驾驶、观光旅游等特色应用场景，突破感知决策、运动控制等关键算法，攻关具身协同技术，构建以垂直应用为核心，训练与推理、预测与决策一体化的具身智能大模型技术体系。建设高质量行业语料库，打造虚实融合具身智能大模型实训基地，推进技术成果转化落地。</w:t>
      </w:r>
      <w:r>
        <w:rPr>
          <w:rFonts w:hint="eastAsia" w:ascii="仿宋_GB2312" w:hAnsi="仿宋_GB2312" w:eastAsia="仿宋_GB2312" w:cs="仿宋_GB2312"/>
          <w:b/>
          <w:bCs/>
          <w:sz w:val="32"/>
          <w:szCs w:val="32"/>
        </w:rPr>
        <w:t>“本体”软硬件集成研制。</w:t>
      </w:r>
      <w:r>
        <w:rPr>
          <w:rFonts w:hint="eastAsia" w:ascii="仿宋_GB2312" w:hAnsi="仿宋_GB2312" w:eastAsia="仿宋_GB2312" w:cs="仿宋_GB2312"/>
          <w:b w:val="0"/>
          <w:bCs w:val="0"/>
          <w:sz w:val="32"/>
          <w:szCs w:val="32"/>
        </w:rPr>
        <w:t>重点发展海洋经济领域的水下机器人、自主水下航行器、无人船，观光旅游领域的文旅消费机器人，医疗康养领域的护理机器人、手术机器人、康复机器人，热带农业领域的农业机器人、无人机，生态保护领域的智能清洁机器人、无人船</w:t>
      </w:r>
      <w:r>
        <w:rPr>
          <w:rFonts w:hint="eastAsia" w:ascii="仿宋_GB2312" w:hAnsi="仿宋_GB2312" w:eastAsia="仿宋_GB2312" w:cs="仿宋_GB2312"/>
          <w:b w:val="0"/>
          <w:bCs w:val="0"/>
          <w:sz w:val="32"/>
          <w:szCs w:val="32"/>
          <w:lang w:val="en-US" w:eastAsia="zh-CN"/>
        </w:rPr>
        <w:t>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配套研发适用于深海等特殊环境的高性能耐蚀材料、耐高压材料、轻量化材料及高性能电池，提升机器人极端环境作业能力和续航能力。</w:t>
      </w:r>
      <w:r>
        <w:rPr>
          <w:rFonts w:hint="eastAsia" w:ascii="仿宋_GB2312" w:hAnsi="仿宋_GB2312" w:eastAsia="仿宋_GB2312" w:cs="仿宋_GB2312"/>
          <w:sz w:val="32"/>
          <w:szCs w:val="32"/>
          <w:lang w:bidi="ar"/>
        </w:rPr>
        <w:t>到2030年，形成一批具有海南特色的标志性应用，培育一批专精特新优质企业。</w:t>
      </w:r>
    </w:p>
    <w:tbl>
      <w:tblPr>
        <w:tblStyle w:val="27"/>
        <w:tblW w:w="5000" w:type="pct"/>
        <w:jc w:val="center"/>
        <w:tblLayout w:type="autofit"/>
        <w:tblCellMar>
          <w:top w:w="0" w:type="dxa"/>
          <w:left w:w="28" w:type="dxa"/>
          <w:bottom w:w="0" w:type="dxa"/>
          <w:right w:w="28" w:type="dxa"/>
        </w:tblCellMar>
      </w:tblPr>
      <w:tblGrid>
        <w:gridCol w:w="8900"/>
      </w:tblGrid>
      <w:tr w14:paraId="1F588366">
        <w:tblPrEx>
          <w:tblCellMar>
            <w:top w:w="0" w:type="dxa"/>
            <w:left w:w="28" w:type="dxa"/>
            <w:bottom w:w="0" w:type="dxa"/>
            <w:right w:w="28" w:type="dxa"/>
          </w:tblCellMar>
        </w:tblPrEx>
        <w:trPr>
          <w:trHeight w:val="567" w:hRule="atLeast"/>
          <w:jc w:val="center"/>
        </w:trPr>
        <w:tc>
          <w:tcPr>
            <w:tcW w:w="5000" w:type="pct"/>
            <w:tcBorders>
              <w:top w:val="single" w:color="auto" w:sz="8" w:space="0"/>
              <w:left w:val="single" w:color="auto" w:sz="8" w:space="0"/>
              <w:bottom w:val="single" w:color="auto" w:sz="8" w:space="0"/>
              <w:right w:val="single" w:color="auto" w:sz="8" w:space="0"/>
            </w:tcBorders>
            <w:noWrap w:val="0"/>
            <w:tcMar>
              <w:top w:w="0" w:type="dxa"/>
              <w:left w:w="28" w:type="dxa"/>
              <w:bottom w:w="0" w:type="dxa"/>
              <w:right w:w="28" w:type="dxa"/>
            </w:tcMar>
            <w:vAlign w:val="center"/>
          </w:tcPr>
          <w:p w14:paraId="774B773F">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default" w:ascii="Times New Roman" w:hAnsi="Times New Roman" w:eastAsia="仿宋_GB2312" w:cs="Times New Roman"/>
                <w:b/>
                <w:kern w:val="0"/>
                <w:sz w:val="28"/>
                <w:szCs w:val="28"/>
              </w:rPr>
            </w:pPr>
            <w:r>
              <w:rPr>
                <w:rFonts w:hint="eastAsia" w:ascii="仿宋_GB2312" w:hAnsi="仿宋_GB2312" w:eastAsia="仿宋_GB2312" w:cs="仿宋_GB2312"/>
                <w:b/>
                <w:sz w:val="28"/>
                <w:szCs w:val="28"/>
              </w:rPr>
              <w:t>专栏13 未来产业重点项目</w:t>
            </w:r>
          </w:p>
        </w:tc>
      </w:tr>
      <w:tr w14:paraId="0AD78EF4">
        <w:tblPrEx>
          <w:tblCellMar>
            <w:top w:w="0" w:type="dxa"/>
            <w:left w:w="28" w:type="dxa"/>
            <w:bottom w:w="0" w:type="dxa"/>
            <w:right w:w="28" w:type="dxa"/>
          </w:tblCellMar>
        </w:tblPrEx>
        <w:trPr>
          <w:trHeight w:val="443" w:hRule="atLeast"/>
          <w:jc w:val="center"/>
        </w:trPr>
        <w:tc>
          <w:tcPr>
            <w:tcW w:w="5000" w:type="pct"/>
            <w:tcBorders>
              <w:top w:val="single" w:color="auto" w:sz="8" w:space="0"/>
              <w:left w:val="single" w:color="auto" w:sz="8" w:space="0"/>
              <w:bottom w:val="single" w:color="auto" w:sz="8" w:space="0"/>
              <w:right w:val="single" w:color="auto" w:sz="8" w:space="0"/>
            </w:tcBorders>
            <w:noWrap w:val="0"/>
            <w:tcMar>
              <w:top w:w="0" w:type="dxa"/>
              <w:left w:w="28" w:type="dxa"/>
              <w:bottom w:w="0" w:type="dxa"/>
              <w:right w:w="28" w:type="dxa"/>
            </w:tcMar>
            <w:vAlign w:val="center"/>
          </w:tcPr>
          <w:p w14:paraId="4C75214D">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01  生物制造</w:t>
            </w:r>
          </w:p>
          <w:p w14:paraId="0F0DCE8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生物食品。</w:t>
            </w:r>
            <w:r>
              <w:rPr>
                <w:rFonts w:hint="eastAsia" w:ascii="仿宋_GB2312" w:hAnsi="仿宋_GB2312" w:eastAsia="仿宋_GB2312" w:cs="仿宋_GB2312"/>
                <w:sz w:val="28"/>
                <w:szCs w:val="28"/>
                <w:lang w:val="en-US" w:eastAsia="zh-CN"/>
              </w:rPr>
              <w:t>推动</w:t>
            </w:r>
            <w:r>
              <w:rPr>
                <w:rFonts w:hint="eastAsia" w:ascii="仿宋_GB2312" w:hAnsi="仿宋_GB2312" w:eastAsia="仿宋_GB2312" w:cs="仿宋_GB2312"/>
                <w:sz w:val="28"/>
                <w:szCs w:val="28"/>
              </w:rPr>
              <w:t>屯昌生物活性肽研产销一体化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儋州改性棕榈油生产、文昌高品质精制鱼油加工等</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落地。</w:t>
            </w:r>
          </w:p>
          <w:p w14:paraId="6E33776C">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生物农业。</w:t>
            </w:r>
            <w:r>
              <w:rPr>
                <w:rFonts w:hint="eastAsia" w:ascii="仿宋_GB2312" w:hAnsi="仿宋_GB2312" w:eastAsia="仿宋_GB2312" w:cs="仿宋_GB2312"/>
                <w:sz w:val="28"/>
                <w:szCs w:val="28"/>
              </w:rPr>
              <w:t>推动万宁生物饲料厂</w:t>
            </w:r>
            <w:r>
              <w:rPr>
                <w:rFonts w:hint="eastAsia" w:ascii="仿宋_GB2312" w:hAnsi="仿宋_GB2312" w:eastAsia="仿宋_GB2312" w:cs="仿宋_GB2312"/>
                <w:sz w:val="28"/>
                <w:szCs w:val="28"/>
                <w:lang w:val="en-US" w:eastAsia="zh-CN"/>
              </w:rPr>
              <w:t>等项目落地</w:t>
            </w:r>
            <w:r>
              <w:rPr>
                <w:rFonts w:hint="eastAsia" w:ascii="仿宋_GB2312" w:hAnsi="仿宋_GB2312" w:eastAsia="仿宋_GB2312" w:cs="仿宋_GB2312"/>
                <w:sz w:val="28"/>
                <w:szCs w:val="28"/>
              </w:rPr>
              <w:t>。</w:t>
            </w:r>
          </w:p>
          <w:p w14:paraId="5BF4720E">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生物材料。</w:t>
            </w:r>
            <w:r>
              <w:rPr>
                <w:rFonts w:hint="eastAsia" w:ascii="仿宋_GB2312" w:hAnsi="仿宋_GB2312" w:eastAsia="仿宋_GB2312" w:cs="仿宋_GB2312"/>
                <w:sz w:val="28"/>
                <w:szCs w:val="28"/>
                <w:lang w:val="en-US" w:eastAsia="zh-CN"/>
              </w:rPr>
              <w:t>推进</w:t>
            </w:r>
            <w:r>
              <w:rPr>
                <w:rFonts w:hint="eastAsia" w:ascii="仿宋_GB2312" w:hAnsi="仿宋_GB2312" w:eastAsia="仿宋_GB2312" w:cs="仿宋_GB2312"/>
                <w:sz w:val="28"/>
                <w:szCs w:val="28"/>
              </w:rPr>
              <w:t>儋州生物基新材料生产基地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定安生物医用材料聚对二氧环己酮产业化</w:t>
            </w:r>
            <w:r>
              <w:rPr>
                <w:rFonts w:hint="eastAsia" w:ascii="仿宋_GB2312" w:hAnsi="仿宋_GB2312" w:eastAsia="仿宋_GB2312" w:cs="仿宋_GB2312"/>
                <w:sz w:val="28"/>
                <w:szCs w:val="28"/>
                <w:lang w:val="en-US" w:eastAsia="zh-CN"/>
              </w:rPr>
              <w:t>等项目建设</w:t>
            </w:r>
            <w:r>
              <w:rPr>
                <w:rFonts w:hint="eastAsia" w:ascii="仿宋_GB2312" w:hAnsi="仿宋_GB2312" w:eastAsia="仿宋_GB2312" w:cs="仿宋_GB2312"/>
                <w:sz w:val="28"/>
                <w:szCs w:val="28"/>
              </w:rPr>
              <w:t>。</w:t>
            </w:r>
          </w:p>
          <w:p w14:paraId="0E7CED9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生物化工。</w:t>
            </w:r>
            <w:r>
              <w:rPr>
                <w:rFonts w:hint="eastAsia" w:ascii="仿宋_GB2312" w:hAnsi="仿宋_GB2312" w:eastAsia="仿宋_GB2312" w:cs="仿宋_GB2312"/>
                <w:sz w:val="28"/>
                <w:szCs w:val="28"/>
              </w:rPr>
              <w:t>谋划儋州藻蓝蛋白生产制造、儋州微生物蛋白生产基地等项目。</w:t>
            </w:r>
          </w:p>
          <w:p w14:paraId="24D3DB44">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生物能源。</w:t>
            </w:r>
            <w:r>
              <w:rPr>
                <w:rFonts w:hint="eastAsia" w:ascii="仿宋_GB2312" w:hAnsi="仿宋_GB2312" w:eastAsia="仿宋_GB2312" w:cs="仿宋_GB2312"/>
                <w:sz w:val="28"/>
                <w:szCs w:val="28"/>
                <w:lang w:val="en-US" w:eastAsia="zh-CN"/>
              </w:rPr>
              <w:t>推进</w:t>
            </w:r>
            <w:r>
              <w:rPr>
                <w:rFonts w:hint="eastAsia" w:ascii="仿宋_GB2312" w:hAnsi="仿宋_GB2312" w:eastAsia="仿宋_GB2312" w:cs="仿宋_GB2312"/>
                <w:sz w:val="28"/>
                <w:szCs w:val="28"/>
              </w:rPr>
              <w:t>儋州生物柴油</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项目建设。</w:t>
            </w:r>
          </w:p>
          <w:p w14:paraId="47DC490D">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重点创新平台。</w:t>
            </w:r>
            <w:r>
              <w:rPr>
                <w:rFonts w:hint="eastAsia" w:ascii="仿宋_GB2312" w:hAnsi="仿宋_GB2312" w:eastAsia="仿宋_GB2312" w:cs="仿宋_GB2312"/>
                <w:b w:val="0"/>
                <w:bCs w:val="0"/>
                <w:sz w:val="28"/>
                <w:szCs w:val="28"/>
                <w:lang w:val="en-US" w:eastAsia="zh-CN"/>
              </w:rPr>
              <w:t>推动</w:t>
            </w:r>
            <w:r>
              <w:rPr>
                <w:rFonts w:hint="eastAsia" w:ascii="仿宋_GB2312" w:hAnsi="仿宋_GB2312" w:eastAsia="仿宋_GB2312" w:cs="仿宋_GB2312"/>
                <w:sz w:val="28"/>
                <w:szCs w:val="28"/>
              </w:rPr>
              <w:t>海洋生物制造创新中心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生物制造协同创新平台等项目</w:t>
            </w:r>
            <w:r>
              <w:rPr>
                <w:rFonts w:hint="eastAsia" w:ascii="仿宋_GB2312" w:hAnsi="仿宋_GB2312" w:eastAsia="仿宋_GB2312" w:cs="仿宋_GB2312"/>
                <w:sz w:val="28"/>
                <w:szCs w:val="28"/>
                <w:lang w:val="en-US" w:eastAsia="zh-CN"/>
              </w:rPr>
              <w:t>落地</w:t>
            </w:r>
            <w:r>
              <w:rPr>
                <w:rFonts w:hint="eastAsia" w:ascii="仿宋_GB2312" w:hAnsi="仿宋_GB2312" w:eastAsia="仿宋_GB2312" w:cs="仿宋_GB2312"/>
                <w:sz w:val="28"/>
                <w:szCs w:val="28"/>
              </w:rPr>
              <w:t>。</w:t>
            </w:r>
          </w:p>
        </w:tc>
      </w:tr>
      <w:tr w14:paraId="2D53E07C">
        <w:tblPrEx>
          <w:tblCellMar>
            <w:top w:w="0" w:type="dxa"/>
            <w:left w:w="28" w:type="dxa"/>
            <w:bottom w:w="0" w:type="dxa"/>
            <w:right w:w="28" w:type="dxa"/>
          </w:tblCellMar>
        </w:tblPrEx>
        <w:trPr>
          <w:trHeight w:val="1056" w:hRule="atLeast"/>
          <w:jc w:val="center"/>
        </w:trPr>
        <w:tc>
          <w:tcPr>
            <w:tcW w:w="5000" w:type="pct"/>
            <w:tcBorders>
              <w:top w:val="single" w:color="auto" w:sz="8" w:space="0"/>
              <w:left w:val="single" w:color="auto" w:sz="8" w:space="0"/>
              <w:bottom w:val="single" w:color="auto" w:sz="8" w:space="0"/>
              <w:right w:val="single" w:color="auto" w:sz="8" w:space="0"/>
            </w:tcBorders>
            <w:noWrap w:val="0"/>
            <w:tcMar>
              <w:top w:w="0" w:type="dxa"/>
              <w:left w:w="28" w:type="dxa"/>
              <w:bottom w:w="0" w:type="dxa"/>
              <w:right w:w="28" w:type="dxa"/>
            </w:tcMar>
            <w:vAlign w:val="center"/>
          </w:tcPr>
          <w:p w14:paraId="6329D13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02  氢能</w:t>
            </w:r>
          </w:p>
          <w:p w14:paraId="09899A99">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lang w:val="en-US" w:eastAsia="zh-CN"/>
              </w:rPr>
              <w:t>推进</w:t>
            </w:r>
            <w:r>
              <w:rPr>
                <w:rFonts w:hint="eastAsia" w:ascii="仿宋_GB2312" w:hAnsi="仿宋_GB2312" w:eastAsia="仿宋_GB2312" w:cs="仿宋_GB2312"/>
                <w:sz w:val="28"/>
                <w:szCs w:val="28"/>
              </w:rPr>
              <w:t>东方海上风电制氢和氢能综合利用示范暨百万吨级绿色电氢氨醇实证（一期）、</w:t>
            </w:r>
            <w:r>
              <w:rPr>
                <w:rFonts w:hint="eastAsia" w:ascii="仿宋_GB2312" w:hAnsi="仿宋_GB2312" w:eastAsia="仿宋_GB2312" w:cs="仿宋_GB2312"/>
                <w:spacing w:val="-6"/>
                <w:sz w:val="28"/>
                <w:szCs w:val="28"/>
              </w:rPr>
              <w:t>儋州绿色氢基能源示范等项目建设。</w:t>
            </w:r>
          </w:p>
        </w:tc>
      </w:tr>
      <w:tr w14:paraId="0ABFC341">
        <w:tblPrEx>
          <w:tblCellMar>
            <w:top w:w="0" w:type="dxa"/>
            <w:left w:w="28" w:type="dxa"/>
            <w:bottom w:w="0" w:type="dxa"/>
            <w:right w:w="28" w:type="dxa"/>
          </w:tblCellMar>
        </w:tblPrEx>
        <w:trPr>
          <w:trHeight w:val="1261" w:hRule="atLeast"/>
          <w:jc w:val="center"/>
        </w:trPr>
        <w:tc>
          <w:tcPr>
            <w:tcW w:w="5000" w:type="pct"/>
            <w:tcBorders>
              <w:top w:val="single" w:color="auto" w:sz="8" w:space="0"/>
              <w:left w:val="single" w:color="auto" w:sz="8" w:space="0"/>
              <w:bottom w:val="single" w:color="auto" w:sz="8" w:space="0"/>
              <w:right w:val="single" w:color="auto" w:sz="8" w:space="0"/>
            </w:tcBorders>
            <w:noWrap w:val="0"/>
            <w:tcMar>
              <w:top w:w="0" w:type="dxa"/>
              <w:left w:w="28" w:type="dxa"/>
              <w:bottom w:w="0" w:type="dxa"/>
              <w:right w:w="28" w:type="dxa"/>
            </w:tcMar>
            <w:vAlign w:val="center"/>
          </w:tcPr>
          <w:p w14:paraId="4363BBD7">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03  脑机接口</w:t>
            </w:r>
          </w:p>
          <w:p w14:paraId="6A9111FB">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谋划</w:t>
            </w:r>
            <w:r>
              <w:rPr>
                <w:rFonts w:hint="eastAsia" w:ascii="仿宋_GB2312" w:hAnsi="仿宋_GB2312" w:eastAsia="仿宋_GB2312" w:cs="仿宋_GB2312"/>
                <w:sz w:val="28"/>
                <w:szCs w:val="28"/>
              </w:rPr>
              <w:t>脑机接口电极微纳加工与中试平台、植入式脑机接口医疗器械GMP封装与生产基地、脑机接口临床诊疗与研究中心等项目。</w:t>
            </w:r>
          </w:p>
        </w:tc>
      </w:tr>
      <w:tr w14:paraId="326C4774">
        <w:tblPrEx>
          <w:tblCellMar>
            <w:top w:w="0" w:type="dxa"/>
            <w:left w:w="28" w:type="dxa"/>
            <w:bottom w:w="0" w:type="dxa"/>
            <w:right w:w="28" w:type="dxa"/>
          </w:tblCellMar>
        </w:tblPrEx>
        <w:trPr>
          <w:trHeight w:val="901" w:hRule="atLeast"/>
          <w:jc w:val="center"/>
        </w:trPr>
        <w:tc>
          <w:tcPr>
            <w:tcW w:w="5000" w:type="pct"/>
            <w:tcBorders>
              <w:top w:val="single" w:color="auto" w:sz="8" w:space="0"/>
              <w:left w:val="single" w:color="auto" w:sz="8" w:space="0"/>
              <w:bottom w:val="single" w:color="auto" w:sz="8" w:space="0"/>
              <w:right w:val="single" w:color="auto" w:sz="8" w:space="0"/>
            </w:tcBorders>
            <w:noWrap w:val="0"/>
            <w:tcMar>
              <w:top w:w="0" w:type="dxa"/>
              <w:left w:w="28" w:type="dxa"/>
              <w:bottom w:w="0" w:type="dxa"/>
              <w:right w:w="28" w:type="dxa"/>
            </w:tcMar>
            <w:vAlign w:val="center"/>
          </w:tcPr>
          <w:p w14:paraId="5216664C">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04  具身智能</w:t>
            </w:r>
          </w:p>
          <w:p w14:paraId="6FAEFA34">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推进</w:t>
            </w:r>
            <w:r>
              <w:rPr>
                <w:rFonts w:hint="eastAsia" w:ascii="仿宋_GB2312" w:hAnsi="仿宋_GB2312" w:eastAsia="仿宋_GB2312" w:cs="仿宋_GB2312"/>
                <w:sz w:val="28"/>
                <w:szCs w:val="28"/>
              </w:rPr>
              <w:t>三亚市具身智能机器人创新中心</w:t>
            </w:r>
            <w:r>
              <w:rPr>
                <w:rFonts w:hint="eastAsia" w:ascii="仿宋_GB2312" w:hAnsi="仿宋_GB2312" w:eastAsia="仿宋_GB2312" w:cs="仿宋_GB2312"/>
                <w:sz w:val="28"/>
                <w:szCs w:val="28"/>
                <w:lang w:val="en-US" w:eastAsia="zh-CN"/>
              </w:rPr>
              <w:t>等项目建设。</w:t>
            </w:r>
          </w:p>
        </w:tc>
      </w:tr>
      <w:bookmarkEnd w:id="268"/>
      <w:bookmarkEnd w:id="269"/>
      <w:bookmarkEnd w:id="270"/>
      <w:bookmarkEnd w:id="271"/>
      <w:bookmarkEnd w:id="272"/>
      <w:bookmarkEnd w:id="273"/>
      <w:bookmarkEnd w:id="274"/>
      <w:bookmarkEnd w:id="275"/>
    </w:tbl>
    <w:p w14:paraId="38D44FB4">
      <w:pPr>
        <w:keepNext w:val="0"/>
        <w:keepLines w:val="0"/>
        <w:pageBreakBefore w:val="0"/>
        <w:widowControl w:val="0"/>
        <w:kinsoku/>
        <w:wordWrap/>
        <w:overflowPunct w:val="0"/>
        <w:topLinePunct w:val="0"/>
        <w:autoSpaceDE/>
        <w:autoSpaceDN/>
        <w:bidi w:val="0"/>
        <w:adjustRightInd w:val="0"/>
        <w:snapToGrid w:val="0"/>
        <w:spacing w:before="356" w:beforeLines="60" w:after="356" w:afterLines="60" w:line="596" w:lineRule="exact"/>
        <w:jc w:val="center"/>
        <w:textAlignment w:val="auto"/>
        <w:outlineLvl w:val="0"/>
        <w:rPr>
          <w:rFonts w:hint="default" w:ascii="Times New Roman" w:hAnsi="Times New Roman" w:eastAsia="方正小标宋简体" w:cs="Times New Roman"/>
          <w:sz w:val="36"/>
          <w:szCs w:val="36"/>
        </w:rPr>
      </w:pPr>
      <w:bookmarkStart w:id="292" w:name="_Toc26648"/>
      <w:bookmarkStart w:id="293" w:name="_Toc15959"/>
      <w:bookmarkStart w:id="294" w:name="_Toc2043642471"/>
      <w:bookmarkStart w:id="295" w:name="_Toc21073"/>
      <w:bookmarkStart w:id="296" w:name="_Toc12626"/>
      <w:r>
        <w:rPr>
          <w:rFonts w:hint="default" w:ascii="Times New Roman" w:hAnsi="Times New Roman" w:eastAsia="方正小标宋简体" w:cs="Times New Roman"/>
          <w:sz w:val="36"/>
          <w:szCs w:val="36"/>
        </w:rPr>
        <w:t xml:space="preserve">第四章 </w:t>
      </w:r>
      <w:r>
        <w:rPr>
          <w:rFonts w:hint="default"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rPr>
        <w:t>任务体系</w:t>
      </w:r>
      <w:bookmarkEnd w:id="292"/>
      <w:bookmarkEnd w:id="293"/>
      <w:bookmarkEnd w:id="294"/>
      <w:bookmarkEnd w:id="295"/>
      <w:bookmarkEnd w:id="296"/>
    </w:p>
    <w:p w14:paraId="6C1B8768">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297" w:name="_Toc8157"/>
      <w:bookmarkStart w:id="298" w:name="_Toc18691"/>
      <w:bookmarkStart w:id="299" w:name="_Toc35917306"/>
      <w:bookmarkStart w:id="300" w:name="_Toc19456"/>
      <w:bookmarkStart w:id="301" w:name="_Toc23129"/>
      <w:bookmarkStart w:id="302" w:name="_Toc27513"/>
      <w:bookmarkStart w:id="303" w:name="_Toc5274"/>
      <w:bookmarkStart w:id="304" w:name="_Toc15747"/>
      <w:r>
        <w:rPr>
          <w:rFonts w:hint="default" w:ascii="Times New Roman" w:hAnsi="Times New Roman" w:eastAsia="楷体_GB2312" w:cs="Times New Roman"/>
          <w:b/>
          <w:bCs/>
          <w:kern w:val="2"/>
          <w:sz w:val="32"/>
          <w:szCs w:val="32"/>
          <w:lang w:val="en-US" w:eastAsia="zh-CN" w:bidi="ar-SA"/>
        </w:rPr>
        <w:t>第一节  实施科技创新引领工程</w:t>
      </w:r>
      <w:bookmarkEnd w:id="297"/>
      <w:bookmarkEnd w:id="298"/>
      <w:bookmarkEnd w:id="299"/>
      <w:bookmarkEnd w:id="300"/>
      <w:bookmarkEnd w:id="301"/>
      <w:bookmarkEnd w:id="302"/>
      <w:bookmarkEnd w:id="303"/>
      <w:bookmarkEnd w:id="304"/>
    </w:p>
    <w:p w14:paraId="78DE4532">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攻坚</w:t>
      </w:r>
      <w:r>
        <w:rPr>
          <w:rFonts w:hint="eastAsia" w:ascii="仿宋_GB2312" w:hAnsi="仿宋_GB2312" w:eastAsia="仿宋_GB2312" w:cs="仿宋_GB2312"/>
          <w:b/>
          <w:sz w:val="32"/>
          <w:szCs w:val="32"/>
        </w:rPr>
        <w:t>关键核心技术。</w:t>
      </w:r>
      <w:r>
        <w:rPr>
          <w:rFonts w:hint="eastAsia" w:ascii="仿宋_GB2312" w:hAnsi="仿宋_GB2312" w:eastAsia="仿宋_GB2312" w:cs="仿宋_GB2312"/>
          <w:sz w:val="32"/>
          <w:szCs w:val="32"/>
        </w:rPr>
        <w:t>立足海南</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rPr>
        <w:t>高新技术产业发展</w:t>
      </w:r>
      <w:r>
        <w:rPr>
          <w:rFonts w:hint="eastAsia" w:ascii="仿宋_GB2312" w:hAnsi="仿宋_GB2312" w:eastAsia="仿宋_GB2312" w:cs="仿宋_GB2312"/>
          <w:sz w:val="32"/>
          <w:szCs w:val="32"/>
          <w:lang w:val="en-US" w:eastAsia="zh-CN"/>
        </w:rPr>
        <w:t>需求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重点</w:t>
      </w:r>
      <w:r>
        <w:rPr>
          <w:rFonts w:hint="eastAsia" w:ascii="仿宋_GB2312" w:hAnsi="仿宋_GB2312" w:eastAsia="仿宋_GB2312" w:cs="仿宋_GB2312"/>
          <w:sz w:val="32"/>
          <w:szCs w:val="32"/>
        </w:rPr>
        <w:t>围绕产业链精准布局创新链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力争突破一批关键核心共性技术，形成一批标志性成果，研制一批具有自主知识产权、达到国内领先或国际先进的重大创新产品，全面提升产业基础创新能力</w:t>
      </w:r>
      <w:r>
        <w:rPr>
          <w:rFonts w:hint="eastAsia" w:ascii="仿宋_GB2312" w:hAnsi="仿宋_GB2312" w:eastAsia="仿宋_GB2312" w:cs="仿宋_GB2312"/>
          <w:spacing w:val="6"/>
          <w:sz w:val="32"/>
          <w:szCs w:val="32"/>
        </w:rPr>
        <w:t>与核心竞争力。积极推行定向委托、</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揭榜挂帅</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、创新联合体等多元主体联合攻关模式，高效推进核心技术攻关项目落地见效。</w:t>
      </w:r>
    </w:p>
    <w:p w14:paraId="24D93EB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构建多层级科技创新体系。</w:t>
      </w:r>
      <w:r>
        <w:rPr>
          <w:rFonts w:hint="eastAsia" w:ascii="仿宋_GB2312" w:hAnsi="仿宋_GB2312" w:eastAsia="仿宋_GB2312" w:cs="仿宋_GB2312"/>
          <w:sz w:val="32"/>
          <w:szCs w:val="32"/>
        </w:rPr>
        <w:t>加快崖州湾国家实验室二期园区建设，持续推进汉江实验室三亚基地建设。统筹布局技术创新中心、产业创新中心、制造业创新中心等创新平台体系，依托企业、高校和科研机构，做优做强深海技术创新中心、航天技术创新中心，强化关键共性技术供给。</w:t>
      </w:r>
    </w:p>
    <w:p w14:paraId="11C4158A">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b/>
          <w:bCs/>
          <w:sz w:val="32"/>
          <w:szCs w:val="32"/>
        </w:rPr>
        <w:t>完善产学研协同转化机制。</w:t>
      </w:r>
      <w:r>
        <w:rPr>
          <w:rFonts w:hint="eastAsia" w:ascii="仿宋_GB2312" w:hAnsi="仿宋_GB2312" w:eastAsia="仿宋_GB2312" w:cs="仿宋_GB2312"/>
          <w:sz w:val="32"/>
          <w:szCs w:val="32"/>
        </w:rPr>
        <w:t>深化高校院所、科研机构与企业之间的联动，持续盘活存量专利资源，鼓励中小微企业采取“先使用后付费”等方式承接转化创新成果，推动科技与产业、金融精准对接、高效耦合。加快构建高效畅通的技术转移通道，支持国家技术转移海南中心建设成为国家统一技术交易服务平台的重要节点，打造线上线下融合的海南科技交易大市场，提升科技成果转化和产业化水平。建设三亚崖州湾科技城知识产权特区，</w:t>
      </w:r>
      <w:r>
        <w:rPr>
          <w:rFonts w:hint="eastAsia" w:ascii="仿宋_GB2312" w:hAnsi="仿宋_GB2312" w:eastAsia="仿宋_GB2312" w:cs="仿宋_GB2312"/>
          <w:spacing w:val="0"/>
          <w:sz w:val="32"/>
          <w:szCs w:val="32"/>
        </w:rPr>
        <w:t>着力打造集国际知识产权合作交流、转化应用于一体的综合平台。</w:t>
      </w:r>
    </w:p>
    <w:p w14:paraId="42093046">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05" w:name="_Toc29486"/>
      <w:bookmarkStart w:id="306" w:name="_Toc26799"/>
      <w:bookmarkStart w:id="307" w:name="_Toc20576"/>
      <w:bookmarkStart w:id="308" w:name="_Toc923256385"/>
      <w:bookmarkStart w:id="309" w:name="_Toc21414"/>
      <w:bookmarkStart w:id="310" w:name="_Toc8920"/>
      <w:bookmarkStart w:id="311" w:name="_Toc18851"/>
      <w:r>
        <w:rPr>
          <w:rFonts w:hint="default" w:ascii="Times New Roman" w:hAnsi="Times New Roman" w:eastAsia="楷体_GB2312" w:cs="Times New Roman"/>
          <w:b/>
          <w:bCs/>
          <w:kern w:val="2"/>
          <w:sz w:val="32"/>
          <w:szCs w:val="32"/>
          <w:lang w:val="en-US" w:eastAsia="zh-CN" w:bidi="ar-SA"/>
        </w:rPr>
        <w:t>第二节  实施产业质效提升工程</w:t>
      </w:r>
      <w:bookmarkEnd w:id="305"/>
      <w:bookmarkEnd w:id="306"/>
      <w:bookmarkEnd w:id="307"/>
      <w:bookmarkEnd w:id="308"/>
      <w:bookmarkEnd w:id="309"/>
    </w:p>
    <w:p w14:paraId="7903886C">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b/>
          <w:bCs/>
          <w:kern w:val="0"/>
          <w:sz w:val="32"/>
          <w:szCs w:val="32"/>
          <w:shd w:val="clear" w:color="auto" w:fill="FFFFFF"/>
        </w:rPr>
        <w:t>推进产业高端化发展。</w:t>
      </w:r>
      <w:r>
        <w:rPr>
          <w:rFonts w:hint="eastAsia" w:ascii="仿宋_GB2312" w:hAnsi="仿宋_GB2312" w:eastAsia="仿宋_GB2312" w:cs="仿宋_GB2312"/>
          <w:kern w:val="0"/>
          <w:sz w:val="32"/>
          <w:szCs w:val="32"/>
          <w:shd w:val="clear" w:color="auto" w:fill="FFFFFF"/>
        </w:rPr>
        <w:t>鼓励企业聚焦原创性与颠覆性技术，加大研发投入，以前沿技术突破引领新兴产业孵化和传统产业深度转型。集中优势资源支持重大装备、关键产品及核心基础零部件、材料研发攻关与工程化突破，加速创新成果的市场化迭代。引导企业向上游研发设计、下游品牌服务等高附加值环节延伸。以设备更新技术改造和产业转型升级为抓手，加快推动重点产业迈向产业链价值链中高端。</w:t>
      </w:r>
    </w:p>
    <w:p w14:paraId="12580BB3">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b/>
          <w:bCs/>
          <w:kern w:val="0"/>
          <w:sz w:val="32"/>
          <w:szCs w:val="32"/>
          <w:shd w:val="clear" w:color="auto" w:fill="FFFFFF"/>
        </w:rPr>
        <w:t>深化产业智能化发展。</w:t>
      </w:r>
      <w:r>
        <w:rPr>
          <w:rFonts w:hint="eastAsia" w:ascii="仿宋_GB2312" w:hAnsi="仿宋_GB2312" w:eastAsia="仿宋_GB2312" w:cs="仿宋_GB2312"/>
          <w:kern w:val="0"/>
          <w:sz w:val="32"/>
          <w:szCs w:val="32"/>
          <w:shd w:val="clear" w:color="auto" w:fill="FFFFFF"/>
        </w:rPr>
        <w:t>紧跟数字化、网络化、智能化发展趋势，加快推动人工智能、大数据、物联网等新一代信息技术与高新技术产业深度融合。加快智能装备推广应用，建设智能工厂和数字化车间，提升装备数字化水平，推广应用工业机器人。支持工业软件企业、制造业数字化转型服务商、高校院所等联合组建智能制造产业联盟，打造一批智能化应用解决方案。营造开放协同的人工智能创新生态，以智能化牵引产业效率变革和动力变革，塑造面向未来的智能化产业竞争优势。</w:t>
      </w:r>
    </w:p>
    <w:p w14:paraId="397201AC">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pacing w:val="0"/>
          <w:kern w:val="0"/>
          <w:sz w:val="32"/>
          <w:szCs w:val="32"/>
          <w:shd w:val="clear" w:color="auto" w:fill="FFFFFF"/>
        </w:rPr>
      </w:pPr>
      <w:r>
        <w:rPr>
          <w:rFonts w:hint="eastAsia" w:ascii="仿宋_GB2312" w:hAnsi="仿宋_GB2312" w:eastAsia="仿宋_GB2312" w:cs="仿宋_GB2312"/>
          <w:b/>
          <w:bCs/>
          <w:kern w:val="0"/>
          <w:sz w:val="32"/>
          <w:szCs w:val="32"/>
          <w:shd w:val="clear" w:color="auto" w:fill="FFFFFF"/>
        </w:rPr>
        <w:t>强化产业绿色化发展。</w:t>
      </w:r>
      <w:r>
        <w:rPr>
          <w:rFonts w:hint="eastAsia" w:ascii="仿宋_GB2312" w:hAnsi="仿宋_GB2312" w:eastAsia="仿宋_GB2312" w:cs="仿宋_GB2312"/>
          <w:kern w:val="0"/>
          <w:sz w:val="32"/>
          <w:szCs w:val="32"/>
          <w:shd w:val="clear" w:color="auto" w:fill="FFFFFF"/>
        </w:rPr>
        <w:t>将绿色低碳理念全面融入高新技术产业发展的全过程、各领域。推动制造业绿色化改造，实施一批节能降碳重点工程，建设一批绿色供给标杆项目，培育一批绿色制造供应商，助力石化新材料、</w:t>
      </w:r>
      <w:r>
        <w:rPr>
          <w:rFonts w:hint="eastAsia" w:ascii="仿宋_GB2312" w:hAnsi="仿宋_GB2312" w:eastAsia="仿宋_GB2312" w:cs="仿宋_GB2312"/>
          <w:kern w:val="0"/>
          <w:sz w:val="32"/>
          <w:szCs w:val="32"/>
          <w:shd w:val="clear" w:color="auto" w:fill="FFFFFF"/>
          <w:lang w:val="en-US" w:eastAsia="zh-CN"/>
        </w:rPr>
        <w:t>现代</w:t>
      </w:r>
      <w:r>
        <w:rPr>
          <w:rFonts w:hint="eastAsia" w:ascii="仿宋_GB2312" w:hAnsi="仿宋_GB2312" w:eastAsia="仿宋_GB2312" w:cs="仿宋_GB2312"/>
          <w:kern w:val="0"/>
          <w:sz w:val="32"/>
          <w:szCs w:val="32"/>
          <w:shd w:val="clear" w:color="auto" w:fill="FFFFFF"/>
        </w:rPr>
        <w:t>生物医药、装备制造等重点行业节能减排，夯实产业链绿色化发展基础。依托海南生态基础，</w:t>
      </w:r>
      <w:r>
        <w:rPr>
          <w:rFonts w:hint="eastAsia" w:ascii="仿宋_GB2312" w:hAnsi="仿宋_GB2312" w:eastAsia="仿宋_GB2312" w:cs="仿宋_GB2312"/>
          <w:spacing w:val="0"/>
          <w:kern w:val="0"/>
          <w:sz w:val="32"/>
          <w:szCs w:val="32"/>
          <w:shd w:val="clear" w:color="auto" w:fill="FFFFFF"/>
        </w:rPr>
        <w:t>探索生态产品价值实现机制，推动产业生态化与生态产业化协同发展。</w:t>
      </w:r>
    </w:p>
    <w:p w14:paraId="512C01FD">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12" w:name="_Toc14295"/>
      <w:bookmarkStart w:id="313" w:name="_Toc873154056"/>
      <w:bookmarkStart w:id="314" w:name="_Toc3887"/>
      <w:bookmarkStart w:id="315" w:name="_Toc5514"/>
      <w:bookmarkStart w:id="316" w:name="_Toc21604"/>
      <w:r>
        <w:rPr>
          <w:rFonts w:hint="default" w:ascii="Times New Roman" w:hAnsi="Times New Roman" w:eastAsia="楷体_GB2312" w:cs="Times New Roman"/>
          <w:b/>
          <w:bCs/>
          <w:kern w:val="2"/>
          <w:sz w:val="32"/>
          <w:szCs w:val="32"/>
          <w:lang w:val="en-US" w:eastAsia="zh-CN" w:bidi="ar-SA"/>
        </w:rPr>
        <w:t>第三节  实施企业梯度引育工程</w:t>
      </w:r>
      <w:bookmarkEnd w:id="310"/>
      <w:bookmarkEnd w:id="311"/>
      <w:bookmarkEnd w:id="312"/>
      <w:bookmarkEnd w:id="313"/>
      <w:bookmarkEnd w:id="314"/>
      <w:bookmarkEnd w:id="315"/>
      <w:bookmarkEnd w:id="316"/>
    </w:p>
    <w:p w14:paraId="42EB3B0F">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开展市场主体培引行动。</w:t>
      </w:r>
      <w:r>
        <w:rPr>
          <w:rFonts w:hint="eastAsia" w:ascii="仿宋_GB2312" w:hAnsi="仿宋_GB2312" w:eastAsia="仿宋_GB2312" w:cs="仿宋_GB2312"/>
          <w:sz w:val="32"/>
          <w:szCs w:val="32"/>
        </w:rPr>
        <w:t>健全梯次培引机制，构建以科技领军企业为引领，高新技术企业、专精特新“小巨人”企业、制造业单项冠军为主体，科技型及创新型中小企业为基础的企业创新雁阵。围绕重点产业链，培育壮大一批具备产业生态主导力和核心技术优势的“链主”企业，带动上下游协同创新、联动发展。鼓励企业通过兼并重组、合资合作等方式整合资源、做大做强，提升整体竞争力。</w:t>
      </w:r>
    </w:p>
    <w:tbl>
      <w:tblPr>
        <w:tblStyle w:val="27"/>
        <w:tblW w:w="5000" w:type="pct"/>
        <w:tblInd w:w="0" w:type="dxa"/>
        <w:tblLayout w:type="autofit"/>
        <w:tblCellMar>
          <w:top w:w="0" w:type="dxa"/>
          <w:left w:w="0" w:type="dxa"/>
          <w:bottom w:w="0" w:type="dxa"/>
          <w:right w:w="0" w:type="dxa"/>
        </w:tblCellMar>
      </w:tblPr>
      <w:tblGrid>
        <w:gridCol w:w="9060"/>
      </w:tblGrid>
      <w:tr w14:paraId="45197FBD">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7662003">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eastAsia" w:ascii="仿宋_GB2312" w:hAnsi="仿宋_GB2312" w:eastAsia="仿宋_GB2312" w:cs="仿宋_GB2312"/>
                <w:b/>
                <w:kern w:val="0"/>
                <w:sz w:val="28"/>
                <w:szCs w:val="18"/>
              </w:rPr>
            </w:pPr>
            <w:r>
              <w:rPr>
                <w:rFonts w:hint="eastAsia" w:ascii="仿宋_GB2312" w:hAnsi="仿宋_GB2312" w:eastAsia="仿宋_GB2312" w:cs="仿宋_GB2312"/>
                <w:b/>
                <w:sz w:val="28"/>
                <w:szCs w:val="28"/>
              </w:rPr>
              <w:t>专栏1</w:t>
            </w:r>
            <w:r>
              <w:rPr>
                <w:rFonts w:hint="eastAsia" w:ascii="仿宋_GB2312" w:hAnsi="仿宋_GB2312" w:eastAsia="仿宋_GB2312" w:cs="仿宋_GB2312"/>
                <w:b/>
                <w:sz w:val="28"/>
                <w:szCs w:val="28"/>
                <w:lang w:val="en-US" w:eastAsia="zh-CN"/>
              </w:rPr>
              <w:t>4</w:t>
            </w:r>
            <w:r>
              <w:rPr>
                <w:rFonts w:hint="eastAsia" w:ascii="仿宋_GB2312" w:hAnsi="仿宋_GB2312" w:eastAsia="仿宋_GB2312" w:cs="仿宋_GB2312"/>
                <w:b/>
                <w:sz w:val="28"/>
                <w:szCs w:val="28"/>
              </w:rPr>
              <w:t xml:space="preserve"> 优质企业培育</w:t>
            </w:r>
          </w:p>
        </w:tc>
      </w:tr>
      <w:tr w14:paraId="7F762582">
        <w:tblPrEx>
          <w:tblCellMar>
            <w:top w:w="0" w:type="dxa"/>
            <w:left w:w="0" w:type="dxa"/>
            <w:bottom w:w="0" w:type="dxa"/>
            <w:right w:w="0" w:type="dxa"/>
          </w:tblCellMar>
        </w:tblPrEx>
        <w:trPr>
          <w:trHeight w:val="1173"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22C97A1">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b/>
                <w:bCs/>
                <w:sz w:val="28"/>
                <w:szCs w:val="28"/>
              </w:rPr>
              <w:t>企业培育专项行动。</w:t>
            </w:r>
            <w:r>
              <w:rPr>
                <w:rFonts w:hint="eastAsia" w:ascii="仿宋_GB2312" w:hAnsi="仿宋_GB2312" w:eastAsia="仿宋_GB2312" w:cs="仿宋_GB2312"/>
                <w:sz w:val="28"/>
                <w:szCs w:val="28"/>
              </w:rPr>
              <w:t>实施“尖峰岭”上市公司培育专项行动、高新技术“精英行动”、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专精特新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中小企业“雏鹰行动”、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小升规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成长行动，加强金融、人才、土地、技术等要素保障，持续培育壮大企业群体。</w:t>
            </w:r>
          </w:p>
        </w:tc>
      </w:tr>
    </w:tbl>
    <w:p w14:paraId="0DF79851">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强化企业创新主体地位。</w:t>
      </w:r>
      <w:r>
        <w:rPr>
          <w:rFonts w:hint="eastAsia" w:ascii="仿宋_GB2312" w:hAnsi="仿宋_GB2312" w:eastAsia="仿宋_GB2312" w:cs="仿宋_GB2312"/>
          <w:sz w:val="32"/>
          <w:szCs w:val="32"/>
        </w:rPr>
        <w:t>聚焦数字经济、商业航天、石化新材料等重点产业，支持具备创新能力优势的企业联合上下游企业、高校院所等组建产业创新联合体、产业创新联盟，打造“龙头企业+中小企业+科研院所”协同创新生态圈。加速推行“科技副总”、产业教授（导师）等模式，促进创新资源向企业集聚。加强“政产学研金”深度融合，探索建立企业参与科技创新和产业创新决策工作机制，充分发挥企业在科技成果转化中的作用。</w:t>
      </w:r>
    </w:p>
    <w:p w14:paraId="7A9EE0BF">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引导企业加大创新投入。</w:t>
      </w:r>
      <w:r>
        <w:rPr>
          <w:rFonts w:hint="eastAsia" w:ascii="仿宋_GB2312" w:hAnsi="仿宋_GB2312" w:eastAsia="仿宋_GB2312" w:cs="仿宋_GB2312"/>
          <w:sz w:val="32"/>
          <w:szCs w:val="32"/>
        </w:rPr>
        <w:t>鼓励中小企业围绕产业链关键需求开展协同技术攻关，构建融通创新的产业生态。推动国有企业将科技创新纳入核心战略，建立研发投入刚性增长约束机制。改革创新投入机制，推行“投贷联动”“先投后股”等新型支持模式，完善首台（套）、首批次、首版次示范应用支持政策。建立企业研发准备金制度，推行企业创新积分制，提高科技政策兑现实效。拓宽科技型中小企业跨境融资、创业投资、科技保险等多元化融资路径，形成与国际接轨的科技金融生态。</w:t>
      </w:r>
    </w:p>
    <w:p w14:paraId="21E39A08">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17" w:name="_Toc28830"/>
      <w:bookmarkStart w:id="318" w:name="_Toc26037"/>
      <w:bookmarkStart w:id="319" w:name="_Toc5780"/>
      <w:bookmarkStart w:id="320" w:name="_Toc32122"/>
      <w:bookmarkStart w:id="321" w:name="_Toc1011677910"/>
      <w:bookmarkStart w:id="322" w:name="_Toc10292"/>
      <w:bookmarkStart w:id="323" w:name="_Toc32186"/>
      <w:bookmarkStart w:id="324" w:name="_Toc29927"/>
      <w:r>
        <w:rPr>
          <w:rFonts w:hint="default" w:ascii="Times New Roman" w:hAnsi="Times New Roman" w:eastAsia="楷体_GB2312" w:cs="Times New Roman"/>
          <w:b/>
          <w:bCs/>
          <w:kern w:val="2"/>
          <w:sz w:val="32"/>
          <w:szCs w:val="32"/>
          <w:lang w:val="en-US" w:eastAsia="zh-CN" w:bidi="ar-SA"/>
        </w:rPr>
        <w:t>第四节  实施“人工智能+”工程</w:t>
      </w:r>
      <w:bookmarkEnd w:id="317"/>
      <w:bookmarkEnd w:id="318"/>
      <w:bookmarkEnd w:id="319"/>
      <w:bookmarkEnd w:id="320"/>
      <w:bookmarkEnd w:id="321"/>
    </w:p>
    <w:p w14:paraId="2A8B61B5">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kern w:val="0"/>
          <w:sz w:val="32"/>
          <w:szCs w:val="24"/>
        </w:rPr>
      </w:pPr>
      <w:r>
        <w:rPr>
          <w:rFonts w:hint="eastAsia" w:ascii="仿宋_GB2312" w:hAnsi="仿宋_GB2312" w:eastAsia="仿宋_GB2312" w:cs="仿宋_GB2312"/>
          <w:b/>
          <w:bCs/>
          <w:kern w:val="0"/>
          <w:sz w:val="32"/>
          <w:szCs w:val="24"/>
        </w:rPr>
        <w:t>构建人工智能赋能底座。</w:t>
      </w:r>
      <w:r>
        <w:rPr>
          <w:rFonts w:hint="eastAsia" w:ascii="仿宋_GB2312" w:hAnsi="仿宋_GB2312" w:eastAsia="仿宋_GB2312" w:cs="仿宋_GB2312"/>
          <w:kern w:val="0"/>
          <w:sz w:val="32"/>
          <w:szCs w:val="24"/>
        </w:rPr>
        <w:t>支持企业构建集算力供应、技术创新、服务优化于一体的智算综合运营服务平台，开放丰富的真实应用场景。培育重点行业大模型，发展“云</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32"/>
          <w:szCs w:val="24"/>
        </w:rPr>
        <w:t>边</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32"/>
          <w:szCs w:val="24"/>
        </w:rPr>
        <w:t>端”模型体系，持续提升泛化能力，打造面向工业细分场景小模型，鼓励大小模型协同创新。推动重点行业大模型企业在海南发展壮大，谋划一批“人工智能+”</w:t>
      </w:r>
      <w:r>
        <w:rPr>
          <w:rFonts w:hint="eastAsia" w:ascii="仿宋_GB2312" w:hAnsi="仿宋_GB2312" w:eastAsia="仿宋_GB2312" w:cs="仿宋_GB2312"/>
          <w:kern w:val="0"/>
          <w:sz w:val="32"/>
          <w:szCs w:val="24"/>
          <w:lang w:eastAsia="zh-CN"/>
        </w:rPr>
        <w:t>“</w:t>
      </w:r>
      <w:r>
        <w:rPr>
          <w:rFonts w:hint="eastAsia" w:ascii="仿宋_GB2312" w:hAnsi="仿宋_GB2312" w:eastAsia="仿宋_GB2312" w:cs="仿宋_GB2312"/>
          <w:kern w:val="0"/>
          <w:sz w:val="32"/>
          <w:szCs w:val="24"/>
        </w:rPr>
        <w:t>揭榜挂帅</w:t>
      </w:r>
      <w:r>
        <w:rPr>
          <w:rFonts w:hint="eastAsia" w:ascii="仿宋_GB2312" w:hAnsi="仿宋_GB2312" w:eastAsia="仿宋_GB2312" w:cs="仿宋_GB2312"/>
          <w:kern w:val="0"/>
          <w:sz w:val="32"/>
          <w:szCs w:val="24"/>
          <w:lang w:eastAsia="zh-CN"/>
        </w:rPr>
        <w:t>”</w:t>
      </w:r>
      <w:r>
        <w:rPr>
          <w:rFonts w:hint="eastAsia" w:ascii="仿宋_GB2312" w:hAnsi="仿宋_GB2312" w:eastAsia="仿宋_GB2312" w:cs="仿宋_GB2312"/>
          <w:kern w:val="0"/>
          <w:sz w:val="32"/>
          <w:szCs w:val="24"/>
        </w:rPr>
        <w:t>项目，培育一批“小而美”的智能原生应用企业和人工智能应用服务商。</w:t>
      </w:r>
    </w:p>
    <w:p w14:paraId="5F0FBA73">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lang w:bidi="ar"/>
        </w:rPr>
      </w:pPr>
      <w:r>
        <w:rPr>
          <w:rFonts w:hint="eastAsia" w:ascii="仿宋_GB2312" w:hAnsi="仿宋_GB2312" w:eastAsia="仿宋_GB2312" w:cs="仿宋_GB2312"/>
          <w:b/>
          <w:bCs/>
          <w:kern w:val="0"/>
          <w:sz w:val="32"/>
          <w:szCs w:val="24"/>
        </w:rPr>
        <w:t>打造特色场景示范。</w:t>
      </w:r>
      <w:r>
        <w:rPr>
          <w:rFonts w:hint="eastAsia" w:ascii="仿宋_GB2312" w:hAnsi="仿宋_GB2312" w:eastAsia="仿宋_GB2312" w:cs="仿宋_GB2312"/>
          <w:sz w:val="32"/>
          <w:szCs w:val="32"/>
          <w:lang w:bidi="ar"/>
        </w:rPr>
        <w:t>聚焦商业航天、深海科技、南繁种业、低空经济等特色产业领域，系统谋划人工智能与产业融合发展的实施路径。推动人工智能技术在发射安全控制、卫星数据处理、航天制造检测等环节应用。加快深海油气勘探、海洋装备试验与运维等应用场景智能化建设。聚焦智慧育种全链条，利用人工智能技术加速作物表型精准鉴定、全基因组选择与智能育种设计，实施农作物智慧种植与管理。布局低空智联基础设施体系，推动人工智能技术与低空产业深度融合发展。</w:t>
      </w:r>
    </w:p>
    <w:p w14:paraId="2FA3C4B8">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lang w:bidi="ar"/>
        </w:rPr>
      </w:pPr>
      <w:r>
        <w:rPr>
          <w:rFonts w:hint="eastAsia" w:ascii="仿宋_GB2312" w:hAnsi="仿宋_GB2312" w:eastAsia="仿宋_GB2312" w:cs="仿宋_GB2312"/>
          <w:b/>
          <w:bCs/>
          <w:sz w:val="32"/>
          <w:szCs w:val="32"/>
          <w:lang w:bidi="ar"/>
        </w:rPr>
        <w:t>推动重点行业应用。</w:t>
      </w:r>
      <w:r>
        <w:rPr>
          <w:rFonts w:hint="eastAsia" w:ascii="仿宋_GB2312" w:hAnsi="仿宋_GB2312" w:eastAsia="仿宋_GB2312" w:cs="仿宋_GB2312"/>
          <w:sz w:val="32"/>
          <w:szCs w:val="32"/>
          <w:lang w:bidi="ar"/>
        </w:rPr>
        <w:t>深度拓展“人工智能+”医疗健康、消费旅游、交通物流等行业应用，加快推动人工智能赋能行业高质量发展。推进人工智能大模型在药械研发、基层诊疗、智能诊断、远程医疗等场景的智能化融合应用。深化人工智能技术在离岛免税、跨境电商、旅游服务等领域集成应用，着力培育智慧零售、沉浸式文旅等新业态。加快人工智能技术在保税仓储、冷链运输、末端配送等环节应用，优化物流资源配置，提升流通效能。</w:t>
      </w:r>
    </w:p>
    <w:p w14:paraId="7A7C45A1">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25" w:name="_Toc1016078829"/>
      <w:bookmarkStart w:id="326" w:name="_Toc20899"/>
      <w:bookmarkStart w:id="327" w:name="_Toc15070"/>
      <w:bookmarkStart w:id="328" w:name="_Toc20492"/>
      <w:bookmarkStart w:id="329" w:name="_Toc6309"/>
      <w:r>
        <w:rPr>
          <w:rFonts w:hint="default" w:ascii="Times New Roman" w:hAnsi="Times New Roman" w:eastAsia="楷体_GB2312" w:cs="Times New Roman"/>
          <w:b/>
          <w:bCs/>
          <w:kern w:val="2"/>
          <w:sz w:val="32"/>
          <w:szCs w:val="32"/>
          <w:lang w:val="en-US" w:eastAsia="zh-CN" w:bidi="ar-SA"/>
        </w:rPr>
        <w:t>第五节  实施产业融合推进工程</w:t>
      </w:r>
      <w:bookmarkEnd w:id="325"/>
      <w:bookmarkEnd w:id="326"/>
      <w:bookmarkEnd w:id="327"/>
      <w:bookmarkEnd w:id="328"/>
      <w:bookmarkEnd w:id="329"/>
    </w:p>
    <w:p w14:paraId="6E46A34D">
      <w:pPr>
        <w:keepNext w:val="0"/>
        <w:keepLines w:val="0"/>
        <w:widowControl w:val="0"/>
        <w:suppressLineNumbers w:val="0"/>
        <w:spacing w:before="0" w:beforeAutospacing="0" w:after="0" w:afterAutospacing="0"/>
        <w:ind w:left="0" w:right="0" w:firstLine="632" w:firstLineChars="200"/>
        <w:jc w:val="both"/>
        <w:rPr>
          <w:rFonts w:hint="eastAsia" w:ascii="仿宋_GB2312" w:hAnsi="仿宋_GB2312" w:eastAsia="仿宋_GB2312" w:cs="仿宋_GB2312"/>
          <w:b/>
          <w:bCs/>
          <w:kern w:val="0"/>
          <w:sz w:val="32"/>
          <w:szCs w:val="32"/>
          <w:shd w:val="clear" w:color="auto" w:fill="FFFFFF"/>
        </w:rPr>
      </w:pPr>
      <w:r>
        <w:rPr>
          <w:rFonts w:hint="eastAsia" w:ascii="仿宋_GB2312" w:hAnsi="仿宋_GB2312" w:eastAsia="仿宋_GB2312" w:cs="仿宋_GB2312"/>
          <w:b/>
          <w:bCs/>
          <w:kern w:val="0"/>
          <w:sz w:val="32"/>
          <w:szCs w:val="24"/>
        </w:rPr>
        <w:t>促进“四化”融合发展。</w:t>
      </w:r>
      <w:r>
        <w:rPr>
          <w:rFonts w:hint="eastAsia" w:ascii="仿宋_GB2312" w:hAnsi="仿宋_GB2312" w:eastAsia="仿宋_GB2312" w:cs="仿宋_GB2312"/>
          <w:kern w:val="0"/>
          <w:sz w:val="32"/>
          <w:szCs w:val="24"/>
        </w:rPr>
        <w:t>加强新型工业化引领和支撑，促进工业化、信息化、城镇化、农业现代化同步发展。推动实体经济和数字经济深度融合，激发数字技术乘数效应。加强新型工业化和新型城镇化良性互动，促进城市群与产业集群耦合交融，探索产城融合共赢模式。推动</w:t>
      </w:r>
      <w:r>
        <w:rPr>
          <w:rFonts w:hint="eastAsia" w:ascii="仿宋_GB2312" w:hAnsi="仿宋_GB2312" w:eastAsia="仿宋_GB2312" w:cs="仿宋_GB2312"/>
          <w:kern w:val="0"/>
          <w:sz w:val="32"/>
          <w:szCs w:val="32"/>
          <w:lang w:val="en-US" w:eastAsia="zh-CN" w:bidi="ar"/>
        </w:rPr>
        <w:t>新型工业化与</w:t>
      </w:r>
      <w:r>
        <w:rPr>
          <w:rFonts w:hint="eastAsia" w:ascii="仿宋_GB2312" w:hAnsi="仿宋_GB2312" w:eastAsia="仿宋_GB2312" w:cs="仿宋_GB2312"/>
          <w:kern w:val="0"/>
          <w:sz w:val="32"/>
          <w:szCs w:val="24"/>
        </w:rPr>
        <w:t>农业现代化相互协同，改造升级农产品加工技术，提高农机装备、化肥、农药兽药等保障能力。</w:t>
      </w:r>
    </w:p>
    <w:p w14:paraId="079FCF04">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b/>
          <w:bCs/>
          <w:kern w:val="0"/>
          <w:sz w:val="32"/>
          <w:szCs w:val="32"/>
          <w:shd w:val="clear" w:color="auto" w:fill="FFFFFF"/>
        </w:rPr>
        <w:t>加强四大主导产业融合发展。</w:t>
      </w:r>
      <w:r>
        <w:rPr>
          <w:rFonts w:hint="eastAsia" w:ascii="仿宋_GB2312" w:hAnsi="仿宋_GB2312" w:eastAsia="仿宋_GB2312" w:cs="仿宋_GB2312"/>
          <w:kern w:val="0"/>
          <w:sz w:val="32"/>
          <w:szCs w:val="32"/>
        </w:rPr>
        <w:t>推动高新技术产业与旅游业、现代服务业、热带特色高效农业融合发展。加快布局智慧农业、定制农业，提升热带农产品附加值；</w:t>
      </w:r>
      <w:r>
        <w:rPr>
          <w:rFonts w:hint="eastAsia" w:ascii="仿宋_GB2312" w:hAnsi="仿宋_GB2312" w:eastAsia="仿宋_GB2312" w:cs="仿宋_GB2312"/>
          <w:kern w:val="0"/>
          <w:sz w:val="32"/>
          <w:szCs w:val="32"/>
          <w:lang w:eastAsia="zh-CN"/>
        </w:rPr>
        <w:t>推</w:t>
      </w:r>
      <w:r>
        <w:rPr>
          <w:rFonts w:hint="eastAsia" w:ascii="仿宋_GB2312" w:hAnsi="仿宋_GB2312" w:eastAsia="仿宋_GB2312" w:cs="仿宋_GB2312"/>
          <w:kern w:val="0"/>
          <w:sz w:val="32"/>
          <w:szCs w:val="32"/>
          <w:lang w:eastAsia="zh"/>
        </w:rPr>
        <w:t>动</w:t>
      </w:r>
      <w:r>
        <w:rPr>
          <w:rFonts w:hint="eastAsia" w:ascii="仿宋_GB2312" w:hAnsi="仿宋_GB2312" w:eastAsia="仿宋_GB2312" w:cs="仿宋_GB2312"/>
          <w:kern w:val="0"/>
          <w:sz w:val="32"/>
          <w:szCs w:val="32"/>
        </w:rPr>
        <w:t>“科技+旅游”“无人驾驶+旅游”，开发沉浸式体验、智慧文旅等新业态；促进高新技术在金融、物流、医疗等现代服务业领域的集成应用，培育服务贸易新优势。</w:t>
      </w:r>
      <w:r>
        <w:rPr>
          <w:rFonts w:hint="eastAsia" w:ascii="仿宋_GB2312" w:hAnsi="仿宋_GB2312" w:eastAsia="仿宋_GB2312" w:cs="仿宋_GB2312"/>
          <w:kern w:val="0"/>
          <w:sz w:val="32"/>
          <w:szCs w:val="32"/>
          <w:shd w:val="clear" w:color="auto" w:fill="FFFFFF"/>
        </w:rPr>
        <w:t>立足商业航天、深海科技、南繁种业等产业资源禀赋，加快与数字经济、石化新材料、现代生物医药等跨领域、跨产业、跨集群深度融合，打通高新技术产业供需内循环。</w:t>
      </w:r>
    </w:p>
    <w:p w14:paraId="7B568CA8">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30" w:name="_Toc20126"/>
      <w:bookmarkStart w:id="331" w:name="_Toc5338"/>
      <w:bookmarkStart w:id="332" w:name="_Toc600150274"/>
      <w:bookmarkStart w:id="333" w:name="_Toc16978"/>
      <w:bookmarkStart w:id="334" w:name="_Toc12977"/>
      <w:r>
        <w:rPr>
          <w:rFonts w:hint="default" w:ascii="Times New Roman" w:hAnsi="Times New Roman" w:eastAsia="楷体_GB2312" w:cs="Times New Roman"/>
          <w:b/>
          <w:bCs/>
          <w:kern w:val="2"/>
          <w:sz w:val="32"/>
          <w:szCs w:val="32"/>
          <w:lang w:val="en-US" w:eastAsia="zh-CN" w:bidi="ar-SA"/>
        </w:rPr>
        <w:t>第六节  实施开放合作深化工程</w:t>
      </w:r>
      <w:bookmarkEnd w:id="330"/>
      <w:bookmarkEnd w:id="331"/>
      <w:bookmarkEnd w:id="332"/>
      <w:bookmarkEnd w:id="333"/>
      <w:bookmarkEnd w:id="334"/>
    </w:p>
    <w:p w14:paraId="2AB960E2">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强化区域产业合作。</w:t>
      </w:r>
      <w:r>
        <w:rPr>
          <w:rFonts w:hint="eastAsia" w:ascii="仿宋_GB2312" w:hAnsi="仿宋_GB2312" w:eastAsia="仿宋_GB2312" w:cs="仿宋_GB2312"/>
          <w:sz w:val="32"/>
          <w:szCs w:val="32"/>
          <w:lang w:eastAsia="zh"/>
        </w:rPr>
        <w:t>探索</w:t>
      </w:r>
      <w:r>
        <w:rPr>
          <w:rFonts w:hint="eastAsia" w:ascii="仿宋_GB2312" w:hAnsi="仿宋_GB2312" w:eastAsia="仿宋_GB2312" w:cs="仿宋_GB2312"/>
          <w:kern w:val="0"/>
          <w:sz w:val="32"/>
          <w:szCs w:val="32"/>
          <w:shd w:val="clear" w:color="auto" w:fill="FFFFFF"/>
        </w:rPr>
        <w:t>以承接产业转移促进产业转型模式，推动产业发展从流量增长向价值创造转变。</w:t>
      </w:r>
      <w:r>
        <w:rPr>
          <w:rFonts w:hint="eastAsia" w:ascii="仿宋_GB2312" w:hAnsi="仿宋_GB2312" w:eastAsia="仿宋_GB2312" w:cs="仿宋_GB2312"/>
          <w:kern w:val="0"/>
          <w:sz w:val="32"/>
          <w:szCs w:val="32"/>
          <w:shd w:val="clear" w:color="auto" w:fill="FFFFFF"/>
          <w:lang w:eastAsia="zh"/>
        </w:rPr>
        <w:t>深化</w:t>
      </w:r>
      <w:r>
        <w:rPr>
          <w:rFonts w:hint="eastAsia" w:ascii="仿宋_GB2312" w:hAnsi="仿宋_GB2312" w:eastAsia="仿宋_GB2312" w:cs="仿宋_GB2312"/>
          <w:sz w:val="32"/>
          <w:szCs w:val="32"/>
        </w:rPr>
        <w:t>湘琼、粤琼、浙琼等</w:t>
      </w:r>
      <w:r>
        <w:rPr>
          <w:rFonts w:hint="eastAsia" w:ascii="仿宋_GB2312" w:hAnsi="仿宋_GB2312" w:eastAsia="仿宋_GB2312" w:cs="仿宋_GB2312"/>
          <w:sz w:val="32"/>
          <w:szCs w:val="32"/>
          <w:lang w:eastAsia="zh-CN"/>
        </w:rPr>
        <w:t>区域产业合作</w:t>
      </w:r>
      <w:r>
        <w:rPr>
          <w:rFonts w:hint="eastAsia" w:ascii="仿宋_GB2312" w:hAnsi="仿宋_GB2312" w:eastAsia="仿宋_GB2312" w:cs="仿宋_GB2312"/>
          <w:sz w:val="32"/>
          <w:szCs w:val="32"/>
        </w:rPr>
        <w:t>，聚焦</w:t>
      </w:r>
      <w:r>
        <w:rPr>
          <w:rFonts w:hint="eastAsia" w:ascii="仿宋_GB2312" w:hAnsi="仿宋_GB2312" w:eastAsia="仿宋_GB2312" w:cs="仿宋_GB2312"/>
          <w:sz w:val="32"/>
          <w:szCs w:val="32"/>
          <w:lang w:val="en-US" w:eastAsia="zh-CN"/>
        </w:rPr>
        <w:t>现代</w:t>
      </w:r>
      <w:r>
        <w:rPr>
          <w:rFonts w:hint="eastAsia" w:ascii="仿宋_GB2312" w:hAnsi="仿宋_GB2312" w:eastAsia="仿宋_GB2312" w:cs="仿宋_GB2312"/>
          <w:sz w:val="32"/>
          <w:szCs w:val="32"/>
        </w:rPr>
        <w:t>生物医药、数字经济、装备制造等重点领域落地优质产业项目。</w:t>
      </w:r>
      <w:r>
        <w:rPr>
          <w:rFonts w:hint="eastAsia" w:ascii="仿宋_GB2312" w:hAnsi="仿宋_GB2312" w:eastAsia="仿宋_GB2312" w:cs="仿宋_GB2312"/>
          <w:kern w:val="0"/>
          <w:sz w:val="32"/>
          <w:szCs w:val="32"/>
          <w:shd w:val="clear" w:color="auto" w:fill="FFFFFF"/>
        </w:rPr>
        <w:t>强化与粤港澳大湾区的“研发+转化”链式合作，</w:t>
      </w:r>
      <w:r>
        <w:rPr>
          <w:rFonts w:hint="eastAsia" w:ascii="仿宋_GB2312" w:hAnsi="仿宋_GB2312" w:eastAsia="仿宋_GB2312" w:cs="仿宋_GB2312"/>
          <w:sz w:val="32"/>
          <w:szCs w:val="32"/>
        </w:rPr>
        <w:t>促进“港”“湾”联动向纵深发展。推动京津冀、长三角、长江经济带等优势产业、高端要素与</w:t>
      </w:r>
      <w:r>
        <w:rPr>
          <w:rFonts w:hint="eastAsia" w:ascii="仿宋_GB2312" w:hAnsi="仿宋_GB2312" w:eastAsia="仿宋_GB2312" w:cs="仿宋_GB2312"/>
          <w:sz w:val="32"/>
          <w:szCs w:val="32"/>
          <w:lang w:eastAsia="zh-CN"/>
        </w:rPr>
        <w:t>海南自由贸易港</w:t>
      </w:r>
      <w:r>
        <w:rPr>
          <w:rFonts w:hint="eastAsia" w:ascii="仿宋_GB2312" w:hAnsi="仿宋_GB2312" w:eastAsia="仿宋_GB2312" w:cs="仿宋_GB2312"/>
          <w:sz w:val="32"/>
          <w:szCs w:val="32"/>
        </w:rPr>
        <w:t>政策红利深度耦合，探索在</w:t>
      </w:r>
      <w:r>
        <w:rPr>
          <w:rFonts w:hint="eastAsia" w:ascii="仿宋_GB2312" w:hAnsi="仿宋_GB2312" w:eastAsia="仿宋_GB2312" w:cs="仿宋_GB2312"/>
          <w:sz w:val="32"/>
          <w:szCs w:val="32"/>
          <w:lang w:val="en-US" w:eastAsia="zh-CN"/>
        </w:rPr>
        <w:t>清洁</w:t>
      </w:r>
      <w:r>
        <w:rPr>
          <w:rFonts w:hint="eastAsia" w:ascii="仿宋_GB2312" w:hAnsi="仿宋_GB2312" w:eastAsia="仿宋_GB2312" w:cs="仿宋_GB2312"/>
          <w:sz w:val="32"/>
          <w:szCs w:val="32"/>
        </w:rPr>
        <w:t>能源、人工智能、智能制造等领域，协同开展创新转化、场景应用及国际市场开拓等合作。着力构建“研发在内陆、转化在海南、市场在全球”的联动发展模式，将海南打造成为服务国内企业出海的供应链枢纽。</w:t>
      </w:r>
    </w:p>
    <w:tbl>
      <w:tblPr>
        <w:tblStyle w:val="27"/>
        <w:tblW w:w="5000" w:type="pct"/>
        <w:tblInd w:w="0" w:type="dxa"/>
        <w:tblLayout w:type="autofit"/>
        <w:tblCellMar>
          <w:top w:w="0" w:type="dxa"/>
          <w:left w:w="0" w:type="dxa"/>
          <w:bottom w:w="0" w:type="dxa"/>
          <w:right w:w="0" w:type="dxa"/>
        </w:tblCellMar>
      </w:tblPr>
      <w:tblGrid>
        <w:gridCol w:w="9060"/>
      </w:tblGrid>
      <w:tr w14:paraId="4AC91D3C">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E40A9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240" w:lineRule="auto"/>
              <w:ind w:left="0" w:right="0" w:firstLine="0" w:firstLineChars="0"/>
              <w:jc w:val="center"/>
              <w:textAlignment w:val="auto"/>
              <w:outlineLvl w:val="9"/>
              <w:rPr>
                <w:rFonts w:hint="eastAsia" w:ascii="仿宋_GB2312" w:hAnsi="仿宋_GB2312" w:eastAsia="仿宋_GB2312" w:cs="仿宋_GB2312"/>
                <w:b/>
                <w:kern w:val="0"/>
                <w:sz w:val="28"/>
                <w:szCs w:val="28"/>
              </w:rPr>
            </w:pPr>
            <w:r>
              <w:rPr>
                <w:rFonts w:hint="eastAsia" w:ascii="仿宋_GB2312" w:hAnsi="仿宋_GB2312" w:eastAsia="仿宋_GB2312" w:cs="仿宋_GB2312"/>
                <w:b/>
                <w:sz w:val="28"/>
                <w:szCs w:val="28"/>
              </w:rPr>
              <w:t>专栏1</w:t>
            </w:r>
            <w:r>
              <w:rPr>
                <w:rFonts w:hint="eastAsia" w:ascii="仿宋_GB2312" w:hAnsi="仿宋_GB2312" w:eastAsia="仿宋_GB2312" w:cs="仿宋_GB2312"/>
                <w:b/>
                <w:sz w:val="28"/>
                <w:szCs w:val="28"/>
                <w:lang w:val="en-US" w:eastAsia="zh-CN"/>
              </w:rPr>
              <w:t>5</w:t>
            </w:r>
            <w:r>
              <w:rPr>
                <w:rFonts w:hint="eastAsia" w:ascii="仿宋_GB2312" w:hAnsi="仿宋_GB2312" w:eastAsia="仿宋_GB2312" w:cs="仿宋_GB2312"/>
                <w:b/>
                <w:sz w:val="28"/>
                <w:szCs w:val="28"/>
              </w:rPr>
              <w:t xml:space="preserve"> 国内区域产业合作园区建设示范</w:t>
            </w:r>
          </w:p>
        </w:tc>
      </w:tr>
      <w:tr w14:paraId="20B90D74">
        <w:tblPrEx>
          <w:tblCellMar>
            <w:top w:w="0" w:type="dxa"/>
            <w:left w:w="0" w:type="dxa"/>
            <w:bottom w:w="0" w:type="dxa"/>
            <w:right w:w="0" w:type="dxa"/>
          </w:tblCellMar>
        </w:tblPrEx>
        <w:trPr>
          <w:trHeight w:val="567" w:hRule="atLeast"/>
        </w:trPr>
        <w:tc>
          <w:tcPr>
            <w:tcW w:w="500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BC6A5E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湘琼合作。</w:t>
            </w:r>
            <w:r>
              <w:rPr>
                <w:rFonts w:hint="eastAsia" w:ascii="仿宋_GB2312" w:hAnsi="仿宋_GB2312" w:eastAsia="仿宋_GB2312" w:cs="仿宋_GB2312"/>
                <w:b w:val="0"/>
                <w:bCs w:val="0"/>
                <w:sz w:val="28"/>
                <w:szCs w:val="28"/>
              </w:rPr>
              <w:t>以湘琼先进制造业共建产业园为主要载体，重点围绕先进制造业、非洲非资源性产品精深加工、珠宝玉石加工等产业，打造面向东南亚、中东等重点海外市场的内陆制造与沿海开放合作新标杆。</w:t>
            </w:r>
          </w:p>
          <w:p w14:paraId="1FDA1A4A">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粤琼合作。</w:t>
            </w:r>
            <w:r>
              <w:rPr>
                <w:rFonts w:hint="eastAsia" w:ascii="仿宋_GB2312" w:hAnsi="仿宋_GB2312" w:eastAsia="仿宋_GB2312" w:cs="仿宋_GB2312"/>
                <w:b w:val="0"/>
                <w:bCs w:val="0"/>
                <w:sz w:val="28"/>
                <w:szCs w:val="28"/>
              </w:rPr>
              <w:t>以广东海南先进制造业合作产业园为主要载体，重点围绕现代生物医药、新一代电子信息产业、高端装备制造、特色食品加工及美妆大健康等产业，打造琼州海峡一体化高质量发展示范先行区。</w:t>
            </w:r>
          </w:p>
          <w:p w14:paraId="14325BFF">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深儋合作。</w:t>
            </w:r>
            <w:r>
              <w:rPr>
                <w:rFonts w:hint="eastAsia" w:ascii="仿宋_GB2312" w:hAnsi="仿宋_GB2312" w:eastAsia="仿宋_GB2312" w:cs="仿宋_GB2312"/>
                <w:b w:val="0"/>
                <w:bCs w:val="0"/>
                <w:sz w:val="28"/>
                <w:szCs w:val="28"/>
              </w:rPr>
              <w:t>以儋州工业园为主要载体，聚焦“研发创新+高端制造+现代服务”，重点布局数字经济、高端食品、大健康、低空经济等产业，打造面向东南亚的科创门户及先进制造业集群。</w:t>
            </w:r>
          </w:p>
          <w:p w14:paraId="5183D563">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浙琼合作。</w:t>
            </w:r>
            <w:r>
              <w:rPr>
                <w:rFonts w:hint="eastAsia" w:ascii="仿宋_GB2312" w:hAnsi="仿宋_GB2312" w:eastAsia="仿宋_GB2312" w:cs="仿宋_GB2312"/>
                <w:b w:val="0"/>
                <w:bCs w:val="0"/>
                <w:sz w:val="28"/>
                <w:szCs w:val="28"/>
              </w:rPr>
              <w:t>以浙琼合作产业园为主要载体，重点围绕数字经济、跨境电商、游戏出海等产业领域，探索“浙江研发+海南出海”合作模式，打造浙商全球化发展前沿总部基地和海南自由贸易港企业出海先行地。</w:t>
            </w:r>
          </w:p>
          <w:p w14:paraId="6A6597F6">
            <w:pPr>
              <w:keepNext w:val="0"/>
              <w:keepLines w:val="0"/>
              <w:pageBreakBefore w:val="0"/>
              <w:widowControl w:val="0"/>
              <w:suppressLineNumbers w:val="0"/>
              <w:kinsoku/>
              <w:wordWrap/>
              <w:overflowPunct w:val="0"/>
              <w:topLinePunct w:val="0"/>
              <w:autoSpaceDE/>
              <w:autoSpaceDN/>
              <w:bidi w:val="0"/>
              <w:adjustRightInd w:val="0"/>
              <w:snapToGrid w:val="0"/>
              <w:spacing w:beforeAutospacing="0" w:afterAutospacing="0" w:line="560" w:lineRule="exact"/>
              <w:ind w:left="0" w:right="0" w:firstLine="552"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琼港合作。</w:t>
            </w:r>
            <w:r>
              <w:rPr>
                <w:rFonts w:hint="eastAsia" w:ascii="仿宋_GB2312" w:hAnsi="仿宋_GB2312" w:eastAsia="仿宋_GB2312" w:cs="仿宋_GB2312"/>
                <w:b w:val="0"/>
                <w:bCs w:val="0"/>
                <w:sz w:val="28"/>
                <w:szCs w:val="28"/>
              </w:rPr>
              <w:t>以海口、三亚琼港合作示范区为主要载体，重点围绕黄金珠宝、文化影视、专业服务、零售贸易、高端医疗等产业，进一步推进琼港两地规则衔接、制度对接和经济合作，打造制度集成创新先行区。</w:t>
            </w:r>
          </w:p>
        </w:tc>
      </w:tr>
    </w:tbl>
    <w:p w14:paraId="092A073A">
      <w:pPr>
        <w:keepNext w:val="0"/>
        <w:keepLines w:val="0"/>
        <w:pageBreakBefore w:val="0"/>
        <w:widowControl w:val="0"/>
        <w:kinsoku/>
        <w:wordWrap/>
        <w:overflowPunct w:val="0"/>
        <w:topLinePunct w:val="0"/>
        <w:autoSpaceDE/>
        <w:autoSpaceDN/>
        <w:bidi w:val="0"/>
        <w:adjustRightInd w:val="0"/>
        <w:snapToGrid w:val="0"/>
        <w:spacing w:line="596" w:lineRule="exact"/>
        <w:ind w:left="0"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深化国际开放合作。</w:t>
      </w:r>
      <w:r>
        <w:rPr>
          <w:rFonts w:hint="eastAsia" w:ascii="仿宋_GB2312" w:hAnsi="仿宋_GB2312" w:eastAsia="仿宋_GB2312" w:cs="仿宋_GB2312"/>
          <w:sz w:val="32"/>
          <w:szCs w:val="32"/>
        </w:rPr>
        <w:t>发挥内外双循环重要交汇点比较优势，面向全球汇聚创新资源，打造“两个市场、两种资源”全球配置</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形成内外贯通、协同高效的高质量发展新范式。加强与东南亚等国家产业链供应链对接，支持企业拓展“一带一路”国际市场，加快培育跨境电商、游戏出海、来数加工等外向型新业态。吸引国际优质企业、科研机构在琼设立研发中心、中试平台及制造基地。高水平举办中国国际消费品博览会、博鳌亚洲论坛</w:t>
      </w:r>
      <w:r>
        <w:rPr>
          <w:rFonts w:hint="eastAsia" w:ascii="仿宋_GB2312" w:hAnsi="仿宋_GB2312" w:eastAsia="仿宋_GB2312" w:cs="仿宋_GB2312"/>
          <w:sz w:val="32"/>
          <w:szCs w:val="32"/>
          <w:lang w:val="en-US" w:eastAsia="zh-CN"/>
        </w:rPr>
        <w:t>年会</w:t>
      </w:r>
      <w:r>
        <w:rPr>
          <w:rFonts w:hint="eastAsia" w:ascii="仿宋_GB2312" w:hAnsi="仿宋_GB2312" w:eastAsia="仿宋_GB2312" w:cs="仿宋_GB2312"/>
          <w:sz w:val="32"/>
          <w:szCs w:val="32"/>
        </w:rPr>
        <w:t>、崖州湾知识产权论坛、世界新能源汽车大会等重大活动。积极参与RCEP（《区域全面经济伙伴关系协定》）、CPTPP（《全面与进步跨太平洋伙伴关系协定》）等国际经贸规则的对接，在深海</w:t>
      </w:r>
      <w:r>
        <w:rPr>
          <w:rFonts w:hint="eastAsia" w:ascii="仿宋_GB2312" w:hAnsi="仿宋_GB2312" w:eastAsia="仿宋_GB2312" w:cs="仿宋_GB2312"/>
          <w:sz w:val="32"/>
          <w:szCs w:val="32"/>
          <w:lang w:eastAsia="zh-CN"/>
        </w:rPr>
        <w:t>科技</w:t>
      </w:r>
      <w:r>
        <w:rPr>
          <w:rFonts w:hint="eastAsia" w:ascii="仿宋_GB2312" w:hAnsi="仿宋_GB2312" w:eastAsia="仿宋_GB2312" w:cs="仿宋_GB2312"/>
          <w:sz w:val="32"/>
          <w:szCs w:val="32"/>
        </w:rPr>
        <w:t>、南繁种业、数字</w:t>
      </w:r>
      <w:r>
        <w:rPr>
          <w:rFonts w:hint="eastAsia" w:ascii="仿宋_GB2312" w:hAnsi="仿宋_GB2312" w:eastAsia="仿宋_GB2312" w:cs="仿宋_GB2312"/>
          <w:sz w:val="32"/>
          <w:szCs w:val="32"/>
          <w:lang w:eastAsia="zh-CN"/>
        </w:rPr>
        <w:t>经济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现代</w:t>
      </w:r>
      <w:r>
        <w:rPr>
          <w:rFonts w:hint="eastAsia" w:ascii="仿宋_GB2312" w:hAnsi="仿宋_GB2312" w:eastAsia="仿宋_GB2312" w:cs="仿宋_GB2312"/>
          <w:sz w:val="32"/>
          <w:szCs w:val="32"/>
        </w:rPr>
        <w:t>生物医药等领域推动国际标准互认。</w:t>
      </w:r>
    </w:p>
    <w:bookmarkEnd w:id="322"/>
    <w:bookmarkEnd w:id="323"/>
    <w:bookmarkEnd w:id="324"/>
    <w:p w14:paraId="3BA2A054">
      <w:pPr>
        <w:keepNext w:val="0"/>
        <w:keepLines w:val="0"/>
        <w:pageBreakBefore w:val="0"/>
        <w:widowControl w:val="0"/>
        <w:kinsoku/>
        <w:wordWrap/>
        <w:overflowPunct w:val="0"/>
        <w:topLinePunct w:val="0"/>
        <w:autoSpaceDE/>
        <w:autoSpaceDN/>
        <w:bidi w:val="0"/>
        <w:adjustRightInd w:val="0"/>
        <w:snapToGrid w:val="0"/>
        <w:spacing w:before="313" w:beforeLines="100" w:after="313" w:afterLines="100" w:line="596" w:lineRule="exact"/>
        <w:jc w:val="center"/>
        <w:textAlignment w:val="auto"/>
        <w:outlineLvl w:val="0"/>
        <w:rPr>
          <w:rFonts w:hint="default" w:ascii="Times New Roman" w:hAnsi="Times New Roman" w:eastAsia="方正小标宋简体" w:cs="Times New Roman"/>
          <w:sz w:val="36"/>
          <w:szCs w:val="36"/>
        </w:rPr>
      </w:pPr>
      <w:bookmarkStart w:id="335" w:name="_Toc2263"/>
      <w:bookmarkStart w:id="336" w:name="_Toc4296"/>
      <w:bookmarkStart w:id="337" w:name="_Toc21405"/>
      <w:bookmarkStart w:id="338" w:name="_Toc120023916"/>
      <w:bookmarkStart w:id="339" w:name="_Toc25033"/>
      <w:bookmarkStart w:id="340" w:name="_Toc5895"/>
      <w:bookmarkStart w:id="341" w:name="_Toc129785513"/>
      <w:bookmarkStart w:id="342" w:name="_Toc735129856"/>
      <w:bookmarkStart w:id="343" w:name="_Toc25333"/>
      <w:bookmarkStart w:id="344" w:name="_Toc15148"/>
      <w:bookmarkStart w:id="345" w:name="_Toc21844"/>
      <w:bookmarkStart w:id="346" w:name="_Toc991"/>
      <w:bookmarkStart w:id="347" w:name="_Toc19175"/>
      <w:bookmarkStart w:id="348" w:name="_Toc16809"/>
      <w:r>
        <w:rPr>
          <w:rFonts w:hint="default" w:ascii="Times New Roman" w:hAnsi="Times New Roman" w:eastAsia="方正小标宋简体" w:cs="Times New Roman"/>
          <w:sz w:val="36"/>
          <w:szCs w:val="36"/>
        </w:rPr>
        <w:t>第五章</w:t>
      </w:r>
      <w:r>
        <w:rPr>
          <w:rFonts w:hint="default"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rPr>
        <w:t xml:space="preserve"> 保障举措</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3461C121">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49" w:name="_Toc23270"/>
      <w:bookmarkStart w:id="350" w:name="_Toc417278159"/>
      <w:bookmarkStart w:id="351" w:name="_Toc31287"/>
      <w:bookmarkStart w:id="352" w:name="_Toc8797"/>
      <w:bookmarkStart w:id="353" w:name="_Toc10584"/>
      <w:bookmarkStart w:id="354" w:name="_Toc25066"/>
      <w:bookmarkStart w:id="355" w:name="_Toc9400"/>
      <w:bookmarkStart w:id="356" w:name="_Toc27410"/>
      <w:bookmarkStart w:id="357" w:name="_Toc10580"/>
      <w:bookmarkStart w:id="358" w:name="_Toc4951"/>
      <w:bookmarkStart w:id="359" w:name="_Toc18121"/>
      <w:bookmarkStart w:id="360" w:name="_Toc19781"/>
      <w:bookmarkStart w:id="361" w:name="_Toc129785514"/>
      <w:r>
        <w:rPr>
          <w:rFonts w:hint="default" w:ascii="Times New Roman" w:hAnsi="Times New Roman" w:eastAsia="楷体_GB2312" w:cs="Times New Roman"/>
          <w:b/>
          <w:bCs/>
          <w:kern w:val="2"/>
          <w:sz w:val="32"/>
          <w:szCs w:val="32"/>
          <w:lang w:val="en-US" w:eastAsia="zh-CN" w:bidi="ar-SA"/>
        </w:rPr>
        <w:t>第一节  统筹组织实施</w:t>
      </w:r>
      <w:bookmarkEnd w:id="349"/>
      <w:bookmarkEnd w:id="350"/>
      <w:bookmarkEnd w:id="351"/>
      <w:bookmarkEnd w:id="352"/>
      <w:bookmarkEnd w:id="353"/>
      <w:bookmarkEnd w:id="354"/>
      <w:bookmarkEnd w:id="355"/>
      <w:bookmarkEnd w:id="356"/>
      <w:bookmarkEnd w:id="357"/>
      <w:bookmarkEnd w:id="358"/>
      <w:bookmarkEnd w:id="359"/>
      <w:bookmarkEnd w:id="360"/>
    </w:p>
    <w:p w14:paraId="5D63C879">
      <w:pPr>
        <w:keepNext w:val="0"/>
        <w:keepLines w:val="0"/>
        <w:pageBreakBefore w:val="0"/>
        <w:widowControl w:val="0"/>
        <w:kinsoku/>
        <w:wordWrap/>
        <w:overflowPunct w:val="0"/>
        <w:topLinePunct w:val="0"/>
        <w:autoSpaceDE/>
        <w:autoSpaceDN/>
        <w:bidi w:val="0"/>
        <w:adjustRightInd w:val="0"/>
        <w:snapToGrid w:val="0"/>
        <w:spacing w:afterAutospacing="0" w:line="596" w:lineRule="exact"/>
        <w:ind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坚持党对高新技术产业发展的领导，</w:t>
      </w:r>
      <w:r>
        <w:rPr>
          <w:rFonts w:hint="eastAsia" w:ascii="仿宋_GB2312" w:hAnsi="仿宋_GB2312" w:eastAsia="仿宋_GB2312" w:cs="仿宋_GB2312"/>
          <w:sz w:val="32"/>
          <w:szCs w:val="32"/>
        </w:rPr>
        <w:t>健全高新技术产业工作专班机制，统筹推进规划任务落实。强化规划引领，紧扣国家战略部署，推动重大任务、重点项目落地见效。强化协同联动，督促各部门落实有关责任和任务，指导各有关市县因地制宜推动高新技术产业高质量发展。完善产业统计、监测及评估制度，适时开展中期评估，动态优化目标任务体系，确保规划实施精准高效。</w:t>
      </w:r>
    </w:p>
    <w:p w14:paraId="1DA20FB1">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62" w:name="_Toc26738"/>
      <w:bookmarkStart w:id="363" w:name="_Toc9944"/>
      <w:bookmarkStart w:id="364" w:name="_Toc18089"/>
      <w:bookmarkStart w:id="365" w:name="_Toc2127"/>
      <w:bookmarkStart w:id="366" w:name="_Toc439"/>
      <w:bookmarkStart w:id="367" w:name="_Toc14427"/>
      <w:bookmarkStart w:id="368" w:name="_Toc21700"/>
      <w:bookmarkStart w:id="369" w:name="_Toc5254"/>
      <w:bookmarkStart w:id="370" w:name="_Toc1778663067"/>
      <w:bookmarkStart w:id="371" w:name="_Toc25629"/>
      <w:bookmarkStart w:id="372" w:name="_Toc9214"/>
      <w:r>
        <w:rPr>
          <w:rFonts w:hint="default" w:ascii="Times New Roman" w:hAnsi="Times New Roman" w:eastAsia="楷体_GB2312" w:cs="Times New Roman"/>
          <w:b/>
          <w:bCs/>
          <w:kern w:val="2"/>
          <w:sz w:val="32"/>
          <w:szCs w:val="32"/>
          <w:lang w:val="en-US" w:eastAsia="zh-CN" w:bidi="ar-SA"/>
        </w:rPr>
        <w:t>第二节  夯实要素保障</w:t>
      </w:r>
      <w:bookmarkEnd w:id="362"/>
      <w:bookmarkEnd w:id="363"/>
      <w:bookmarkEnd w:id="364"/>
      <w:bookmarkEnd w:id="365"/>
      <w:bookmarkEnd w:id="366"/>
      <w:bookmarkEnd w:id="367"/>
      <w:bookmarkEnd w:id="368"/>
      <w:bookmarkEnd w:id="369"/>
      <w:bookmarkEnd w:id="370"/>
      <w:bookmarkEnd w:id="371"/>
      <w:bookmarkEnd w:id="372"/>
    </w:p>
    <w:p w14:paraId="1A6AD49C">
      <w:pPr>
        <w:keepNext w:val="0"/>
        <w:keepLines w:val="0"/>
        <w:pageBreakBefore w:val="0"/>
        <w:widowControl w:val="0"/>
        <w:kinsoku/>
        <w:wordWrap/>
        <w:overflowPunct w:val="0"/>
        <w:topLinePunct w:val="0"/>
        <w:autoSpaceDE/>
        <w:autoSpaceDN/>
        <w:bidi w:val="0"/>
        <w:adjustRightInd w:val="0"/>
        <w:snapToGrid w:val="0"/>
        <w:spacing w:afterAutospacing="0" w:line="596" w:lineRule="exact"/>
        <w:ind w:firstLine="632" w:firstLineChars="200"/>
        <w:jc w:val="both"/>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sz w:val="32"/>
          <w:szCs w:val="32"/>
        </w:rPr>
        <w:t>统筹运用“三个立法权”，进一步提升政策举措与要素配置的精准性和有效性。</w:t>
      </w:r>
      <w:r>
        <w:rPr>
          <w:rFonts w:hint="eastAsia" w:ascii="仿宋_GB2312" w:hAnsi="仿宋_GB2312" w:eastAsia="仿宋_GB2312" w:cs="仿宋_GB2312"/>
          <w:kern w:val="0"/>
          <w:sz w:val="32"/>
          <w:szCs w:val="32"/>
          <w:lang w:bidi="ar"/>
        </w:rPr>
        <w:t>坚持资源要素跟着项目走，推动土地、能源等供应方式创新与有效利用，依法依规保障产业项目、园区及孵化器建设需求，优化产业园区要素配置。提高电力现货市场比例，</w:t>
      </w:r>
      <w:r>
        <w:rPr>
          <w:rFonts w:hint="eastAsia" w:ascii="仿宋_GB2312" w:hAnsi="仿宋_GB2312" w:eastAsia="仿宋_GB2312" w:cs="仿宋_GB2312"/>
          <w:color w:val="auto"/>
          <w:kern w:val="0"/>
          <w:sz w:val="32"/>
          <w:szCs w:val="32"/>
          <w:lang w:bidi="ar"/>
        </w:rPr>
        <w:t>探索发展非电网直供电，</w:t>
      </w:r>
      <w:r>
        <w:rPr>
          <w:rFonts w:hint="eastAsia" w:ascii="仿宋_GB2312" w:hAnsi="仿宋_GB2312" w:eastAsia="仿宋_GB2312" w:cs="仿宋_GB2312"/>
          <w:kern w:val="0"/>
          <w:sz w:val="32"/>
          <w:szCs w:val="32"/>
          <w:lang w:bidi="ar"/>
        </w:rPr>
        <w:t>优化电力网络布局，降低企业用电成本。加快完善港口、机场等出岛通道建设，保障物流体系高效运行，降低全社会物流成本。</w:t>
      </w:r>
      <w:r>
        <w:rPr>
          <w:rFonts w:hint="eastAsia" w:ascii="仿宋_GB2312" w:hAnsi="仿宋_GB2312" w:eastAsia="仿宋_GB2312" w:cs="仿宋_GB2312"/>
          <w:kern w:val="2"/>
          <w:sz w:val="32"/>
          <w:szCs w:val="32"/>
          <w:lang w:val="en-US" w:eastAsia="zh-CN" w:bidi="ar"/>
        </w:rPr>
        <w:t>加强海洋开发利用保护，健全节约集约用海标准体系，全面推进海域立体分层设权</w:t>
      </w:r>
      <w:r>
        <w:rPr>
          <w:rFonts w:hint="eastAsia" w:ascii="仿宋_GB2312" w:hAnsi="仿宋_GB2312" w:eastAsia="仿宋_GB2312" w:cs="仿宋_GB2312"/>
          <w:kern w:val="0"/>
          <w:sz w:val="32"/>
          <w:szCs w:val="32"/>
          <w:lang w:bidi="ar"/>
        </w:rPr>
        <w:t>。</w:t>
      </w:r>
    </w:p>
    <w:p w14:paraId="64597619">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73" w:name="_Toc5872"/>
      <w:bookmarkStart w:id="374" w:name="_Toc14505"/>
      <w:bookmarkStart w:id="375" w:name="_Toc2080"/>
      <w:bookmarkStart w:id="376" w:name="_Toc21132"/>
      <w:bookmarkStart w:id="377" w:name="_Toc10525"/>
      <w:bookmarkStart w:id="378" w:name="_Toc97"/>
      <w:bookmarkStart w:id="379" w:name="_Toc11112"/>
      <w:bookmarkStart w:id="380" w:name="_Toc24442"/>
      <w:bookmarkStart w:id="381" w:name="_Toc14987"/>
      <w:bookmarkStart w:id="382" w:name="_Toc802806059"/>
      <w:bookmarkStart w:id="383" w:name="_Toc32104"/>
      <w:bookmarkStart w:id="384" w:name="_Toc27384"/>
      <w:r>
        <w:rPr>
          <w:rFonts w:hint="default" w:ascii="Times New Roman" w:hAnsi="Times New Roman" w:eastAsia="楷体_GB2312" w:cs="Times New Roman"/>
          <w:b/>
          <w:bCs/>
          <w:kern w:val="2"/>
          <w:sz w:val="32"/>
          <w:szCs w:val="32"/>
          <w:lang w:val="en-US" w:eastAsia="zh-CN" w:bidi="ar-SA"/>
        </w:rPr>
        <w:t>第三节  强化资金</w:t>
      </w:r>
      <w:bookmarkEnd w:id="373"/>
      <w:bookmarkEnd w:id="374"/>
      <w:bookmarkEnd w:id="375"/>
      <w:bookmarkEnd w:id="376"/>
      <w:bookmarkEnd w:id="377"/>
      <w:bookmarkEnd w:id="378"/>
      <w:bookmarkEnd w:id="379"/>
      <w:r>
        <w:rPr>
          <w:rFonts w:hint="default" w:ascii="Times New Roman" w:hAnsi="Times New Roman" w:eastAsia="楷体_GB2312" w:cs="Times New Roman"/>
          <w:b/>
          <w:bCs/>
          <w:kern w:val="2"/>
          <w:sz w:val="32"/>
          <w:szCs w:val="32"/>
          <w:lang w:val="en-US" w:eastAsia="zh-CN" w:bidi="ar-SA"/>
        </w:rPr>
        <w:t>支持</w:t>
      </w:r>
      <w:bookmarkEnd w:id="380"/>
      <w:bookmarkEnd w:id="381"/>
      <w:bookmarkEnd w:id="382"/>
      <w:bookmarkEnd w:id="383"/>
      <w:bookmarkEnd w:id="384"/>
    </w:p>
    <w:bookmarkEnd w:id="361"/>
    <w:p w14:paraId="53956DE5">
      <w:pPr>
        <w:keepNext w:val="0"/>
        <w:keepLines w:val="0"/>
        <w:pageBreakBefore w:val="0"/>
        <w:widowControl w:val="0"/>
        <w:kinsoku/>
        <w:wordWrap/>
        <w:overflowPunct w:val="0"/>
        <w:topLinePunct w:val="0"/>
        <w:autoSpaceDE/>
        <w:autoSpaceDN/>
        <w:bidi w:val="0"/>
        <w:adjustRightInd w:val="0"/>
        <w:snapToGrid w:val="0"/>
        <w:spacing w:afterAutospacing="0" w:line="596" w:lineRule="exact"/>
        <w:ind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扣科技创新与产业创新深度融合需求，构建“财政引导、社会参与、金融赋能”的多元化资金投入体系。发挥财政资金杠杆撬动作用，综合运用风险补偿、贷款贴息、保费补贴等财政工具，引导社会资本投向重大技术研发、创新基础设施建设及未来产业培育等关键领域。用足用好国家重点专项资金、超长期特别国债、地方政府专项债券、新型政策性金融工具等，推动海南产业投资基金扩面增效，支持科技创新债券扩容增量，加大专精特新企业的扶持力度。积极发展科技金融、数字金融，推动“政产学研金”</w:t>
      </w:r>
      <w:r>
        <w:rPr>
          <w:rFonts w:hint="eastAsia" w:ascii="仿宋_GB2312" w:hAnsi="仿宋_GB2312" w:eastAsia="仿宋_GB2312" w:cs="仿宋_GB2312"/>
          <w:sz w:val="32"/>
          <w:szCs w:val="32"/>
          <w:lang w:eastAsia="zh"/>
        </w:rPr>
        <w:t>五</w:t>
      </w:r>
      <w:r>
        <w:rPr>
          <w:rFonts w:hint="eastAsia" w:ascii="仿宋_GB2312" w:hAnsi="仿宋_GB2312" w:eastAsia="仿宋_GB2312" w:cs="仿宋_GB2312"/>
          <w:sz w:val="32"/>
          <w:szCs w:val="32"/>
        </w:rPr>
        <w:t>位一体融通创新，鼓励金融机构聚焦高新技术产业开发差异化、定制化金融产品，</w:t>
      </w:r>
      <w:r>
        <w:rPr>
          <w:rFonts w:hint="eastAsia" w:ascii="仿宋_GB2312" w:hAnsi="仿宋_GB2312" w:eastAsia="仿宋_GB2312" w:cs="仿宋_GB2312"/>
          <w:color w:val="0F1115"/>
          <w:sz w:val="32"/>
          <w:szCs w:val="32"/>
          <w:shd w:val="clear" w:color="auto" w:fill="FFFFFF"/>
        </w:rPr>
        <w:t>强化信贷政策与财政政策联动</w:t>
      </w:r>
      <w:r>
        <w:rPr>
          <w:rFonts w:hint="eastAsia" w:ascii="仿宋_GB2312" w:hAnsi="仿宋_GB2312" w:eastAsia="仿宋_GB2312" w:cs="仿宋_GB2312"/>
          <w:sz w:val="32"/>
          <w:szCs w:val="32"/>
        </w:rPr>
        <w:t>，进一步优化信贷结构，提高制造业中长期贷款比重及融资便利度。</w:t>
      </w:r>
      <w:bookmarkEnd w:id="276"/>
    </w:p>
    <w:p w14:paraId="59F0139D">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85" w:name="_Toc21840"/>
      <w:bookmarkStart w:id="386" w:name="_Toc1893000698"/>
      <w:bookmarkStart w:id="387" w:name="_Toc13654"/>
      <w:bookmarkStart w:id="388" w:name="_Toc16761"/>
      <w:r>
        <w:rPr>
          <w:rFonts w:hint="default" w:ascii="Times New Roman" w:hAnsi="Times New Roman" w:eastAsia="楷体_GB2312" w:cs="Times New Roman"/>
          <w:b/>
          <w:bCs/>
          <w:kern w:val="2"/>
          <w:sz w:val="32"/>
          <w:szCs w:val="32"/>
          <w:lang w:val="en-US" w:eastAsia="zh-CN" w:bidi="ar-SA"/>
        </w:rPr>
        <w:t>第四节  壮大人才队伍</w:t>
      </w:r>
      <w:bookmarkEnd w:id="385"/>
      <w:bookmarkEnd w:id="386"/>
      <w:bookmarkEnd w:id="387"/>
      <w:bookmarkEnd w:id="388"/>
    </w:p>
    <w:p w14:paraId="1FCAD84F">
      <w:pPr>
        <w:keepNext w:val="0"/>
        <w:keepLines w:val="0"/>
        <w:pageBreakBefore w:val="0"/>
        <w:widowControl w:val="0"/>
        <w:kinsoku/>
        <w:wordWrap/>
        <w:overflowPunct w:val="0"/>
        <w:topLinePunct w:val="0"/>
        <w:autoSpaceDE/>
        <w:autoSpaceDN/>
        <w:bidi w:val="0"/>
        <w:adjustRightInd w:val="0"/>
        <w:snapToGrid w:val="0"/>
        <w:spacing w:afterAutospacing="0" w:line="596" w:lineRule="exact"/>
        <w:ind w:firstLine="63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建设人才荟萃之岛，依托“百万英才兴海南”行动，通过“项目+人才”“平台+团队”等模式，精准引进高新技术产业发展所需领军人才及高水平团队。提升本土育才能力，加大对外合作办学力度，深化产教融合，支持高校、科研机构与企业共建高能级创新平台和高新技术产业实训基地，积极培养青年科技英才。持续提升人才服务保障能力，营造数字人才发展生态，吸引人工智能OPC创新创业人才。</w:t>
      </w:r>
    </w:p>
    <w:p w14:paraId="48B54D2D">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89" w:name="_Toc6713"/>
      <w:bookmarkStart w:id="390" w:name="_Toc1225859962"/>
      <w:bookmarkStart w:id="391" w:name="_Toc23830"/>
      <w:bookmarkStart w:id="392" w:name="_Toc3532"/>
      <w:r>
        <w:rPr>
          <w:rFonts w:hint="default" w:ascii="Times New Roman" w:hAnsi="Times New Roman" w:eastAsia="楷体_GB2312" w:cs="Times New Roman"/>
          <w:b/>
          <w:bCs/>
          <w:kern w:val="2"/>
          <w:sz w:val="32"/>
          <w:szCs w:val="32"/>
          <w:lang w:val="en-US" w:eastAsia="zh-CN" w:bidi="ar-SA"/>
        </w:rPr>
        <w:t>第五节  优化营商环境</w:t>
      </w:r>
      <w:bookmarkEnd w:id="389"/>
      <w:bookmarkEnd w:id="390"/>
      <w:bookmarkEnd w:id="391"/>
      <w:bookmarkEnd w:id="392"/>
    </w:p>
    <w:p w14:paraId="411A5A54">
      <w:pPr>
        <w:keepNext w:val="0"/>
        <w:keepLines w:val="0"/>
        <w:pageBreakBefore w:val="0"/>
        <w:widowControl w:val="0"/>
        <w:kinsoku/>
        <w:wordWrap/>
        <w:overflowPunct w:val="0"/>
        <w:topLinePunct w:val="0"/>
        <w:autoSpaceDE/>
        <w:autoSpaceDN/>
        <w:bidi w:val="0"/>
        <w:adjustRightInd w:val="0"/>
        <w:snapToGrid w:val="0"/>
        <w:spacing w:afterAutospacing="0" w:line="596" w:lineRule="exact"/>
        <w:ind w:firstLine="632"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加快完善</w:t>
      </w:r>
      <w:r>
        <w:rPr>
          <w:rFonts w:hint="eastAsia" w:ascii="仿宋_GB2312" w:hAnsi="仿宋_GB2312" w:eastAsia="仿宋_GB2312" w:cs="仿宋_GB2312"/>
          <w:sz w:val="32"/>
          <w:szCs w:val="32"/>
          <w:lang w:val="en-US" w:eastAsia="zh-CN"/>
        </w:rPr>
        <w:t>海南</w:t>
      </w:r>
      <w:r>
        <w:rPr>
          <w:rFonts w:hint="eastAsia" w:ascii="仿宋_GB2312" w:hAnsi="仿宋_GB2312" w:eastAsia="仿宋_GB2312" w:cs="仿宋_GB2312"/>
          <w:sz w:val="32"/>
          <w:szCs w:val="32"/>
          <w:lang w:eastAsia="zh-CN"/>
        </w:rPr>
        <w:t>自由贸易港</w:t>
      </w:r>
      <w:r>
        <w:rPr>
          <w:rFonts w:hint="eastAsia" w:ascii="仿宋_GB2312" w:hAnsi="仿宋_GB2312" w:eastAsia="仿宋_GB2312" w:cs="仿宋_GB2312"/>
          <w:sz w:val="32"/>
          <w:szCs w:val="32"/>
        </w:rPr>
        <w:t>“高效办成一件事”服务体系，全面推行“店小二”服务，持续开展面向产业链发展的“一类事”集成服务，打造精准识别需求、主动规划服务、全程智能办理的“人工智能+”涉企服务新模式。</w:t>
      </w:r>
      <w:r>
        <w:rPr>
          <w:rFonts w:hint="eastAsia" w:ascii="仿宋_GB2312" w:hAnsi="仿宋_GB2312" w:eastAsia="仿宋_GB2312" w:cs="仿宋_GB2312"/>
          <w:sz w:val="32"/>
          <w:szCs w:val="32"/>
          <w:lang w:bidi="ar"/>
        </w:rPr>
        <w:t>优化“海易兑”系统，实现惠企政策高效落地、精准直达。拓宽</w:t>
      </w:r>
      <w:r>
        <w:rPr>
          <w:rFonts w:hint="eastAsia" w:ascii="仿宋_GB2312" w:hAnsi="仿宋_GB2312" w:eastAsia="仿宋_GB2312" w:cs="仿宋_GB2312"/>
          <w:sz w:val="32"/>
          <w:szCs w:val="32"/>
        </w:rPr>
        <w:t>企业诉求渠道，强化土地规划、环评审批、项目审批等咨询指导，</w:t>
      </w:r>
      <w:r>
        <w:rPr>
          <w:rFonts w:hint="eastAsia" w:ascii="仿宋_GB2312" w:hAnsi="仿宋_GB2312" w:eastAsia="仿宋_GB2312" w:cs="仿宋_GB2312"/>
          <w:sz w:val="32"/>
          <w:szCs w:val="32"/>
          <w:lang w:eastAsia="zh-CN"/>
        </w:rPr>
        <w:t>加强</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重点项目的全生命周期服务。</w:t>
      </w:r>
    </w:p>
    <w:p w14:paraId="1FB12974">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afterAutospacing="0" w:line="596" w:lineRule="exact"/>
        <w:ind w:firstLine="0" w:firstLineChars="0"/>
        <w:jc w:val="center"/>
        <w:textAlignment w:val="auto"/>
        <w:outlineLvl w:val="1"/>
        <w:rPr>
          <w:rFonts w:hint="default" w:ascii="Times New Roman" w:hAnsi="Times New Roman" w:eastAsia="楷体_GB2312" w:cs="Times New Roman"/>
          <w:b/>
          <w:bCs/>
          <w:kern w:val="2"/>
          <w:sz w:val="32"/>
          <w:szCs w:val="32"/>
          <w:lang w:val="en-US" w:eastAsia="zh-CN" w:bidi="ar-SA"/>
        </w:rPr>
      </w:pPr>
      <w:bookmarkStart w:id="393" w:name="_Toc26339"/>
      <w:bookmarkStart w:id="394" w:name="_Toc23895"/>
      <w:bookmarkStart w:id="395" w:name="_Toc120623744"/>
      <w:bookmarkStart w:id="396" w:name="_Toc29344"/>
      <w:r>
        <w:rPr>
          <w:rFonts w:hint="default" w:ascii="Times New Roman" w:hAnsi="Times New Roman" w:eastAsia="楷体_GB2312" w:cs="Times New Roman"/>
          <w:b/>
          <w:bCs/>
          <w:kern w:val="2"/>
          <w:sz w:val="32"/>
          <w:szCs w:val="32"/>
          <w:lang w:val="en-US" w:eastAsia="zh-CN" w:bidi="ar-SA"/>
        </w:rPr>
        <w:t>第六节  筑牢安全防线</w:t>
      </w:r>
      <w:bookmarkEnd w:id="393"/>
      <w:bookmarkEnd w:id="394"/>
      <w:bookmarkEnd w:id="395"/>
      <w:bookmarkEnd w:id="396"/>
    </w:p>
    <w:p w14:paraId="78FF12D7">
      <w:pPr>
        <w:keepNext w:val="0"/>
        <w:keepLines w:val="0"/>
        <w:pageBreakBefore w:val="0"/>
        <w:widowControl w:val="0"/>
        <w:numPr>
          <w:ilvl w:val="0"/>
          <w:numId w:val="0"/>
        </w:numPr>
        <w:kinsoku/>
        <w:wordWrap/>
        <w:overflowPunct w:val="0"/>
        <w:topLinePunct w:val="0"/>
        <w:autoSpaceDE/>
        <w:autoSpaceDN/>
        <w:bidi w:val="0"/>
        <w:adjustRightInd w:val="0"/>
        <w:snapToGrid w:val="0"/>
        <w:spacing w:afterAutospacing="0" w:line="596" w:lineRule="exact"/>
        <w:ind w:firstLine="632" w:firstLineChars="200"/>
        <w:jc w:val="both"/>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完善常态化安全生产风险防控体系，提升实时监测、超前预警、应急处置等保障能力。健全数据跨境流动安全管理制度体系，建强关键信息基础设施和数据全生命周期安全防护能力。强化新兴产业、未来产业等领域“卡脖子”技术风险预警与对策储备，提升产业链供应链风险抵御与稳定运行能力。强化生态安全保障，协同推进产业发展与环境保护。</w:t>
      </w:r>
      <w:bookmarkEnd w:id="9"/>
      <w:bookmarkEnd w:id="10"/>
      <w:bookmarkEnd w:id="11"/>
      <w:bookmarkEnd w:id="12"/>
      <w:bookmarkEnd w:id="13"/>
    </w:p>
    <w:sectPr>
      <w:headerReference r:id="rId9" w:type="default"/>
      <w:footerReference r:id="rId10" w:type="default"/>
      <w:pgSz w:w="11906" w:h="16838"/>
      <w:pgMar w:top="1928" w:right="1531" w:bottom="1701" w:left="1531" w:header="0" w:footer="1247" w:gutter="0"/>
      <w:paperSrc/>
      <w:pgNumType w:fmt="decimal"/>
      <w:cols w:space="72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黑体_GBK">
    <w:altName w:val="微软雅黑"/>
    <w:panose1 w:val="02000000000000000000"/>
    <w:charset w:val="86"/>
    <w:family w:val="script"/>
    <w:pitch w:val="default"/>
    <w:sig w:usb0="00000001" w:usb1="08000000" w:usb2="00000000" w:usb3="00000000" w:csb0="00040000" w:csb1="00000000"/>
  </w:font>
  <w:font w:name="方正楷体_GBK">
    <w:altName w:val="微软雅黑"/>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方正仿宋_GBK">
    <w:altName w:val="微软雅黑"/>
    <w:panose1 w:val="02000000000000000000"/>
    <w:charset w:val="86"/>
    <w:family w:val="auto"/>
    <w:pitch w:val="default"/>
    <w:sig w:usb0="00000001" w:usb1="08000000" w:usb2="00000000" w:usb3="00000000" w:csb0="00040000" w:csb1="00000000"/>
  </w:font>
  <w:font w:name="方正小标宋_GBK">
    <w:altName w:val="微软雅黑"/>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方正小标宋简体">
    <w:altName w:val="黑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E2573">
    <w:pPr>
      <w:pStyle w:val="17"/>
      <w:keepNext w:val="0"/>
      <w:keepLines w:val="0"/>
      <w:pageBreakBefore w:val="0"/>
      <w:widowControl w:val="0"/>
      <w:kinsoku/>
      <w:wordWrap/>
      <w:overflowPunct/>
      <w:topLinePunct w:val="0"/>
      <w:bidi w:val="0"/>
      <w:adjustRightInd/>
      <w:snapToGrid w:val="0"/>
      <w:jc w:val="center"/>
      <w:textAlignment w:val="auto"/>
      <w:rPr>
        <w:rFonts w:ascii="Times New Roman" w:hAnsi="Times New Roman" w:eastAsia="仿宋_GB2312"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BB786B">
                          <w:pPr>
                            <w:pStyle w:val="17"/>
                            <w:keepNext w:val="0"/>
                            <w:keepLines w:val="0"/>
                            <w:pageBreakBefore w:val="0"/>
                            <w:widowControl w:val="0"/>
                            <w:kinsoku/>
                            <w:wordWrap/>
                            <w:overflowPunct/>
                            <w:topLinePunct w:val="0"/>
                            <w:bidi w:val="0"/>
                            <w:adjustRightInd/>
                            <w:snapToGrid w:val="0"/>
                            <w:jc w:val="center"/>
                            <w:textAlignment w:val="auto"/>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3</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wps:txbx>
                    <wps:bodyPr vert="horz" wrap="none" lIns="0" tIns="0" rIns="0" bIns="0" anchor="t" anchorCtr="0" upright="0">
                      <a:spAutoFit/>
                    </wps:bodyPr>
                  </wps:wsp>
                </a:graphicData>
              </a:graphic>
            </wp:anchor>
          </w:drawing>
        </mc:Choice>
        <mc:Fallback>
          <w:pict>
            <v:shape id="文本框 2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Cp1Bn3gEAAL8DAAAOAAAAAAAA&#10;AAEAIAAAAB4BAABkcnMvZTJvRG9jLnhtbFBLBQYAAAAABgAGAFkBAABuBQAAAAA=&#10;">
              <v:fill on="f" focussize="0,0"/>
              <v:stroke on="f"/>
              <v:imagedata o:title=""/>
              <o:lock v:ext="edit" aspectratio="f"/>
              <v:textbox inset="0mm,0mm,0mm,0mm" style="mso-fit-shape-to-text:t;">
                <w:txbxContent>
                  <w:p w14:paraId="42BB786B">
                    <w:pPr>
                      <w:pStyle w:val="17"/>
                      <w:keepNext w:val="0"/>
                      <w:keepLines w:val="0"/>
                      <w:pageBreakBefore w:val="0"/>
                      <w:widowControl w:val="0"/>
                      <w:kinsoku/>
                      <w:wordWrap/>
                      <w:overflowPunct/>
                      <w:topLinePunct w:val="0"/>
                      <w:bidi w:val="0"/>
                      <w:adjustRightInd/>
                      <w:snapToGrid w:val="0"/>
                      <w:jc w:val="center"/>
                      <w:textAlignment w:val="auto"/>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3</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v:textbox>
            </v:shape>
          </w:pict>
        </mc:Fallback>
      </mc:AlternateContent>
    </w:r>
    <w:r>
      <w:rPr>
        <w:rFonts w:ascii="Times New Roman" w:hAnsi="Times New Roman" w:eastAsia="方正仿宋_GBK"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92B94A">
                          <w:pPr>
                            <w:widowControl/>
                            <w:spacing w:line="540" w:lineRule="exact"/>
                            <w:ind w:firstLine="600" w:firstLineChars="200"/>
                            <w:rPr>
                              <w:rFonts w:ascii="Times New Roman" w:hAnsi="Times New Roman" w:eastAsia="仿宋_GB2312" w:cs="Times New Roman"/>
                              <w:sz w:val="30"/>
                              <w:szCs w:val="30"/>
                            </w:rPr>
                          </w:pP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iTIs&#10;ye0BAADVAwAADgAAAAAAAAABACAAAAAfAQAAZHJzL2Uyb0RvYy54bWxQSwUGAAAAAAYABgBZAQAA&#10;fgUAAAAA&#10;">
              <v:fill on="f" focussize="0,0"/>
              <v:stroke on="f" weight="0.5pt"/>
              <v:imagedata o:title=""/>
              <o:lock v:ext="edit" aspectratio="f"/>
              <v:textbox inset="0mm,0mm,0mm,0mm" style="mso-fit-shape-to-text:t;">
                <w:txbxContent>
                  <w:p w14:paraId="3B92B94A">
                    <w:pPr>
                      <w:widowControl/>
                      <w:spacing w:line="540" w:lineRule="exact"/>
                      <w:ind w:firstLine="600" w:firstLineChars="200"/>
                      <w:rPr>
                        <w:rFonts w:ascii="Times New Roman" w:hAnsi="Times New Roman" w:eastAsia="仿宋_GB2312" w:cs="Times New Roman"/>
                        <w:sz w:val="30"/>
                        <w:szCs w:val="3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F0B82">
    <w:pPr>
      <w:snapToGrid w:val="0"/>
      <w:spacing w:line="588" w:lineRule="exact"/>
      <w:ind w:firstLine="360" w:firstLineChars="200"/>
      <w:jc w:val="left"/>
      <w:rPr>
        <w:rFonts w:ascii="Times New Roman" w:hAnsi="Times New Roman" w:eastAsia="方正仿宋_GBK"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B9B3F">
    <w:pPr>
      <w:pStyle w:val="17"/>
      <w:keepNext w:val="0"/>
      <w:keepLines w:val="0"/>
      <w:pageBreakBefore w:val="0"/>
      <w:widowControl w:val="0"/>
      <w:kinsoku/>
      <w:wordWrap/>
      <w:overflowPunct/>
      <w:topLinePunct w:val="0"/>
      <w:bidi w:val="0"/>
      <w:adjustRightInd/>
      <w:snapToGrid w:val="0"/>
      <w:jc w:val="center"/>
      <w:textAlignment w:val="auto"/>
      <w:rPr>
        <w:rFonts w:hint="eastAsia" w:ascii="等线" w:hAnsi="等线" w:eastAsia="等线" w:cs="Times New Roman"/>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BE957E">
                          <w:pPr>
                            <w:pStyle w:val="17"/>
                            <w:keepNext w:val="0"/>
                            <w:keepLines w:val="0"/>
                            <w:pageBreakBefore w:val="0"/>
                            <w:widowControl w:val="0"/>
                            <w:kinsoku/>
                            <w:wordWrap/>
                            <w:overflowPunct/>
                            <w:topLinePunct w:val="0"/>
                            <w:bidi w:val="0"/>
                            <w:adjustRightInd/>
                            <w:snapToGrid w:val="0"/>
                            <w:jc w:val="center"/>
                            <w:textAlignment w:val="auto"/>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3</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kqyt8BAAC/AwAADgAAAGRycy9lMm9Eb2MueG1srVPBjtMwEL0j8Q+W&#10;7zTZC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YvOXPC0sDP37+df/w6//zK&#10;lt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k+kqyt8BAAC/AwAADgAAAAAA&#10;AAABACAAAAAeAQAAZHJzL2Uyb0RvYy54bWxQSwUGAAAAAAYABgBZAQAAbwUAAAAA&#10;">
              <v:fill on="f" focussize="0,0"/>
              <v:stroke on="f"/>
              <v:imagedata o:title=""/>
              <o:lock v:ext="edit" aspectratio="f"/>
              <v:textbox inset="0mm,0mm,0mm,0mm" style="mso-fit-shape-to-text:t;">
                <w:txbxContent>
                  <w:p w14:paraId="50BE957E">
                    <w:pPr>
                      <w:pStyle w:val="17"/>
                      <w:keepNext w:val="0"/>
                      <w:keepLines w:val="0"/>
                      <w:pageBreakBefore w:val="0"/>
                      <w:widowControl w:val="0"/>
                      <w:kinsoku/>
                      <w:wordWrap/>
                      <w:overflowPunct/>
                      <w:topLinePunct w:val="0"/>
                      <w:bidi w:val="0"/>
                      <w:adjustRightInd/>
                      <w:snapToGrid w:val="0"/>
                      <w:jc w:val="center"/>
                      <w:textAlignment w:val="auto"/>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3</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880B4">
    <w:pPr>
      <w:pStyle w:val="17"/>
      <w:keepNext w:val="0"/>
      <w:keepLines w:val="0"/>
      <w:pageBreakBefore w:val="0"/>
      <w:widowControl w:val="0"/>
      <w:kinsoku/>
      <w:wordWrap/>
      <w:overflowPunct/>
      <w:topLinePunct w:val="0"/>
      <w:bidi w:val="0"/>
      <w:adjustRightInd/>
      <w:snapToGrid w:val="0"/>
      <w:jc w:val="center"/>
      <w:textAlignment w:val="auto"/>
      <w:rPr>
        <w:rFonts w:hint="eastAsia" w:ascii="等线" w:hAnsi="等线" w:eastAsia="等线"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5B812A">
                          <w:pPr>
                            <w:pStyle w:val="17"/>
                            <w:keepNext w:val="0"/>
                            <w:keepLines w:val="0"/>
                            <w:pageBreakBefore w:val="0"/>
                            <w:widowControl w:val="0"/>
                            <w:kinsoku/>
                            <w:wordWrap/>
                            <w:overflowPunct/>
                            <w:topLinePunct w:val="0"/>
                            <w:bidi w:val="0"/>
                            <w:adjustRightInd/>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0">
                      <a:spAutoFit/>
                    </wps:bodyPr>
                  </wps:wsp>
                </a:graphicData>
              </a:graphic>
            </wp:anchor>
          </w:drawing>
        </mc:Choice>
        <mc:Fallback>
          <w:pict>
            <v:shape id="文本框 2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HiXmb3gEAAL8DAAAOAAAAAAAA&#10;AAEAIAAAAB4BAABkcnMvZTJvRG9jLnhtbFBLBQYAAAAABgAGAFkBAABuBQAAAAA=&#10;">
              <v:fill on="f" focussize="0,0"/>
              <v:stroke on="f"/>
              <v:imagedata o:title=""/>
              <o:lock v:ext="edit" aspectratio="f"/>
              <v:textbox inset="0mm,0mm,0mm,0mm" style="mso-fit-shape-to-text:t;">
                <w:txbxContent>
                  <w:p w14:paraId="495B812A">
                    <w:pPr>
                      <w:pStyle w:val="17"/>
                      <w:keepNext w:val="0"/>
                      <w:keepLines w:val="0"/>
                      <w:pageBreakBefore w:val="0"/>
                      <w:widowControl w:val="0"/>
                      <w:kinsoku/>
                      <w:wordWrap/>
                      <w:overflowPunct/>
                      <w:topLinePunct w:val="0"/>
                      <w:bidi w:val="0"/>
                      <w:adjustRightInd/>
                      <w:snapToGrid w:val="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9B2E0">
    <w:pPr>
      <w:pStyle w:val="1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5D1E33">
                          <w:pPr>
                            <w:pStyle w:val="17"/>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Lbw698BAAC/AwAADgAAAGRycy9lMm9Eb2MueG1srVPBjtMwEL0j8Q+W&#10;7zTZSkAV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1Lbw698BAAC/AwAADgAAAAAA&#10;AAABACAAAAAeAQAAZHJzL2Uyb0RvYy54bWxQSwUGAAAAAAYABgBZAQAAbwUAAAAA&#10;">
              <v:fill on="f" focussize="0,0"/>
              <v:stroke on="f"/>
              <v:imagedata o:title=""/>
              <o:lock v:ext="edit" aspectratio="f"/>
              <v:textbox inset="0mm,0mm,0mm,0mm" style="mso-fit-shape-to-text:t;">
                <w:txbxContent>
                  <w:p w14:paraId="545D1E33">
                    <w:pPr>
                      <w:pStyle w:val="17"/>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94CF1">
    <w:pPr>
      <w:tabs>
        <w:tab w:val="center" w:pos="4153"/>
        <w:tab w:val="right" w:pos="8306"/>
      </w:tabs>
      <w:snapToGrid w:val="0"/>
      <w:spacing w:line="588" w:lineRule="exact"/>
      <w:ind w:firstLine="360" w:firstLineChars="200"/>
      <w:jc w:val="both"/>
      <w:rPr>
        <w:rFonts w:ascii="Times New Roman" w:hAnsi="Times New Roman" w:eastAsia="仿宋_GB2312" w:cs="Times New Roman"/>
        <w:kern w:val="2"/>
        <w:sz w:val="18"/>
        <w:szCs w:val="30"/>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6FF33">
    <w:pPr>
      <w:snapToGrid w:val="0"/>
      <w:spacing w:line="540" w:lineRule="exact"/>
      <w:ind w:firstLine="360" w:firstLineChars="200"/>
      <w:jc w:val="both"/>
      <w:rPr>
        <w:rFonts w:ascii="Times New Roman" w:hAnsi="Times New Roman" w:eastAsia="仿宋_GB2312" w:cs="Times New Roman"/>
        <w:kern w:val="2"/>
        <w:sz w:val="18"/>
        <w:szCs w:val="30"/>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74524">
    <w:pPr>
      <w:pStyle w:val="18"/>
      <w:ind w:firstLine="360"/>
      <w:rPr>
        <w:rFonts w:eastAsia="仿宋_GB23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HorizontalSpacing w:val="210"/>
  <w:drawingGridVerticalSpacing w:val="16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9C337D"/>
    <w:rsid w:val="01640AA0"/>
    <w:rsid w:val="01814321"/>
    <w:rsid w:val="02072A78"/>
    <w:rsid w:val="02337D11"/>
    <w:rsid w:val="0270756A"/>
    <w:rsid w:val="02A36C44"/>
    <w:rsid w:val="02C32E43"/>
    <w:rsid w:val="02F254D6"/>
    <w:rsid w:val="038A5527"/>
    <w:rsid w:val="03B91FDD"/>
    <w:rsid w:val="03DC4142"/>
    <w:rsid w:val="0462668B"/>
    <w:rsid w:val="0534627A"/>
    <w:rsid w:val="05B44CC5"/>
    <w:rsid w:val="05B922DB"/>
    <w:rsid w:val="05C051F1"/>
    <w:rsid w:val="062E0F1B"/>
    <w:rsid w:val="06707D7A"/>
    <w:rsid w:val="068621B7"/>
    <w:rsid w:val="06C83B4C"/>
    <w:rsid w:val="06D77F30"/>
    <w:rsid w:val="0742420A"/>
    <w:rsid w:val="07F01995"/>
    <w:rsid w:val="07F70A6A"/>
    <w:rsid w:val="082E5202"/>
    <w:rsid w:val="08323800"/>
    <w:rsid w:val="084E7652"/>
    <w:rsid w:val="08836BD0"/>
    <w:rsid w:val="08B1373D"/>
    <w:rsid w:val="08E104C7"/>
    <w:rsid w:val="08E43B13"/>
    <w:rsid w:val="090C1EB3"/>
    <w:rsid w:val="097F04DC"/>
    <w:rsid w:val="09A53087"/>
    <w:rsid w:val="09F91840"/>
    <w:rsid w:val="0A602060"/>
    <w:rsid w:val="0AB1651E"/>
    <w:rsid w:val="0AF12517"/>
    <w:rsid w:val="0B6D7FF0"/>
    <w:rsid w:val="0BE04A65"/>
    <w:rsid w:val="0BE36304"/>
    <w:rsid w:val="0CE51C08"/>
    <w:rsid w:val="0CE73BD2"/>
    <w:rsid w:val="0D202260"/>
    <w:rsid w:val="0D5079C9"/>
    <w:rsid w:val="0DAD2CD7"/>
    <w:rsid w:val="0DFA16E3"/>
    <w:rsid w:val="0E0F33E0"/>
    <w:rsid w:val="0E19425F"/>
    <w:rsid w:val="0E3B2427"/>
    <w:rsid w:val="0E8A3A31"/>
    <w:rsid w:val="0EB16245"/>
    <w:rsid w:val="0EBE4D24"/>
    <w:rsid w:val="0ED40186"/>
    <w:rsid w:val="0EFB1BB6"/>
    <w:rsid w:val="0F3B346F"/>
    <w:rsid w:val="0F3E3B01"/>
    <w:rsid w:val="0FD348E1"/>
    <w:rsid w:val="0FDBE9CA"/>
    <w:rsid w:val="0FE81F49"/>
    <w:rsid w:val="0FED6B2E"/>
    <w:rsid w:val="0FF8166C"/>
    <w:rsid w:val="0FFF1DD7"/>
    <w:rsid w:val="10433815"/>
    <w:rsid w:val="109B7694"/>
    <w:rsid w:val="10E8529A"/>
    <w:rsid w:val="115B4DE3"/>
    <w:rsid w:val="116624C1"/>
    <w:rsid w:val="11782338"/>
    <w:rsid w:val="119D1273"/>
    <w:rsid w:val="11B81FE1"/>
    <w:rsid w:val="123D22B3"/>
    <w:rsid w:val="126C30D5"/>
    <w:rsid w:val="12C81DAF"/>
    <w:rsid w:val="12F2022D"/>
    <w:rsid w:val="13223BB5"/>
    <w:rsid w:val="13900018"/>
    <w:rsid w:val="13D824C6"/>
    <w:rsid w:val="13F58674"/>
    <w:rsid w:val="13FCAFB7"/>
    <w:rsid w:val="140426E0"/>
    <w:rsid w:val="14575AE1"/>
    <w:rsid w:val="14AD1E7B"/>
    <w:rsid w:val="14C60571"/>
    <w:rsid w:val="14CF6D94"/>
    <w:rsid w:val="14E37374"/>
    <w:rsid w:val="14E632DA"/>
    <w:rsid w:val="15033573"/>
    <w:rsid w:val="1517701E"/>
    <w:rsid w:val="15420546"/>
    <w:rsid w:val="155344FA"/>
    <w:rsid w:val="1557566D"/>
    <w:rsid w:val="156A53A0"/>
    <w:rsid w:val="15724254"/>
    <w:rsid w:val="15A765F4"/>
    <w:rsid w:val="1609105D"/>
    <w:rsid w:val="163F171E"/>
    <w:rsid w:val="16406AF0"/>
    <w:rsid w:val="167D1103"/>
    <w:rsid w:val="169F376F"/>
    <w:rsid w:val="16A3500D"/>
    <w:rsid w:val="17733908"/>
    <w:rsid w:val="17E72CD8"/>
    <w:rsid w:val="17F8295F"/>
    <w:rsid w:val="17FD1035"/>
    <w:rsid w:val="181835E7"/>
    <w:rsid w:val="184077D8"/>
    <w:rsid w:val="18C45248"/>
    <w:rsid w:val="18E5190D"/>
    <w:rsid w:val="190B50EC"/>
    <w:rsid w:val="194014CF"/>
    <w:rsid w:val="19406B43"/>
    <w:rsid w:val="19410CE2"/>
    <w:rsid w:val="199029E5"/>
    <w:rsid w:val="19AB4BD3"/>
    <w:rsid w:val="19AF0A4A"/>
    <w:rsid w:val="19CA465F"/>
    <w:rsid w:val="1A243430"/>
    <w:rsid w:val="1A366198"/>
    <w:rsid w:val="1A3D2953"/>
    <w:rsid w:val="1AC13CB4"/>
    <w:rsid w:val="1AFE1F2C"/>
    <w:rsid w:val="1B127276"/>
    <w:rsid w:val="1B7C407F"/>
    <w:rsid w:val="1BE91714"/>
    <w:rsid w:val="1C2C1601"/>
    <w:rsid w:val="1CA3357F"/>
    <w:rsid w:val="1D767409"/>
    <w:rsid w:val="1D8A2A83"/>
    <w:rsid w:val="1DAC0C4B"/>
    <w:rsid w:val="1DFC214F"/>
    <w:rsid w:val="1E2F508B"/>
    <w:rsid w:val="1E4C5F8A"/>
    <w:rsid w:val="1EFA4321"/>
    <w:rsid w:val="1F7A2FF0"/>
    <w:rsid w:val="1FFA7E8D"/>
    <w:rsid w:val="20675407"/>
    <w:rsid w:val="20717F2A"/>
    <w:rsid w:val="208512E0"/>
    <w:rsid w:val="209B6D55"/>
    <w:rsid w:val="20B5125A"/>
    <w:rsid w:val="20B61DE1"/>
    <w:rsid w:val="211B06BD"/>
    <w:rsid w:val="215313DE"/>
    <w:rsid w:val="21CC3D6A"/>
    <w:rsid w:val="221E379A"/>
    <w:rsid w:val="22350AE4"/>
    <w:rsid w:val="22792AE5"/>
    <w:rsid w:val="22794E74"/>
    <w:rsid w:val="228D4D77"/>
    <w:rsid w:val="22D60519"/>
    <w:rsid w:val="230E1A60"/>
    <w:rsid w:val="231B5F2B"/>
    <w:rsid w:val="23894873"/>
    <w:rsid w:val="23FF75FB"/>
    <w:rsid w:val="240D11B3"/>
    <w:rsid w:val="24460F74"/>
    <w:rsid w:val="24A02B8C"/>
    <w:rsid w:val="24A77AD6"/>
    <w:rsid w:val="256D7E76"/>
    <w:rsid w:val="25D73CA2"/>
    <w:rsid w:val="25DF5936"/>
    <w:rsid w:val="2609650F"/>
    <w:rsid w:val="26804A23"/>
    <w:rsid w:val="26C03072"/>
    <w:rsid w:val="26D905D7"/>
    <w:rsid w:val="273B6B9C"/>
    <w:rsid w:val="27907EA8"/>
    <w:rsid w:val="27A91B9E"/>
    <w:rsid w:val="28173165"/>
    <w:rsid w:val="28365AB3"/>
    <w:rsid w:val="28631244"/>
    <w:rsid w:val="28C36E49"/>
    <w:rsid w:val="28F60FCD"/>
    <w:rsid w:val="290D4568"/>
    <w:rsid w:val="294033B8"/>
    <w:rsid w:val="29423CBE"/>
    <w:rsid w:val="294977BF"/>
    <w:rsid w:val="295E1D1D"/>
    <w:rsid w:val="2A3E7AE7"/>
    <w:rsid w:val="2A506E02"/>
    <w:rsid w:val="2B3D4992"/>
    <w:rsid w:val="2C82308F"/>
    <w:rsid w:val="2C950AFD"/>
    <w:rsid w:val="2CA15496"/>
    <w:rsid w:val="2CDA30CF"/>
    <w:rsid w:val="2CE37ABA"/>
    <w:rsid w:val="2D014005"/>
    <w:rsid w:val="2D5C161A"/>
    <w:rsid w:val="2D6C7DA1"/>
    <w:rsid w:val="2D7921CC"/>
    <w:rsid w:val="2DC0292D"/>
    <w:rsid w:val="2DD4153F"/>
    <w:rsid w:val="2DF8285F"/>
    <w:rsid w:val="2EAB5056"/>
    <w:rsid w:val="2EE4E1E9"/>
    <w:rsid w:val="2F3D528D"/>
    <w:rsid w:val="2F436F36"/>
    <w:rsid w:val="2F511653"/>
    <w:rsid w:val="2F6EF455"/>
    <w:rsid w:val="2F81180C"/>
    <w:rsid w:val="2FCF0DB0"/>
    <w:rsid w:val="2FD5344F"/>
    <w:rsid w:val="300A1801"/>
    <w:rsid w:val="302629A2"/>
    <w:rsid w:val="3034687E"/>
    <w:rsid w:val="30677CAD"/>
    <w:rsid w:val="30C33B6D"/>
    <w:rsid w:val="30D047F9"/>
    <w:rsid w:val="31102E48"/>
    <w:rsid w:val="31872314"/>
    <w:rsid w:val="3207424B"/>
    <w:rsid w:val="321524B8"/>
    <w:rsid w:val="322546D1"/>
    <w:rsid w:val="32F26CA9"/>
    <w:rsid w:val="33680D19"/>
    <w:rsid w:val="33AB32FB"/>
    <w:rsid w:val="33DB427B"/>
    <w:rsid w:val="35044A71"/>
    <w:rsid w:val="354E3F3E"/>
    <w:rsid w:val="355F7EFA"/>
    <w:rsid w:val="35783A81"/>
    <w:rsid w:val="357FB269"/>
    <w:rsid w:val="35A10338"/>
    <w:rsid w:val="36002FA6"/>
    <w:rsid w:val="36174C78"/>
    <w:rsid w:val="364315C9"/>
    <w:rsid w:val="364C72B2"/>
    <w:rsid w:val="365657A0"/>
    <w:rsid w:val="366C64CA"/>
    <w:rsid w:val="367E6AA5"/>
    <w:rsid w:val="37296A11"/>
    <w:rsid w:val="3753C8DE"/>
    <w:rsid w:val="37A274B7"/>
    <w:rsid w:val="37C4673A"/>
    <w:rsid w:val="37F64555"/>
    <w:rsid w:val="37FC2378"/>
    <w:rsid w:val="38041F7D"/>
    <w:rsid w:val="38211DDE"/>
    <w:rsid w:val="386D5023"/>
    <w:rsid w:val="3880197B"/>
    <w:rsid w:val="38F512A1"/>
    <w:rsid w:val="38FD0155"/>
    <w:rsid w:val="399B3890"/>
    <w:rsid w:val="39C3314D"/>
    <w:rsid w:val="39E73E43"/>
    <w:rsid w:val="3A1471D4"/>
    <w:rsid w:val="3A377697"/>
    <w:rsid w:val="3A564FC6"/>
    <w:rsid w:val="3A5F608D"/>
    <w:rsid w:val="3B9F15E8"/>
    <w:rsid w:val="3BBF1028"/>
    <w:rsid w:val="3BD3D9D7"/>
    <w:rsid w:val="3C0637C5"/>
    <w:rsid w:val="3C5F4C83"/>
    <w:rsid w:val="3CBBD616"/>
    <w:rsid w:val="3CD411CD"/>
    <w:rsid w:val="3D096A38"/>
    <w:rsid w:val="3D8175A7"/>
    <w:rsid w:val="3DAD96F3"/>
    <w:rsid w:val="3E251484"/>
    <w:rsid w:val="3E5F0F6A"/>
    <w:rsid w:val="3E8211E8"/>
    <w:rsid w:val="3E95229E"/>
    <w:rsid w:val="3EA60A01"/>
    <w:rsid w:val="3EF66FF0"/>
    <w:rsid w:val="3F165ACD"/>
    <w:rsid w:val="3F3DC235"/>
    <w:rsid w:val="3F6F51DD"/>
    <w:rsid w:val="3F79A4CC"/>
    <w:rsid w:val="3F7B52C1"/>
    <w:rsid w:val="3F7F7394"/>
    <w:rsid w:val="3FB53538"/>
    <w:rsid w:val="3FCD7952"/>
    <w:rsid w:val="3FFDE379"/>
    <w:rsid w:val="400B526A"/>
    <w:rsid w:val="40284D6D"/>
    <w:rsid w:val="412E4FE4"/>
    <w:rsid w:val="414D59F2"/>
    <w:rsid w:val="41A41AB6"/>
    <w:rsid w:val="41BF3FF3"/>
    <w:rsid w:val="41EB6D76"/>
    <w:rsid w:val="41FF9B50"/>
    <w:rsid w:val="42165DE4"/>
    <w:rsid w:val="423D56FA"/>
    <w:rsid w:val="42A038DB"/>
    <w:rsid w:val="42AB6021"/>
    <w:rsid w:val="42C8119D"/>
    <w:rsid w:val="42EB54C2"/>
    <w:rsid w:val="43872CA0"/>
    <w:rsid w:val="43E7C822"/>
    <w:rsid w:val="43FF5E03"/>
    <w:rsid w:val="44A05FC9"/>
    <w:rsid w:val="44C91833"/>
    <w:rsid w:val="44D62678"/>
    <w:rsid w:val="45FF84A8"/>
    <w:rsid w:val="460F3276"/>
    <w:rsid w:val="46B53E1D"/>
    <w:rsid w:val="46DC584E"/>
    <w:rsid w:val="472E501D"/>
    <w:rsid w:val="47DC362C"/>
    <w:rsid w:val="47F0411D"/>
    <w:rsid w:val="48284ADF"/>
    <w:rsid w:val="489D725F"/>
    <w:rsid w:val="48EB621C"/>
    <w:rsid w:val="49471489"/>
    <w:rsid w:val="498BD57F"/>
    <w:rsid w:val="499248EA"/>
    <w:rsid w:val="49E86A9E"/>
    <w:rsid w:val="49F2E70B"/>
    <w:rsid w:val="4A1E4B4B"/>
    <w:rsid w:val="4A5A03A2"/>
    <w:rsid w:val="4AB25A4D"/>
    <w:rsid w:val="4AD8632C"/>
    <w:rsid w:val="4B087058"/>
    <w:rsid w:val="4B5856BF"/>
    <w:rsid w:val="4BEDFA38"/>
    <w:rsid w:val="4BFF3608"/>
    <w:rsid w:val="4C8A31B1"/>
    <w:rsid w:val="4D583754"/>
    <w:rsid w:val="4D957636"/>
    <w:rsid w:val="4E0336C0"/>
    <w:rsid w:val="4E0B1B7D"/>
    <w:rsid w:val="4E3B28B4"/>
    <w:rsid w:val="4E612ADD"/>
    <w:rsid w:val="4E760D0B"/>
    <w:rsid w:val="4E8FE4D6"/>
    <w:rsid w:val="4E9E5ADF"/>
    <w:rsid w:val="4EBE7A36"/>
    <w:rsid w:val="4EDA10ED"/>
    <w:rsid w:val="4F3F3DF8"/>
    <w:rsid w:val="4F481721"/>
    <w:rsid w:val="4F732AC8"/>
    <w:rsid w:val="4FEA3354"/>
    <w:rsid w:val="504D5506"/>
    <w:rsid w:val="50C7131D"/>
    <w:rsid w:val="51071DF9"/>
    <w:rsid w:val="510A745C"/>
    <w:rsid w:val="511472F3"/>
    <w:rsid w:val="513F7105"/>
    <w:rsid w:val="514209A3"/>
    <w:rsid w:val="52127B51"/>
    <w:rsid w:val="523C53F3"/>
    <w:rsid w:val="52595319"/>
    <w:rsid w:val="52B94C95"/>
    <w:rsid w:val="53831F4C"/>
    <w:rsid w:val="540325F6"/>
    <w:rsid w:val="545D78A2"/>
    <w:rsid w:val="54686973"/>
    <w:rsid w:val="548A60F2"/>
    <w:rsid w:val="54E87AB4"/>
    <w:rsid w:val="54F00716"/>
    <w:rsid w:val="555461F4"/>
    <w:rsid w:val="5573CBA4"/>
    <w:rsid w:val="557D644E"/>
    <w:rsid w:val="55992B5C"/>
    <w:rsid w:val="560D6918"/>
    <w:rsid w:val="56156687"/>
    <w:rsid w:val="563A43F2"/>
    <w:rsid w:val="563F54B2"/>
    <w:rsid w:val="567429C8"/>
    <w:rsid w:val="56E46059"/>
    <w:rsid w:val="56F91B04"/>
    <w:rsid w:val="572556DC"/>
    <w:rsid w:val="5778D4D1"/>
    <w:rsid w:val="579F8D49"/>
    <w:rsid w:val="57FD7349"/>
    <w:rsid w:val="586A4374"/>
    <w:rsid w:val="587927D9"/>
    <w:rsid w:val="59953C85"/>
    <w:rsid w:val="59F42A57"/>
    <w:rsid w:val="5A137503"/>
    <w:rsid w:val="5A697452"/>
    <w:rsid w:val="5A865DA5"/>
    <w:rsid w:val="5ADE798F"/>
    <w:rsid w:val="5B542390"/>
    <w:rsid w:val="5B57504B"/>
    <w:rsid w:val="5BAC35E9"/>
    <w:rsid w:val="5BBF74C5"/>
    <w:rsid w:val="5BF1DD4B"/>
    <w:rsid w:val="5BF62527"/>
    <w:rsid w:val="5BFF1CFF"/>
    <w:rsid w:val="5C003935"/>
    <w:rsid w:val="5C463473"/>
    <w:rsid w:val="5C846314"/>
    <w:rsid w:val="5CC46711"/>
    <w:rsid w:val="5D1C02FB"/>
    <w:rsid w:val="5D26561D"/>
    <w:rsid w:val="5D291E96"/>
    <w:rsid w:val="5D706898"/>
    <w:rsid w:val="5D759A52"/>
    <w:rsid w:val="5D7A3B10"/>
    <w:rsid w:val="5DBC076F"/>
    <w:rsid w:val="5DC689EE"/>
    <w:rsid w:val="5DCFA328"/>
    <w:rsid w:val="5DD76917"/>
    <w:rsid w:val="5DEE7DF6"/>
    <w:rsid w:val="5E0C56F7"/>
    <w:rsid w:val="5E3DD3F0"/>
    <w:rsid w:val="5EFD128D"/>
    <w:rsid w:val="5F2E6A0B"/>
    <w:rsid w:val="5F77C42D"/>
    <w:rsid w:val="5F7A755A"/>
    <w:rsid w:val="5F7C1524"/>
    <w:rsid w:val="5F9C3975"/>
    <w:rsid w:val="5FAA42E4"/>
    <w:rsid w:val="5FCD3B2E"/>
    <w:rsid w:val="5FD50C35"/>
    <w:rsid w:val="5FE64BF0"/>
    <w:rsid w:val="5FEBDD6D"/>
    <w:rsid w:val="600914DE"/>
    <w:rsid w:val="603160DA"/>
    <w:rsid w:val="60323C1D"/>
    <w:rsid w:val="605129B1"/>
    <w:rsid w:val="614F5308"/>
    <w:rsid w:val="619F599E"/>
    <w:rsid w:val="61B054B5"/>
    <w:rsid w:val="61B3163D"/>
    <w:rsid w:val="61D75138"/>
    <w:rsid w:val="61E175E4"/>
    <w:rsid w:val="621F43E9"/>
    <w:rsid w:val="62363CA5"/>
    <w:rsid w:val="6292105F"/>
    <w:rsid w:val="62AE40EB"/>
    <w:rsid w:val="62C8512F"/>
    <w:rsid w:val="62D6719E"/>
    <w:rsid w:val="62E27439"/>
    <w:rsid w:val="62EC573B"/>
    <w:rsid w:val="64607667"/>
    <w:rsid w:val="646C35AE"/>
    <w:rsid w:val="64AF5EF8"/>
    <w:rsid w:val="64FB113D"/>
    <w:rsid w:val="6599E8F7"/>
    <w:rsid w:val="65DA6FA5"/>
    <w:rsid w:val="65E727C5"/>
    <w:rsid w:val="664375E8"/>
    <w:rsid w:val="669B2BD8"/>
    <w:rsid w:val="66D165FA"/>
    <w:rsid w:val="66FF58A0"/>
    <w:rsid w:val="670047E9"/>
    <w:rsid w:val="67CF2561"/>
    <w:rsid w:val="67EB2358"/>
    <w:rsid w:val="67ED1D74"/>
    <w:rsid w:val="67FBEFF4"/>
    <w:rsid w:val="67FF0526"/>
    <w:rsid w:val="68B07650"/>
    <w:rsid w:val="694C1542"/>
    <w:rsid w:val="69D63CA9"/>
    <w:rsid w:val="69FD3E38"/>
    <w:rsid w:val="6A4B221F"/>
    <w:rsid w:val="6A771266"/>
    <w:rsid w:val="6AB63125"/>
    <w:rsid w:val="6AB97AD1"/>
    <w:rsid w:val="6AF44665"/>
    <w:rsid w:val="6B9F09F0"/>
    <w:rsid w:val="6BB74198"/>
    <w:rsid w:val="6CBF50AC"/>
    <w:rsid w:val="6CF0605F"/>
    <w:rsid w:val="6D0B3EE8"/>
    <w:rsid w:val="6D2E042E"/>
    <w:rsid w:val="6D3E5D3E"/>
    <w:rsid w:val="6D45389E"/>
    <w:rsid w:val="6D4A4A10"/>
    <w:rsid w:val="6D4C69DA"/>
    <w:rsid w:val="6D8553B0"/>
    <w:rsid w:val="6D942AAF"/>
    <w:rsid w:val="6DB42482"/>
    <w:rsid w:val="6DC7433F"/>
    <w:rsid w:val="6DFCC9C4"/>
    <w:rsid w:val="6E301EF3"/>
    <w:rsid w:val="6EEF1D13"/>
    <w:rsid w:val="6EFB21DB"/>
    <w:rsid w:val="6F2B2CCB"/>
    <w:rsid w:val="6F3663D4"/>
    <w:rsid w:val="6F601648"/>
    <w:rsid w:val="6F7D69ED"/>
    <w:rsid w:val="6F8A1A3C"/>
    <w:rsid w:val="6FAF5D25"/>
    <w:rsid w:val="6FC34F4E"/>
    <w:rsid w:val="6FCD0DF0"/>
    <w:rsid w:val="6FD7BEA3"/>
    <w:rsid w:val="6FDD5411"/>
    <w:rsid w:val="6FDD92F9"/>
    <w:rsid w:val="6FE714CD"/>
    <w:rsid w:val="6FFB0E00"/>
    <w:rsid w:val="6FFECADE"/>
    <w:rsid w:val="6FFF13C2"/>
    <w:rsid w:val="705E3F5B"/>
    <w:rsid w:val="70BB4F54"/>
    <w:rsid w:val="70DDFCE2"/>
    <w:rsid w:val="70F467DE"/>
    <w:rsid w:val="71066EA0"/>
    <w:rsid w:val="710A626D"/>
    <w:rsid w:val="711E461E"/>
    <w:rsid w:val="717007BD"/>
    <w:rsid w:val="717604C9"/>
    <w:rsid w:val="718A7AD1"/>
    <w:rsid w:val="71A31C23"/>
    <w:rsid w:val="71A5722E"/>
    <w:rsid w:val="71B30FEB"/>
    <w:rsid w:val="7218332F"/>
    <w:rsid w:val="726414BF"/>
    <w:rsid w:val="72EE2CD4"/>
    <w:rsid w:val="72F53670"/>
    <w:rsid w:val="72F83160"/>
    <w:rsid w:val="73027EC5"/>
    <w:rsid w:val="732919FE"/>
    <w:rsid w:val="733F903B"/>
    <w:rsid w:val="73487C44"/>
    <w:rsid w:val="73941EDB"/>
    <w:rsid w:val="73A330CC"/>
    <w:rsid w:val="747DB607"/>
    <w:rsid w:val="750445C0"/>
    <w:rsid w:val="757BEBFA"/>
    <w:rsid w:val="758807CB"/>
    <w:rsid w:val="75975EDD"/>
    <w:rsid w:val="75AE8360"/>
    <w:rsid w:val="75AF4A39"/>
    <w:rsid w:val="75B7C5ED"/>
    <w:rsid w:val="75E8126A"/>
    <w:rsid w:val="765E152C"/>
    <w:rsid w:val="768E5011"/>
    <w:rsid w:val="76BFC81B"/>
    <w:rsid w:val="76C375E1"/>
    <w:rsid w:val="774EBE43"/>
    <w:rsid w:val="775E4E08"/>
    <w:rsid w:val="775F89E5"/>
    <w:rsid w:val="77A45665"/>
    <w:rsid w:val="77D9530E"/>
    <w:rsid w:val="77D992B6"/>
    <w:rsid w:val="77E0751C"/>
    <w:rsid w:val="77EF7596"/>
    <w:rsid w:val="77EF7B98"/>
    <w:rsid w:val="77F71834"/>
    <w:rsid w:val="77FFB67C"/>
    <w:rsid w:val="781E0F73"/>
    <w:rsid w:val="78B74F24"/>
    <w:rsid w:val="78FE2B52"/>
    <w:rsid w:val="78FF60DA"/>
    <w:rsid w:val="796A42FA"/>
    <w:rsid w:val="797D43BF"/>
    <w:rsid w:val="79B58F35"/>
    <w:rsid w:val="79D97847"/>
    <w:rsid w:val="79FDF021"/>
    <w:rsid w:val="7A772BBC"/>
    <w:rsid w:val="7A777060"/>
    <w:rsid w:val="7A8B77B0"/>
    <w:rsid w:val="7A8B8D17"/>
    <w:rsid w:val="7ADFB3DB"/>
    <w:rsid w:val="7AE606AF"/>
    <w:rsid w:val="7AEFC2A8"/>
    <w:rsid w:val="7AFB06C4"/>
    <w:rsid w:val="7B095FE9"/>
    <w:rsid w:val="7B7FFE89"/>
    <w:rsid w:val="7B825CBD"/>
    <w:rsid w:val="7B95154C"/>
    <w:rsid w:val="7BAC6AF2"/>
    <w:rsid w:val="7BDF8E4F"/>
    <w:rsid w:val="7BEF1875"/>
    <w:rsid w:val="7BEFCE0C"/>
    <w:rsid w:val="7BF21F5F"/>
    <w:rsid w:val="7BF5086D"/>
    <w:rsid w:val="7BFB1B70"/>
    <w:rsid w:val="7BFF1BE6"/>
    <w:rsid w:val="7C625323"/>
    <w:rsid w:val="7C6333F8"/>
    <w:rsid w:val="7CBB4118"/>
    <w:rsid w:val="7CE87DA1"/>
    <w:rsid w:val="7CF14EA8"/>
    <w:rsid w:val="7CF71155"/>
    <w:rsid w:val="7CFFD138"/>
    <w:rsid w:val="7D016EE9"/>
    <w:rsid w:val="7D236772"/>
    <w:rsid w:val="7D4FEB70"/>
    <w:rsid w:val="7D765858"/>
    <w:rsid w:val="7D7A0E76"/>
    <w:rsid w:val="7D7F635C"/>
    <w:rsid w:val="7D9B126C"/>
    <w:rsid w:val="7DBF1073"/>
    <w:rsid w:val="7DCF28CE"/>
    <w:rsid w:val="7DCF6F41"/>
    <w:rsid w:val="7DEBFE15"/>
    <w:rsid w:val="7DEF8527"/>
    <w:rsid w:val="7DF1D921"/>
    <w:rsid w:val="7DF5B658"/>
    <w:rsid w:val="7DFB71BB"/>
    <w:rsid w:val="7E3721A5"/>
    <w:rsid w:val="7E9A3D17"/>
    <w:rsid w:val="7EE12CFA"/>
    <w:rsid w:val="7EEB3996"/>
    <w:rsid w:val="7EF2E7FF"/>
    <w:rsid w:val="7EF728C8"/>
    <w:rsid w:val="7F45772D"/>
    <w:rsid w:val="7F4FA3E6"/>
    <w:rsid w:val="7F5D87CD"/>
    <w:rsid w:val="7F6B888C"/>
    <w:rsid w:val="7F73F933"/>
    <w:rsid w:val="7F765B38"/>
    <w:rsid w:val="7F7946F1"/>
    <w:rsid w:val="7FB53473"/>
    <w:rsid w:val="7FBFE1EA"/>
    <w:rsid w:val="7FBFEF01"/>
    <w:rsid w:val="7FD0DBBA"/>
    <w:rsid w:val="7FD725DB"/>
    <w:rsid w:val="7FDBFA90"/>
    <w:rsid w:val="7FDD773C"/>
    <w:rsid w:val="7FDE2DC4"/>
    <w:rsid w:val="7FDFD3EB"/>
    <w:rsid w:val="7FE5EAE1"/>
    <w:rsid w:val="7FED1C69"/>
    <w:rsid w:val="7FF52F01"/>
    <w:rsid w:val="7FF74AA3"/>
    <w:rsid w:val="7FF76E29"/>
    <w:rsid w:val="7FFEC8DB"/>
    <w:rsid w:val="7FFF716B"/>
    <w:rsid w:val="7FFF8B6D"/>
    <w:rsid w:val="7FFF939F"/>
    <w:rsid w:val="7FFFEA27"/>
    <w:rsid w:val="8FF7E4D5"/>
    <w:rsid w:val="926C4042"/>
    <w:rsid w:val="95A74D97"/>
    <w:rsid w:val="9BBF01A6"/>
    <w:rsid w:val="9BF2F5DD"/>
    <w:rsid w:val="9CAF0B23"/>
    <w:rsid w:val="9D5F44DD"/>
    <w:rsid w:val="9EEDC17B"/>
    <w:rsid w:val="9F17C24D"/>
    <w:rsid w:val="9F9D082B"/>
    <w:rsid w:val="9FD8543B"/>
    <w:rsid w:val="A5D3343E"/>
    <w:rsid w:val="AB4D186F"/>
    <w:rsid w:val="ACCFD366"/>
    <w:rsid w:val="ADBD1EF2"/>
    <w:rsid w:val="AF6F9E81"/>
    <w:rsid w:val="B3FD8F85"/>
    <w:rsid w:val="B3FF3B4D"/>
    <w:rsid w:val="B3FF7CCC"/>
    <w:rsid w:val="B5FF1F6B"/>
    <w:rsid w:val="B62FC5C5"/>
    <w:rsid w:val="B7DBE2AE"/>
    <w:rsid w:val="B7F9D8DD"/>
    <w:rsid w:val="B8BDC5B8"/>
    <w:rsid w:val="B8FE666D"/>
    <w:rsid w:val="B9DD8418"/>
    <w:rsid w:val="B9FF8E50"/>
    <w:rsid w:val="BA3F4DA8"/>
    <w:rsid w:val="BAF4BDB5"/>
    <w:rsid w:val="BDBD0B8B"/>
    <w:rsid w:val="BDDDAAF4"/>
    <w:rsid w:val="BE4F430F"/>
    <w:rsid w:val="BF6438F5"/>
    <w:rsid w:val="BF79ECD9"/>
    <w:rsid w:val="BFAE73AF"/>
    <w:rsid w:val="BFBB9C38"/>
    <w:rsid w:val="BFBF8CA8"/>
    <w:rsid w:val="BFCEA345"/>
    <w:rsid w:val="BFFE916F"/>
    <w:rsid w:val="BFFE978A"/>
    <w:rsid w:val="BFFFCBD1"/>
    <w:rsid w:val="BFFFFAE2"/>
    <w:rsid w:val="C593C6F3"/>
    <w:rsid w:val="CB37B5B3"/>
    <w:rsid w:val="CBDB4CBE"/>
    <w:rsid w:val="CBF9739F"/>
    <w:rsid w:val="CDEA59C4"/>
    <w:rsid w:val="CFD9B76A"/>
    <w:rsid w:val="CFDFF0EA"/>
    <w:rsid w:val="CFE107EE"/>
    <w:rsid w:val="D0EDAE89"/>
    <w:rsid w:val="D75C56A7"/>
    <w:rsid w:val="D75D3E70"/>
    <w:rsid w:val="D7DF8F75"/>
    <w:rsid w:val="D95F60D0"/>
    <w:rsid w:val="DA31089E"/>
    <w:rsid w:val="DADDD592"/>
    <w:rsid w:val="DBDF8133"/>
    <w:rsid w:val="DBEFE8BC"/>
    <w:rsid w:val="DBFF44D6"/>
    <w:rsid w:val="DDAFED26"/>
    <w:rsid w:val="DDDF0091"/>
    <w:rsid w:val="DDEF6497"/>
    <w:rsid w:val="DF7FEB80"/>
    <w:rsid w:val="DF9A9D10"/>
    <w:rsid w:val="DFAF9095"/>
    <w:rsid w:val="DFEB7706"/>
    <w:rsid w:val="DFED5787"/>
    <w:rsid w:val="DFF79314"/>
    <w:rsid w:val="DFFDCF23"/>
    <w:rsid w:val="E7AD34EB"/>
    <w:rsid w:val="E7AF4605"/>
    <w:rsid w:val="E7C175C0"/>
    <w:rsid w:val="E97EF13C"/>
    <w:rsid w:val="E9FFDB0C"/>
    <w:rsid w:val="EAFB3590"/>
    <w:rsid w:val="EBBFF8D4"/>
    <w:rsid w:val="EBCBFD97"/>
    <w:rsid w:val="ECFF2C85"/>
    <w:rsid w:val="ED67B070"/>
    <w:rsid w:val="EE99E4A0"/>
    <w:rsid w:val="EF2E7A13"/>
    <w:rsid w:val="EFBFB66E"/>
    <w:rsid w:val="EFCD0014"/>
    <w:rsid w:val="EFCF96FE"/>
    <w:rsid w:val="EFEFDF34"/>
    <w:rsid w:val="F3DF2DD5"/>
    <w:rsid w:val="F3FF54E0"/>
    <w:rsid w:val="F465559B"/>
    <w:rsid w:val="F4F3BF9E"/>
    <w:rsid w:val="F577416B"/>
    <w:rsid w:val="F57F03F8"/>
    <w:rsid w:val="F5D9E138"/>
    <w:rsid w:val="F5FFB16F"/>
    <w:rsid w:val="F63BAA9B"/>
    <w:rsid w:val="F69F744D"/>
    <w:rsid w:val="F777134D"/>
    <w:rsid w:val="F7EF7E6A"/>
    <w:rsid w:val="F7F4062D"/>
    <w:rsid w:val="F7F6D45F"/>
    <w:rsid w:val="F7FF2E99"/>
    <w:rsid w:val="F7FFD1C4"/>
    <w:rsid w:val="F9DF41E6"/>
    <w:rsid w:val="FA9B8125"/>
    <w:rsid w:val="FA9F5117"/>
    <w:rsid w:val="FADFAD1C"/>
    <w:rsid w:val="FADFC6F6"/>
    <w:rsid w:val="FB1F0C64"/>
    <w:rsid w:val="FB6D6482"/>
    <w:rsid w:val="FBA8AAA6"/>
    <w:rsid w:val="FBBFA8B7"/>
    <w:rsid w:val="FBEDB1A2"/>
    <w:rsid w:val="FBEFDAC7"/>
    <w:rsid w:val="FBFB3501"/>
    <w:rsid w:val="FC7FCBF3"/>
    <w:rsid w:val="FD5CCFB9"/>
    <w:rsid w:val="FDAFDF7C"/>
    <w:rsid w:val="FDDE229B"/>
    <w:rsid w:val="FDE3AFAB"/>
    <w:rsid w:val="FDE7C61E"/>
    <w:rsid w:val="FDFCD422"/>
    <w:rsid w:val="FDFFC23D"/>
    <w:rsid w:val="FDFFE2E8"/>
    <w:rsid w:val="FDFFE408"/>
    <w:rsid w:val="FE5F71E2"/>
    <w:rsid w:val="FEAF80E9"/>
    <w:rsid w:val="FEBFAAC6"/>
    <w:rsid w:val="FECDB6ED"/>
    <w:rsid w:val="FEE62468"/>
    <w:rsid w:val="FEEB8C5E"/>
    <w:rsid w:val="FEEF07EE"/>
    <w:rsid w:val="FF3D3496"/>
    <w:rsid w:val="FF5F0A30"/>
    <w:rsid w:val="FF773B9D"/>
    <w:rsid w:val="FFB54968"/>
    <w:rsid w:val="FFBFD019"/>
    <w:rsid w:val="FFC76E76"/>
    <w:rsid w:val="FFD427AD"/>
    <w:rsid w:val="FFD5AB52"/>
    <w:rsid w:val="FFD6591B"/>
    <w:rsid w:val="FFDB72D7"/>
    <w:rsid w:val="FFDB8E43"/>
    <w:rsid w:val="FFE7B177"/>
    <w:rsid w:val="FFF13F71"/>
    <w:rsid w:val="FFF31916"/>
    <w:rsid w:val="FFFD3798"/>
    <w:rsid w:val="FFFDBEDE"/>
    <w:rsid w:val="FFFE66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Arial"/>
      <w:kern w:val="2"/>
      <w:sz w:val="21"/>
      <w:szCs w:val="22"/>
      <w:lang w:val="en-US" w:eastAsia="zh-CN" w:bidi="ar-SA"/>
    </w:rPr>
  </w:style>
  <w:style w:type="paragraph" w:styleId="2">
    <w:name w:val="heading 1"/>
    <w:basedOn w:val="1"/>
    <w:next w:val="1"/>
    <w:qFormat/>
    <w:uiPriority w:val="0"/>
    <w:pPr>
      <w:keepNext/>
      <w:keepLines/>
      <w:spacing w:after="100" w:afterLines="100" w:line="540" w:lineRule="exact"/>
      <w:ind w:firstLine="0" w:firstLineChars="0"/>
      <w:jc w:val="center"/>
      <w:outlineLvl w:val="0"/>
    </w:pPr>
    <w:rPr>
      <w:rFonts w:ascii="Times New Roman" w:hAnsi="Times New Roman" w:eastAsia="方正黑体_GBK"/>
      <w:kern w:val="44"/>
    </w:rPr>
  </w:style>
  <w:style w:type="paragraph" w:styleId="3">
    <w:name w:val="heading 2"/>
    <w:basedOn w:val="1"/>
    <w:next w:val="1"/>
    <w:qFormat/>
    <w:uiPriority w:val="0"/>
    <w:pPr>
      <w:shd w:val="clear" w:color="050000" w:fill="auto"/>
      <w:adjustRightInd w:val="0"/>
      <w:snapToGrid/>
      <w:spacing w:after="100" w:afterLines="100" w:line="540" w:lineRule="exact"/>
      <w:ind w:firstLine="0" w:firstLineChars="0"/>
      <w:outlineLvl w:val="1"/>
    </w:pPr>
    <w:rPr>
      <w:rFonts w:ascii="Times New Roman" w:hAnsi="Times New Roman" w:eastAsia="方正楷体_GBK" w:cs="方正楷体_GBK"/>
    </w:rPr>
  </w:style>
  <w:style w:type="paragraph" w:styleId="4">
    <w:name w:val="heading 3"/>
    <w:basedOn w:val="1"/>
    <w:next w:val="1"/>
    <w:unhideWhenUsed/>
    <w:qFormat/>
    <w:uiPriority w:val="0"/>
    <w:pPr>
      <w:ind w:firstLine="600" w:firstLineChars="200"/>
      <w:jc w:val="left"/>
      <w:outlineLvl w:val="2"/>
    </w:pPr>
    <w:rPr>
      <w:rFonts w:eastAsia="仿宋_GB2312" w:cs="仿宋_GB2312"/>
    </w:rPr>
  </w:style>
  <w:style w:type="character" w:default="1" w:styleId="29">
    <w:name w:val="Default Paragraph Font"/>
    <w:semiHidden/>
    <w:qFormat/>
    <w:uiPriority w:val="0"/>
  </w:style>
  <w:style w:type="table" w:default="1" w:styleId="2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7"/>
      <w:tblCellMar>
        <w:top w:w="0" w:type="dxa"/>
        <w:left w:w="108" w:type="dxa"/>
        <w:bottom w:w="0" w:type="dxa"/>
        <w:right w:w="108" w:type="dxa"/>
      </w:tblCellMar>
    </w:tblPr>
  </w:style>
  <w:style w:type="paragraph" w:styleId="5">
    <w:name w:val="toc 7"/>
    <w:basedOn w:val="1"/>
    <w:next w:val="1"/>
    <w:qFormat/>
    <w:uiPriority w:val="0"/>
    <w:pPr>
      <w:ind w:left="2520"/>
    </w:pPr>
    <w:rPr>
      <w:rFonts w:ascii="Calibri" w:hAnsi="Calibri" w:eastAsia="Calibri" w:cs="Times New Roman"/>
      <w:kern w:val="1"/>
      <w:szCs w:val="24"/>
    </w:rPr>
  </w:style>
  <w:style w:type="paragraph" w:styleId="6">
    <w:name w:val="Normal Indent"/>
    <w:basedOn w:val="1"/>
    <w:next w:val="1"/>
    <w:unhideWhenUsed/>
    <w:qFormat/>
    <w:uiPriority w:val="0"/>
    <w:pPr>
      <w:spacing w:line="360" w:lineRule="auto"/>
      <w:ind w:firstLine="420"/>
    </w:pPr>
    <w:rPr>
      <w:rFonts w:ascii="Times New Roman" w:hAnsi="Times New Roman"/>
      <w:szCs w:val="20"/>
    </w:rPr>
  </w:style>
  <w:style w:type="paragraph" w:styleId="7">
    <w:name w:val="caption"/>
    <w:basedOn w:val="1"/>
    <w:next w:val="1"/>
    <w:qFormat/>
    <w:uiPriority w:val="0"/>
    <w:rPr>
      <w:rFonts w:ascii="等线 Light" w:hAnsi="等线 Light" w:eastAsia="黑体"/>
      <w:sz w:val="20"/>
      <w:szCs w:val="20"/>
    </w:rPr>
  </w:style>
  <w:style w:type="paragraph" w:styleId="8">
    <w:name w:val="index 5"/>
    <w:basedOn w:val="1"/>
    <w:next w:val="1"/>
    <w:qFormat/>
    <w:uiPriority w:val="0"/>
    <w:pPr>
      <w:ind w:left="1680"/>
    </w:pPr>
  </w:style>
  <w:style w:type="paragraph" w:styleId="9">
    <w:name w:val="annotation text"/>
    <w:basedOn w:val="1"/>
    <w:uiPriority w:val="0"/>
    <w:pPr>
      <w:jc w:val="left"/>
    </w:pPr>
  </w:style>
  <w:style w:type="paragraph" w:styleId="10">
    <w:name w:val="Body Text"/>
    <w:basedOn w:val="1"/>
    <w:next w:val="11"/>
    <w:qFormat/>
    <w:uiPriority w:val="0"/>
    <w:pPr>
      <w:shd w:val="clear" w:color="050000" w:fill="auto"/>
      <w:adjustRightInd w:val="0"/>
      <w:snapToGrid w:val="0"/>
    </w:pPr>
  </w:style>
  <w:style w:type="paragraph" w:styleId="11">
    <w:name w:val="Title"/>
    <w:basedOn w:val="1"/>
    <w:next w:val="1"/>
    <w:qFormat/>
    <w:uiPriority w:val="0"/>
    <w:pPr>
      <w:jc w:val="center"/>
      <w:outlineLvl w:val="0"/>
    </w:pPr>
    <w:rPr>
      <w:rFonts w:ascii="Arial" w:hAnsi="Arial" w:cs="Arial"/>
      <w:sz w:val="32"/>
      <w:szCs w:val="32"/>
    </w:rPr>
  </w:style>
  <w:style w:type="paragraph" w:styleId="12">
    <w:name w:val="Body Text Indent"/>
    <w:basedOn w:val="1"/>
    <w:unhideWhenUsed/>
    <w:qFormat/>
    <w:uiPriority w:val="99"/>
    <w:pPr>
      <w:spacing w:after="120"/>
      <w:ind w:left="420" w:leftChars="200"/>
    </w:pPr>
  </w:style>
  <w:style w:type="paragraph" w:styleId="13">
    <w:name w:val="toc 3"/>
    <w:basedOn w:val="1"/>
    <w:next w:val="1"/>
    <w:unhideWhenUsed/>
    <w:qFormat/>
    <w:uiPriority w:val="39"/>
    <w:pPr>
      <w:ind w:left="840" w:leftChars="400"/>
    </w:pPr>
  </w:style>
  <w:style w:type="paragraph" w:styleId="14">
    <w:name w:val="Plain Text"/>
    <w:basedOn w:val="1"/>
    <w:qFormat/>
    <w:uiPriority w:val="99"/>
    <w:rPr>
      <w:rFonts w:ascii="宋体" w:hAnsi="Courier New"/>
      <w:kern w:val="0"/>
      <w:sz w:val="20"/>
      <w:szCs w:val="20"/>
    </w:rPr>
  </w:style>
  <w:style w:type="paragraph" w:styleId="15">
    <w:name w:val="Body Text Indent 2"/>
    <w:basedOn w:val="1"/>
    <w:qFormat/>
    <w:uiPriority w:val="0"/>
    <w:pPr>
      <w:spacing w:after="120" w:line="480" w:lineRule="auto"/>
      <w:ind w:left="200" w:leftChars="200"/>
    </w:pPr>
  </w:style>
  <w:style w:type="paragraph" w:styleId="16">
    <w:name w:val="Balloon Text"/>
    <w:unhideWhenUsed/>
    <w:qFormat/>
    <w:uiPriority w:val="99"/>
    <w:pPr>
      <w:widowControl w:val="0"/>
      <w:spacing w:after="0" w:line="240" w:lineRule="auto"/>
      <w:jc w:val="both"/>
    </w:pPr>
    <w:rPr>
      <w:rFonts w:ascii="Calibri" w:hAnsi="Calibri" w:eastAsia="宋体" w:cs="Times New Roman"/>
      <w:kern w:val="2"/>
      <w:sz w:val="18"/>
      <w:szCs w:val="18"/>
      <w:lang w:val="en-US" w:eastAsia="zh-CN" w:bidi="ar-SA"/>
    </w:rPr>
  </w:style>
  <w:style w:type="paragraph" w:styleId="17">
    <w:name w:val="footer"/>
    <w:basedOn w:val="1"/>
    <w:next w:val="8"/>
    <w:qFormat/>
    <w:uiPriority w:val="0"/>
    <w:pPr>
      <w:tabs>
        <w:tab w:val="center" w:pos="4153"/>
        <w:tab w:val="right" w:pos="8306"/>
      </w:tabs>
      <w:snapToGrid w:val="0"/>
      <w:jc w:val="left"/>
    </w:pPr>
    <w:rPr>
      <w:sz w:val="18"/>
    </w:rPr>
  </w:style>
  <w:style w:type="paragraph" w:styleId="1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0"/>
    <w:pPr>
      <w:tabs>
        <w:tab w:val="right" w:leader="dot" w:pos="8674"/>
      </w:tabs>
      <w:spacing w:line="588" w:lineRule="exact"/>
    </w:pPr>
    <w:rPr>
      <w:rFonts w:ascii="仿宋_GB2312" w:hAnsi="仿宋_GB2312" w:eastAsia="仿宋_GB2312" w:cs="仿宋_GB2312"/>
      <w:b/>
      <w:sz w:val="30"/>
      <w:szCs w:val="30"/>
    </w:rPr>
  </w:style>
  <w:style w:type="paragraph" w:styleId="20">
    <w:name w:val="List"/>
    <w:basedOn w:val="1"/>
    <w:next w:val="21"/>
    <w:unhideWhenUsed/>
    <w:qFormat/>
    <w:uiPriority w:val="0"/>
    <w:pPr>
      <w:ind w:left="200" w:hanging="200" w:hangingChars="200"/>
    </w:pPr>
    <w:rPr>
      <w:rFonts w:ascii="Arial" w:hAnsi="Arial" w:eastAsia="宋体" w:cs="Times New Roman"/>
    </w:rPr>
  </w:style>
  <w:style w:type="paragraph" w:customStyle="1" w:styleId="21">
    <w:name w:val="Default"/>
    <w:next w:val="5"/>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22">
    <w:name w:val="footnote text"/>
    <w:basedOn w:val="1"/>
    <w:unhideWhenUsed/>
    <w:qFormat/>
    <w:uiPriority w:val="99"/>
    <w:pPr>
      <w:snapToGrid w:val="0"/>
      <w:jc w:val="left"/>
    </w:pPr>
    <w:rPr>
      <w:sz w:val="18"/>
    </w:rPr>
  </w:style>
  <w:style w:type="paragraph" w:styleId="23">
    <w:name w:val="toc 2"/>
    <w:basedOn w:val="1"/>
    <w:next w:val="1"/>
    <w:qFormat/>
    <w:uiPriority w:val="0"/>
    <w:pPr>
      <w:tabs>
        <w:tab w:val="right" w:leader="dot" w:pos="8674"/>
      </w:tabs>
      <w:spacing w:line="588" w:lineRule="exact"/>
    </w:pPr>
    <w:rPr>
      <w:rFonts w:ascii="仿宋_GB2312" w:hAnsi="仿宋_GB2312" w:eastAsia="仿宋_GB2312" w:cs="仿宋_GB2312"/>
      <w:sz w:val="30"/>
      <w:szCs w:val="30"/>
    </w:rPr>
  </w:style>
  <w:style w:type="paragraph" w:styleId="2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Body Text First Indent"/>
    <w:qFormat/>
    <w:uiPriority w:val="0"/>
    <w:pPr>
      <w:widowControl w:val="0"/>
      <w:spacing w:after="140" w:line="276" w:lineRule="auto"/>
      <w:ind w:firstLine="100" w:firstLineChars="100"/>
      <w:jc w:val="both"/>
    </w:pPr>
    <w:rPr>
      <w:rFonts w:ascii="Times New Roman" w:hAnsi="Times New Roman" w:eastAsia="仿宋_GB2312" w:cs="Times New Roman"/>
      <w:kern w:val="2"/>
      <w:sz w:val="32"/>
      <w:lang w:val="en-US" w:eastAsia="zh-CN" w:bidi="ar-SA"/>
    </w:rPr>
  </w:style>
  <w:style w:type="paragraph" w:styleId="26">
    <w:name w:val="Body Text First Indent 2"/>
    <w:basedOn w:val="12"/>
    <w:unhideWhenUsed/>
    <w:qFormat/>
    <w:uiPriority w:val="99"/>
    <w:pPr>
      <w:spacing w:after="120" w:afterLines="0"/>
      <w:ind w:left="420" w:leftChars="200" w:firstLine="420"/>
    </w:pPr>
    <w:rPr>
      <w:rFonts w:cs="宋体"/>
      <w:szCs w:val="21"/>
    </w:rPr>
  </w:style>
  <w:style w:type="table" w:styleId="28">
    <w:name w:val="Table Grid"/>
    <w:basedOn w:val="27"/>
    <w:qFormat/>
    <w:uiPriority w:val="0"/>
    <w:pPr>
      <w:widowControl w:val="0"/>
      <w:jc w:val="both"/>
    </w:pPr>
    <w:tblPr>
      <w:tblStyle w:val="2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Emphasis"/>
    <w:basedOn w:val="29"/>
    <w:qFormat/>
    <w:uiPriority w:val="0"/>
    <w:rPr>
      <w:i/>
    </w:rPr>
  </w:style>
  <w:style w:type="character" w:styleId="31">
    <w:name w:val="footnote reference"/>
    <w:basedOn w:val="29"/>
    <w:unhideWhenUsed/>
    <w:qFormat/>
    <w:uiPriority w:val="99"/>
    <w:rPr>
      <w:vertAlign w:val="superscript"/>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4">
    <w:name w:val="font01"/>
    <w:basedOn w:val="29"/>
    <w:uiPriority w:val="0"/>
    <w:rPr>
      <w:rFonts w:hint="eastAsia" w:ascii="宋体" w:hAnsi="宋体" w:eastAsia="宋体" w:cs="宋体"/>
      <w:b/>
      <w:bCs/>
      <w:color w:val="000000"/>
      <w:sz w:val="22"/>
      <w:szCs w:val="22"/>
      <w:u w:val="none"/>
    </w:rPr>
  </w:style>
  <w:style w:type="character" w:customStyle="1" w:styleId="35">
    <w:name w:val="font11"/>
    <w:basedOn w:val="29"/>
    <w:uiPriority w:val="0"/>
    <w:rPr>
      <w:rFonts w:hint="eastAsia" w:ascii="宋体" w:hAnsi="宋体" w:eastAsia="宋体" w:cs="宋体"/>
      <w:color w:val="000000"/>
      <w:sz w:val="22"/>
      <w:szCs w:val="22"/>
      <w:u w:val="none"/>
    </w:rPr>
  </w:style>
  <w:style w:type="character" w:customStyle="1" w:styleId="36">
    <w:name w:val="font81"/>
    <w:basedOn w:val="29"/>
    <w:uiPriority w:val="0"/>
    <w:rPr>
      <w:rFonts w:hint="eastAsia" w:ascii="宋体" w:hAnsi="宋体" w:eastAsia="宋体" w:cs="宋体"/>
      <w:color w:val="000000"/>
      <w:sz w:val="22"/>
      <w:szCs w:val="22"/>
      <w:u w:val="none"/>
    </w:rPr>
  </w:style>
  <w:style w:type="character" w:customStyle="1" w:styleId="37">
    <w:name w:val="font21"/>
    <w:basedOn w:val="29"/>
    <w:uiPriority w:val="0"/>
    <w:rPr>
      <w:rFonts w:hint="eastAsia" w:ascii="宋体" w:hAnsi="宋体" w:eastAsia="宋体" w:cs="宋体"/>
      <w:b/>
      <w:bCs/>
      <w:color w:val="000000"/>
      <w:sz w:val="22"/>
      <w:szCs w:val="22"/>
      <w:u w:val="none"/>
    </w:rPr>
  </w:style>
  <w:style w:type="paragraph" w:customStyle="1" w:styleId="38">
    <w:name w:val="BodyText"/>
    <w:basedOn w:val="1"/>
    <w:qFormat/>
    <w:uiPriority w:val="0"/>
    <w:pPr>
      <w:textAlignment w:val="baseline"/>
    </w:pPr>
    <w:rPr>
      <w:rFonts w:ascii="等线" w:hAnsi="等线" w:eastAsia="等线" w:cs="黑体"/>
    </w:rPr>
  </w:style>
  <w:style w:type="character" w:customStyle="1" w:styleId="39">
    <w:name w:val="font61"/>
    <w:basedOn w:val="29"/>
    <w:uiPriority w:val="0"/>
    <w:rPr>
      <w:rFonts w:hint="eastAsia" w:ascii="仿宋_GB2312" w:eastAsia="仿宋_GB2312" w:cs="仿宋_GB2312"/>
      <w:b/>
      <w:bCs/>
      <w:color w:val="000000"/>
      <w:sz w:val="32"/>
      <w:szCs w:val="32"/>
      <w:u w:val="none"/>
    </w:rPr>
  </w:style>
  <w:style w:type="character" w:customStyle="1" w:styleId="40">
    <w:name w:val="font71"/>
    <w:basedOn w:val="29"/>
    <w:uiPriority w:val="0"/>
    <w:rPr>
      <w:rFonts w:hint="eastAsia" w:ascii="仿宋_GB2312" w:eastAsia="仿宋_GB2312" w:cs="仿宋_GB2312"/>
      <w:color w:val="000000"/>
      <w:sz w:val="32"/>
      <w:szCs w:val="32"/>
      <w:u w:val="none"/>
    </w:rPr>
  </w:style>
  <w:style w:type="character" w:customStyle="1" w:styleId="41">
    <w:name w:val="font91"/>
    <w:basedOn w:val="29"/>
    <w:uiPriority w:val="0"/>
    <w:rPr>
      <w:rFonts w:hint="eastAsia" w:ascii="仿宋_GB2312" w:eastAsia="仿宋_GB2312" w:cs="仿宋_GB2312"/>
      <w:color w:val="000000"/>
      <w:sz w:val="28"/>
      <w:szCs w:val="28"/>
      <w:u w:val="none"/>
    </w:rPr>
  </w:style>
  <w:style w:type="character" w:customStyle="1" w:styleId="42">
    <w:name w:val="font101"/>
    <w:basedOn w:val="29"/>
    <w:uiPriority w:val="0"/>
    <w:rPr>
      <w:rFonts w:hint="default" w:ascii="Times New Roman" w:hAnsi="Times New Roman" w:cs="Times New Roman"/>
      <w:color w:val="000000"/>
      <w:sz w:val="28"/>
      <w:szCs w:val="28"/>
      <w:u w:val="none"/>
    </w:rPr>
  </w:style>
  <w:style w:type="character" w:customStyle="1" w:styleId="43">
    <w:name w:val="font112"/>
    <w:basedOn w:val="29"/>
    <w:uiPriority w:val="0"/>
    <w:rPr>
      <w:rFonts w:ascii="Arial" w:hAnsi="Arial" w:cs="Arial"/>
      <w:color w:val="000000"/>
      <w:sz w:val="28"/>
      <w:szCs w:val="28"/>
      <w:u w:val="none"/>
    </w:rPr>
  </w:style>
  <w:style w:type="character" w:customStyle="1" w:styleId="44">
    <w:name w:val="font121"/>
    <w:basedOn w:val="29"/>
    <w:uiPriority w:val="0"/>
    <w:rPr>
      <w:rFonts w:hint="default" w:ascii="Times New Roman" w:hAnsi="Times New Roman" w:cs="Times New Roman"/>
      <w:color w:val="000000"/>
      <w:sz w:val="28"/>
      <w:szCs w:val="28"/>
      <w:u w:val="none"/>
    </w:rPr>
  </w:style>
  <w:style w:type="character" w:customStyle="1" w:styleId="45">
    <w:name w:val="font131"/>
    <w:basedOn w:val="29"/>
    <w:uiPriority w:val="0"/>
    <w:rPr>
      <w:rFonts w:hint="default" w:ascii="Times New Roman" w:hAnsi="Times New Roman" w:cs="Times New Roman"/>
      <w:color w:val="000000"/>
      <w:sz w:val="28"/>
      <w:szCs w:val="28"/>
      <w:u w:val="none"/>
    </w:rPr>
  </w:style>
  <w:style w:type="character" w:customStyle="1" w:styleId="46">
    <w:name w:val="font17"/>
    <w:basedOn w:val="29"/>
    <w:uiPriority w:val="0"/>
    <w:rPr>
      <w:rFonts w:hint="eastAsia" w:ascii="宋体" w:hAnsi="宋体" w:eastAsia="宋体" w:cs="宋体"/>
      <w:color w:val="000000"/>
      <w:sz w:val="28"/>
      <w:szCs w:val="28"/>
      <w:u w:val="none"/>
    </w:rPr>
  </w:style>
  <w:style w:type="character" w:customStyle="1" w:styleId="47">
    <w:name w:val="font161"/>
    <w:basedOn w:val="29"/>
    <w:uiPriority w:val="0"/>
    <w:rPr>
      <w:rFonts w:hint="eastAsia" w:ascii="宋体" w:hAnsi="宋体" w:eastAsia="宋体" w:cs="宋体"/>
      <w:color w:val="000000"/>
      <w:sz w:val="28"/>
      <w:szCs w:val="28"/>
      <w:u w:val="none"/>
      <w:vertAlign w:val="subscript"/>
    </w:rPr>
  </w:style>
  <w:style w:type="character" w:customStyle="1" w:styleId="48">
    <w:name w:val="font111"/>
    <w:basedOn w:val="29"/>
    <w:uiPriority w:val="0"/>
    <w:rPr>
      <w:rFonts w:hint="eastAsia" w:ascii="宋体" w:hAnsi="宋体" w:eastAsia="宋体" w:cs="宋体"/>
      <w:color w:val="000000"/>
      <w:sz w:val="28"/>
      <w:szCs w:val="28"/>
      <w:u w:val="none"/>
    </w:rPr>
  </w:style>
  <w:style w:type="paragraph" w:customStyle="1" w:styleId="49">
    <w:name w:val="海南化工城正文"/>
    <w:basedOn w:val="50"/>
    <w:qFormat/>
    <w:uiPriority w:val="0"/>
    <w:pPr>
      <w:ind w:left="0" w:firstLine="480" w:firstLineChars="200"/>
    </w:pPr>
    <w:rPr>
      <w:rFonts w:hint="eastAsia" w:cs="Times New Roman"/>
      <w:sz w:val="24"/>
    </w:rPr>
  </w:style>
  <w:style w:type="paragraph" w:customStyle="1" w:styleId="50">
    <w:name w:val="样式 电镀正文 + 首行缩进:  2 字符"/>
    <w:basedOn w:val="51"/>
    <w:qFormat/>
    <w:uiPriority w:val="0"/>
    <w:pPr>
      <w:spacing w:line="324" w:lineRule="auto"/>
    </w:pPr>
    <w:rPr>
      <w:rFonts w:cs="宋体"/>
    </w:rPr>
  </w:style>
  <w:style w:type="paragraph" w:customStyle="1" w:styleId="51">
    <w:name w:val="电镀正文"/>
    <w:basedOn w:val="6"/>
    <w:qFormat/>
    <w:uiPriority w:val="0"/>
    <w:pPr>
      <w:spacing w:line="400" w:lineRule="exact"/>
      <w:ind w:firstLine="200"/>
    </w:pPr>
    <w:rPr>
      <w:rFonts w:ascii="宋体" w:hAnsi="宋体"/>
    </w:rPr>
  </w:style>
  <w:style w:type="character" w:customStyle="1" w:styleId="52">
    <w:name w:val="标题 2 Char"/>
    <w:qFormat/>
    <w:uiPriority w:val="0"/>
    <w:rPr>
      <w:rFonts w:ascii="Times New Roman" w:hAnsi="Times New Roman" w:eastAsia="黑体"/>
    </w:rPr>
  </w:style>
  <w:style w:type="character" w:customStyle="1" w:styleId="53">
    <w:name w:val="font41"/>
    <w:basedOn w:val="29"/>
    <w:qFormat/>
    <w:uiPriority w:val="0"/>
    <w:rPr>
      <w:rFonts w:hint="default" w:ascii="Times New Roman" w:hAnsi="Times New Roman" w:cs="Times New Roman"/>
      <w:color w:val="000000"/>
      <w:sz w:val="24"/>
      <w:szCs w:val="24"/>
      <w:u w:val="none"/>
    </w:rPr>
  </w:style>
  <w:style w:type="character" w:customStyle="1" w:styleId="54">
    <w:name w:val="10"/>
    <w:basedOn w:val="29"/>
    <w:uiPriority w:val="0"/>
    <w:rPr>
      <w:rFonts w:hint="default" w:ascii="Times New Roman" w:hAnsi="Times New Roman" w:cs="Times New Roman"/>
    </w:rPr>
  </w:style>
  <w:style w:type="character" w:customStyle="1" w:styleId="55">
    <w:name w:val="15"/>
    <w:basedOn w:val="29"/>
    <w:uiPriority w:val="0"/>
    <w:rPr>
      <w:rFonts w:hint="eastAsia"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55</Pages>
  <Words>909</Words>
  <Characters>965</Characters>
  <Lines>1</Lines>
  <Paragraphs>1</Paragraphs>
  <TotalTime>168.333333333333</TotalTime>
  <ScaleCrop>false</ScaleCrop>
  <LinksUpToDate>false</LinksUpToDate>
  <CharactersWithSpaces>1072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2026-04-28T09:31:00Z</dcterms:created>
  <dc:creator>Huang</dc:creator>
  <cp:lastModifiedBy>小妮子</cp:lastModifiedBy>
  <cp:lastPrinted>2026-05-19T10:56:47Z</cp:lastPrinted>
  <dcterms:modified xsi:type="dcterms:W3CDTF">2026-06-09T09:23:34Z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53A6D83A45F24F10BD3E2B261702F3BE_13</vt:lpwstr>
  </property>
  <property fmtid="{D5CDD505-2E9C-101B-9397-08002B2CF9AE}" pid="4" name="KSOTemplateDocerSaveRecord">
    <vt:lpwstr>eyJoZGlkIjoiYzAzMmE2YzA4MjBmMGQyM2NlZGZiNjk5MDg3NDdhOTAiLCJ1c2VySWQiOiI4MDQ0NjA5OTAifQ==</vt:lpwstr>
  </property>
</Properties>
</file>