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50337">
      <w:pPr>
        <w:wordWrap w:val="0"/>
        <w:overflowPunct w:val="0"/>
        <w:autoSpaceDE w:val="0"/>
        <w:autoSpaceDN w:val="0"/>
        <w:snapToGrid w:val="0"/>
        <w:spacing w:line="570" w:lineRule="exact"/>
        <w:rPr>
          <w:rFonts w:ascii="黑体" w:eastAsia="黑体"/>
          <w:sz w:val="32"/>
          <w:szCs w:val="32"/>
        </w:rPr>
      </w:pPr>
      <w:r>
        <w:rPr>
          <w:rFonts w:hint="eastAsia" w:ascii="黑体" w:eastAsia="黑体"/>
          <w:sz w:val="32"/>
          <w:szCs w:val="32"/>
        </w:rPr>
        <w:t>附件</w:t>
      </w:r>
    </w:p>
    <w:p w14:paraId="3780FD2A">
      <w:pPr>
        <w:wordWrap w:val="0"/>
        <w:overflowPunct w:val="0"/>
        <w:autoSpaceDE w:val="0"/>
        <w:autoSpaceDN w:val="0"/>
        <w:snapToGrid w:val="0"/>
        <w:spacing w:line="570" w:lineRule="exact"/>
        <w:rPr>
          <w:rFonts w:ascii="黑体" w:eastAsia="黑体"/>
          <w:sz w:val="32"/>
          <w:szCs w:val="32"/>
        </w:rPr>
      </w:pPr>
    </w:p>
    <w:p w14:paraId="1E72E9FB">
      <w:pPr>
        <w:overflowPunct w:val="0"/>
        <w:autoSpaceDE w:val="0"/>
        <w:autoSpaceDN w:val="0"/>
        <w:adjustRightInd w:val="0"/>
        <w:spacing w:line="570" w:lineRule="exact"/>
        <w:jc w:val="center"/>
        <w:textAlignment w:val="baseline"/>
        <w:rPr>
          <w:rFonts w:ascii="方正小标宋简体" w:hAnsi="宋体" w:eastAsia="方正小标宋简体"/>
          <w:bCs/>
          <w:kern w:val="0"/>
          <w:sz w:val="36"/>
          <w:szCs w:val="36"/>
        </w:rPr>
      </w:pPr>
      <w:r>
        <w:rPr>
          <w:rFonts w:hint="eastAsia" w:ascii="方正小标宋简体" w:hAnsi="宋体" w:eastAsia="方正小标宋简体"/>
          <w:bCs/>
          <w:kern w:val="0"/>
          <w:sz w:val="36"/>
          <w:szCs w:val="36"/>
        </w:rPr>
        <w:t>市属商业集团碳达峰碳中和及节能工作考核办法</w:t>
      </w:r>
    </w:p>
    <w:p w14:paraId="196B5F57">
      <w:pPr>
        <w:wordWrap w:val="0"/>
        <w:overflowPunct w:val="0"/>
        <w:autoSpaceDE w:val="0"/>
        <w:autoSpaceDN w:val="0"/>
        <w:adjustRightInd w:val="0"/>
        <w:spacing w:line="570" w:lineRule="exact"/>
        <w:textAlignment w:val="baseline"/>
        <w:rPr>
          <w:rFonts w:ascii="方正小标宋简体" w:hAnsi="宋体" w:eastAsia="方正小标宋简体"/>
          <w:bCs/>
          <w:kern w:val="0"/>
          <w:sz w:val="36"/>
          <w:szCs w:val="36"/>
        </w:rPr>
      </w:pPr>
    </w:p>
    <w:p w14:paraId="15F0C9EB">
      <w:pPr>
        <w:wordWrap w:val="0"/>
        <w:overflowPunct w:val="0"/>
        <w:autoSpaceDE w:val="0"/>
        <w:autoSpaceDN w:val="0"/>
        <w:snapToGrid w:val="0"/>
        <w:spacing w:line="570" w:lineRule="exact"/>
        <w:ind w:firstLine="600" w:firstLineChars="200"/>
        <w:rPr>
          <w:rFonts w:ascii="仿宋_GB2312" w:hAnsi="仿宋" w:eastAsia="仿宋_GB2312"/>
          <w:kern w:val="11"/>
          <w:sz w:val="30"/>
          <w:szCs w:val="30"/>
        </w:rPr>
      </w:pPr>
      <w:r>
        <w:rPr>
          <w:rFonts w:hint="eastAsia" w:ascii="仿宋_GB2312" w:hAnsi="仿宋" w:eastAsia="仿宋_GB2312"/>
          <w:kern w:val="11"/>
          <w:sz w:val="30"/>
          <w:szCs w:val="30"/>
        </w:rPr>
        <w:t>为进一步提高能源利用效率，有力推进我市碳达峰碳中和工作，普及绿色消费理念，激发和释放绿色消费需求，完成2026年商业节能降碳绿色发展任务，对市属商业集团碳达峰碳中和及节能工作开展评价考核。</w:t>
      </w:r>
    </w:p>
    <w:p w14:paraId="4CD792C7">
      <w:pPr>
        <w:wordWrap w:val="0"/>
        <w:overflowPunct w:val="0"/>
        <w:autoSpaceDE w:val="0"/>
        <w:autoSpaceDN w:val="0"/>
        <w:snapToGrid w:val="0"/>
        <w:spacing w:line="570" w:lineRule="exact"/>
        <w:ind w:firstLine="600" w:firstLineChars="200"/>
        <w:rPr>
          <w:rFonts w:ascii="黑体" w:hAnsi="楷体" w:eastAsia="黑体"/>
          <w:kern w:val="11"/>
          <w:sz w:val="30"/>
          <w:szCs w:val="30"/>
        </w:rPr>
      </w:pPr>
      <w:r>
        <w:rPr>
          <w:rFonts w:hint="eastAsia" w:ascii="黑体" w:hAnsi="楷体" w:eastAsia="黑体"/>
          <w:kern w:val="11"/>
          <w:sz w:val="30"/>
          <w:szCs w:val="30"/>
        </w:rPr>
        <w:t>一、评价内容</w:t>
      </w:r>
    </w:p>
    <w:p w14:paraId="267251F9">
      <w:pPr>
        <w:wordWrap w:val="0"/>
        <w:overflowPunct w:val="0"/>
        <w:autoSpaceDE w:val="0"/>
        <w:autoSpaceDN w:val="0"/>
        <w:snapToGrid w:val="0"/>
        <w:spacing w:line="570" w:lineRule="exact"/>
        <w:ind w:firstLine="600" w:firstLineChars="200"/>
        <w:rPr>
          <w:rFonts w:ascii="仿宋_GB2312" w:hAnsi="仿宋" w:eastAsia="仿宋_GB2312"/>
          <w:kern w:val="11"/>
          <w:sz w:val="30"/>
          <w:szCs w:val="30"/>
        </w:rPr>
      </w:pPr>
      <w:r>
        <w:rPr>
          <w:rFonts w:hint="eastAsia" w:ascii="仿宋_GB2312" w:hAnsi="仿宋" w:eastAsia="仿宋_GB2312"/>
          <w:kern w:val="11"/>
          <w:sz w:val="30"/>
          <w:szCs w:val="30"/>
        </w:rPr>
        <w:t>根据“十五五”商业节能减碳绿色发展重点任务，重点评价各集团上一年度节能减碳重点任务和绿色转型发展工作开展情况，主要包括节能降碳工作目标和工作管理机制、节能能力建设、对标达标/能源审计、节能技改、分项计量、绿色消费促进工作、绿色示范创建、塑料污染治理/包装减量、垃圾分类等方面工作。</w:t>
      </w:r>
    </w:p>
    <w:p w14:paraId="4C48CB37">
      <w:pPr>
        <w:wordWrap w:val="0"/>
        <w:overflowPunct w:val="0"/>
        <w:autoSpaceDE w:val="0"/>
        <w:autoSpaceDN w:val="0"/>
        <w:snapToGrid w:val="0"/>
        <w:spacing w:line="570" w:lineRule="exact"/>
        <w:ind w:firstLine="600" w:firstLineChars="200"/>
        <w:rPr>
          <w:rFonts w:ascii="黑体" w:hAnsi="楷体" w:eastAsia="黑体"/>
          <w:kern w:val="11"/>
          <w:sz w:val="30"/>
          <w:szCs w:val="30"/>
        </w:rPr>
      </w:pPr>
      <w:r>
        <w:rPr>
          <w:rFonts w:hint="eastAsia" w:ascii="黑体" w:hAnsi="楷体" w:eastAsia="黑体"/>
          <w:kern w:val="11"/>
          <w:sz w:val="30"/>
          <w:szCs w:val="30"/>
        </w:rPr>
        <w:t>二、评价方法</w:t>
      </w:r>
    </w:p>
    <w:p w14:paraId="5110A25C">
      <w:pPr>
        <w:wordWrap w:val="0"/>
        <w:overflowPunct w:val="0"/>
        <w:autoSpaceDE w:val="0"/>
        <w:autoSpaceDN w:val="0"/>
        <w:snapToGrid w:val="0"/>
        <w:spacing w:line="570" w:lineRule="exact"/>
        <w:ind w:firstLine="600" w:firstLineChars="200"/>
        <w:rPr>
          <w:rFonts w:ascii="仿宋_GB2312" w:hAnsi="仿宋" w:eastAsia="仿宋_GB2312"/>
          <w:kern w:val="11"/>
          <w:sz w:val="30"/>
          <w:szCs w:val="30"/>
        </w:rPr>
      </w:pPr>
      <w:r>
        <w:rPr>
          <w:rFonts w:hint="eastAsia" w:ascii="仿宋_GB2312" w:hAnsi="仿宋" w:eastAsia="仿宋_GB2312"/>
          <w:kern w:val="11"/>
          <w:sz w:val="30"/>
          <w:szCs w:val="30"/>
        </w:rPr>
        <w:t>年度评价采用量化评分方式，对照市属商业集团年度碳达峰碳中和及节能工作评价指标体系（详见表1）逐项评分，各项工作具体要求由市商务委根据当年工作确定。</w:t>
      </w:r>
    </w:p>
    <w:p w14:paraId="32DCA4A2">
      <w:pPr>
        <w:wordWrap w:val="0"/>
        <w:overflowPunct w:val="0"/>
        <w:autoSpaceDE w:val="0"/>
        <w:autoSpaceDN w:val="0"/>
        <w:snapToGrid w:val="0"/>
        <w:spacing w:line="570" w:lineRule="exact"/>
        <w:ind w:firstLine="600" w:firstLineChars="200"/>
        <w:rPr>
          <w:rFonts w:ascii="楷体" w:hAnsi="楷体" w:eastAsia="楷体"/>
          <w:b/>
          <w:kern w:val="11"/>
          <w:sz w:val="30"/>
          <w:szCs w:val="30"/>
        </w:rPr>
      </w:pPr>
      <w:r>
        <w:rPr>
          <w:rFonts w:hint="eastAsia" w:ascii="黑体" w:hAnsi="楷体" w:eastAsia="黑体"/>
          <w:kern w:val="11"/>
          <w:sz w:val="30"/>
          <w:szCs w:val="30"/>
        </w:rPr>
        <w:t>三、评价程序</w:t>
      </w:r>
    </w:p>
    <w:p w14:paraId="1694C504">
      <w:pPr>
        <w:wordWrap w:val="0"/>
        <w:overflowPunct w:val="0"/>
        <w:autoSpaceDE w:val="0"/>
        <w:autoSpaceDN w:val="0"/>
        <w:snapToGrid w:val="0"/>
        <w:spacing w:line="570" w:lineRule="exact"/>
        <w:ind w:firstLine="600" w:firstLineChars="200"/>
        <w:rPr>
          <w:rFonts w:ascii="仿宋_GB2312" w:hAnsi="仿宋" w:eastAsia="仿宋_GB2312"/>
          <w:kern w:val="11"/>
          <w:sz w:val="30"/>
          <w:szCs w:val="30"/>
        </w:rPr>
      </w:pPr>
      <w:r>
        <w:rPr>
          <w:rFonts w:hint="eastAsia" w:ascii="仿宋_GB2312" w:hAnsi="仿宋" w:eastAsia="仿宋_GB2312"/>
          <w:kern w:val="11"/>
          <w:sz w:val="30"/>
          <w:szCs w:val="30"/>
        </w:rPr>
        <w:t>每年年终总结时，市属商业集团根据市商务委通知组织编制上一年碳达峰碳中和及节能工作自评总结报告。次年上半年，由市商务委视情采取资料查阅、实地调研、部门会商、交流坐谈等方式，对各市属商业集团碳达峰碳中和及节能工作进行考核，形成评价意见。</w:t>
      </w:r>
    </w:p>
    <w:p w14:paraId="2EFBBFF2">
      <w:pPr>
        <w:wordWrap w:val="0"/>
        <w:overflowPunct w:val="0"/>
        <w:autoSpaceDE w:val="0"/>
        <w:autoSpaceDN w:val="0"/>
        <w:snapToGrid w:val="0"/>
        <w:spacing w:line="570" w:lineRule="exact"/>
        <w:ind w:firstLine="600" w:firstLineChars="200"/>
        <w:rPr>
          <w:rFonts w:ascii="黑体" w:hAnsi="楷体" w:eastAsia="黑体"/>
          <w:kern w:val="11"/>
          <w:sz w:val="30"/>
          <w:szCs w:val="30"/>
        </w:rPr>
      </w:pPr>
      <w:r>
        <w:rPr>
          <w:rFonts w:hint="eastAsia" w:ascii="黑体" w:hAnsi="楷体" w:eastAsia="黑体"/>
          <w:kern w:val="11"/>
          <w:sz w:val="30"/>
          <w:szCs w:val="30"/>
        </w:rPr>
        <w:t>四、结果运用</w:t>
      </w:r>
    </w:p>
    <w:p w14:paraId="14E07979">
      <w:pPr>
        <w:wordWrap w:val="0"/>
        <w:overflowPunct w:val="0"/>
        <w:autoSpaceDE w:val="0"/>
        <w:autoSpaceDN w:val="0"/>
        <w:snapToGrid w:val="0"/>
        <w:spacing w:line="570" w:lineRule="exact"/>
        <w:ind w:firstLine="600" w:firstLineChars="200"/>
        <w:rPr>
          <w:rFonts w:ascii="仿宋_GB2312" w:hAnsi="仿宋" w:eastAsia="仿宋_GB2312"/>
          <w:kern w:val="11"/>
          <w:sz w:val="30"/>
          <w:szCs w:val="30"/>
        </w:rPr>
      </w:pPr>
      <w:r>
        <w:rPr>
          <w:rFonts w:hint="eastAsia" w:ascii="仿宋_GB2312" w:hAnsi="仿宋" w:eastAsia="仿宋_GB2312"/>
          <w:kern w:val="11"/>
          <w:sz w:val="30"/>
          <w:szCs w:val="30"/>
        </w:rPr>
        <w:t>市属商业集团年度评价结果用于市国资委对于市管国有企业任期经营业绩考核，由市商务委以公函形式确认，不向社会公开。</w:t>
      </w:r>
    </w:p>
    <w:p w14:paraId="62C99F56">
      <w:pPr>
        <w:wordWrap w:val="0"/>
        <w:overflowPunct w:val="0"/>
        <w:autoSpaceDE w:val="0"/>
        <w:autoSpaceDN w:val="0"/>
        <w:snapToGrid w:val="0"/>
        <w:spacing w:line="570" w:lineRule="exact"/>
        <w:ind w:firstLine="600" w:firstLineChars="200"/>
        <w:rPr>
          <w:rFonts w:ascii="黑体" w:hAnsi="楷体" w:eastAsia="黑体"/>
          <w:kern w:val="11"/>
          <w:sz w:val="30"/>
          <w:szCs w:val="30"/>
        </w:rPr>
      </w:pPr>
      <w:r>
        <w:rPr>
          <w:rFonts w:hint="eastAsia" w:ascii="黑体" w:hAnsi="楷体" w:eastAsia="黑体"/>
          <w:kern w:val="11"/>
          <w:sz w:val="30"/>
          <w:szCs w:val="30"/>
        </w:rPr>
        <w:t>五、指标体系</w:t>
      </w:r>
    </w:p>
    <w:p w14:paraId="51DE9680">
      <w:pPr>
        <w:wordWrap w:val="0"/>
        <w:overflowPunct w:val="0"/>
        <w:autoSpaceDE w:val="0"/>
        <w:autoSpaceDN w:val="0"/>
        <w:spacing w:line="570" w:lineRule="exact"/>
        <w:ind w:firstLine="600" w:firstLineChars="200"/>
        <w:rPr>
          <w:rFonts w:ascii="黑体" w:hAnsi="仿宋_GB2312" w:eastAsia="黑体" w:cs="仿宋_GB2312"/>
          <w:sz w:val="32"/>
          <w:szCs w:val="32"/>
        </w:rPr>
      </w:pPr>
      <w:r>
        <w:rPr>
          <w:rFonts w:hint="eastAsia" w:ascii="仿宋_GB2312" w:hAnsi="仿宋" w:eastAsia="仿宋_GB2312"/>
          <w:kern w:val="11"/>
          <w:sz w:val="30"/>
          <w:szCs w:val="30"/>
        </w:rPr>
        <w:t>详见附表。</w:t>
      </w:r>
    </w:p>
    <w:p w14:paraId="59170BEF">
      <w:pPr>
        <w:overflowPunct w:val="0"/>
        <w:autoSpaceDE w:val="0"/>
        <w:autoSpaceDN w:val="0"/>
        <w:spacing w:line="700" w:lineRule="exact"/>
        <w:ind w:firstLine="640" w:firstLineChars="200"/>
        <w:rPr>
          <w:rFonts w:ascii="黑体" w:hAnsi="仿宋_GB2312" w:eastAsia="黑体" w:cs="仿宋_GB2312"/>
          <w:sz w:val="32"/>
          <w:szCs w:val="32"/>
        </w:rPr>
      </w:pPr>
    </w:p>
    <w:p w14:paraId="51F157A4">
      <w:pPr>
        <w:overflowPunct w:val="0"/>
        <w:autoSpaceDE w:val="0"/>
        <w:autoSpaceDN w:val="0"/>
        <w:spacing w:line="700" w:lineRule="exact"/>
        <w:rPr>
          <w:rFonts w:ascii="黑体" w:hAnsi="仿宋_GB2312" w:eastAsia="黑体" w:cs="仿宋_GB2312"/>
          <w:sz w:val="32"/>
          <w:szCs w:val="32"/>
        </w:rPr>
      </w:pPr>
    </w:p>
    <w:p w14:paraId="58F4EECD">
      <w:pPr>
        <w:overflowPunct w:val="0"/>
        <w:autoSpaceDE w:val="0"/>
        <w:autoSpaceDN w:val="0"/>
        <w:spacing w:line="780" w:lineRule="exact"/>
        <w:rPr>
          <w:rFonts w:ascii="黑体" w:hAnsi="仿宋_GB2312" w:eastAsia="黑体" w:cs="仿宋_GB2312"/>
          <w:sz w:val="32"/>
          <w:szCs w:val="32"/>
        </w:rPr>
      </w:pPr>
    </w:p>
    <w:p w14:paraId="285155D3">
      <w:pPr>
        <w:overflowPunct w:val="0"/>
        <w:autoSpaceDE w:val="0"/>
        <w:autoSpaceDN w:val="0"/>
        <w:spacing w:line="780" w:lineRule="exact"/>
        <w:rPr>
          <w:rFonts w:ascii="黑体" w:hAnsi="仿宋_GB2312" w:eastAsia="黑体" w:cs="仿宋_GB2312"/>
          <w:sz w:val="32"/>
          <w:szCs w:val="32"/>
        </w:rPr>
      </w:pPr>
    </w:p>
    <w:p w14:paraId="2379B061">
      <w:pPr>
        <w:overflowPunct w:val="0"/>
        <w:autoSpaceDE w:val="0"/>
        <w:autoSpaceDN w:val="0"/>
        <w:spacing w:line="780" w:lineRule="exact"/>
        <w:rPr>
          <w:rFonts w:ascii="黑体" w:hAnsi="仿宋_GB2312" w:eastAsia="黑体" w:cs="仿宋_GB2312"/>
          <w:sz w:val="32"/>
          <w:szCs w:val="32"/>
        </w:rPr>
      </w:pPr>
    </w:p>
    <w:p w14:paraId="3EDAD4F7">
      <w:pPr>
        <w:overflowPunct w:val="0"/>
        <w:autoSpaceDE w:val="0"/>
        <w:autoSpaceDN w:val="0"/>
        <w:spacing w:line="780" w:lineRule="exact"/>
        <w:rPr>
          <w:rFonts w:ascii="黑体" w:hAnsi="仿宋_GB2312" w:eastAsia="黑体" w:cs="仿宋_GB2312"/>
          <w:sz w:val="32"/>
          <w:szCs w:val="32"/>
        </w:rPr>
      </w:pPr>
    </w:p>
    <w:p w14:paraId="36744EAF">
      <w:pPr>
        <w:overflowPunct w:val="0"/>
        <w:autoSpaceDE w:val="0"/>
        <w:autoSpaceDN w:val="0"/>
        <w:spacing w:line="780" w:lineRule="exact"/>
        <w:rPr>
          <w:rFonts w:ascii="黑体" w:hAnsi="仿宋_GB2312" w:eastAsia="黑体" w:cs="仿宋_GB2312"/>
          <w:sz w:val="32"/>
          <w:szCs w:val="32"/>
        </w:rPr>
      </w:pPr>
    </w:p>
    <w:p w14:paraId="04B18573">
      <w:pPr>
        <w:overflowPunct w:val="0"/>
        <w:autoSpaceDE w:val="0"/>
        <w:autoSpaceDN w:val="0"/>
        <w:spacing w:line="780" w:lineRule="exact"/>
        <w:rPr>
          <w:rFonts w:ascii="黑体" w:hAnsi="仿宋_GB2312" w:eastAsia="黑体" w:cs="仿宋_GB2312"/>
          <w:sz w:val="32"/>
          <w:szCs w:val="32"/>
        </w:rPr>
      </w:pPr>
    </w:p>
    <w:p w14:paraId="6F4FD900">
      <w:pPr>
        <w:overflowPunct w:val="0"/>
        <w:autoSpaceDE w:val="0"/>
        <w:autoSpaceDN w:val="0"/>
        <w:spacing w:line="780" w:lineRule="exact"/>
        <w:rPr>
          <w:rFonts w:ascii="黑体" w:hAnsi="仿宋_GB2312" w:eastAsia="黑体" w:cs="仿宋_GB2312"/>
          <w:sz w:val="32"/>
          <w:szCs w:val="32"/>
        </w:rPr>
      </w:pPr>
    </w:p>
    <w:p w14:paraId="6C603DB7">
      <w:pPr>
        <w:overflowPunct w:val="0"/>
        <w:autoSpaceDE w:val="0"/>
        <w:autoSpaceDN w:val="0"/>
        <w:spacing w:line="780" w:lineRule="exact"/>
        <w:rPr>
          <w:rFonts w:ascii="黑体" w:hAnsi="仿宋_GB2312" w:eastAsia="黑体" w:cs="仿宋_GB2312"/>
          <w:sz w:val="32"/>
          <w:szCs w:val="32"/>
        </w:rPr>
      </w:pPr>
    </w:p>
    <w:p w14:paraId="6C9187D0">
      <w:pPr>
        <w:overflowPunct w:val="0"/>
        <w:autoSpaceDE w:val="0"/>
        <w:autoSpaceDN w:val="0"/>
        <w:spacing w:line="780" w:lineRule="exact"/>
        <w:rPr>
          <w:rFonts w:ascii="黑体" w:hAnsi="仿宋_GB2312" w:eastAsia="黑体" w:cs="仿宋_GB2312"/>
          <w:sz w:val="32"/>
          <w:szCs w:val="32"/>
        </w:rPr>
      </w:pPr>
    </w:p>
    <w:p w14:paraId="6F8E7600">
      <w:pPr>
        <w:snapToGrid w:val="0"/>
        <w:spacing w:line="420" w:lineRule="exact"/>
        <w:rPr>
          <w:rFonts w:hint="eastAsia" w:ascii="黑体" w:hAnsi="仿宋" w:eastAsia="黑体"/>
          <w:bCs/>
          <w:kern w:val="11"/>
          <w:sz w:val="32"/>
          <w:szCs w:val="32"/>
        </w:rPr>
      </w:pPr>
    </w:p>
    <w:p w14:paraId="55E96567">
      <w:pPr>
        <w:snapToGrid w:val="0"/>
        <w:spacing w:line="420" w:lineRule="exact"/>
        <w:rPr>
          <w:rFonts w:hint="eastAsia" w:ascii="黑体" w:hAnsi="仿宋" w:eastAsia="黑体"/>
          <w:bCs/>
          <w:kern w:val="11"/>
          <w:sz w:val="32"/>
          <w:szCs w:val="32"/>
        </w:rPr>
      </w:pPr>
    </w:p>
    <w:p w14:paraId="764C80FD">
      <w:pPr>
        <w:snapToGrid w:val="0"/>
        <w:spacing w:line="420" w:lineRule="exact"/>
        <w:rPr>
          <w:rFonts w:hint="eastAsia" w:ascii="黑体" w:hAnsi="仿宋" w:eastAsia="黑体"/>
          <w:bCs/>
          <w:kern w:val="11"/>
          <w:sz w:val="32"/>
          <w:szCs w:val="32"/>
        </w:rPr>
      </w:pPr>
    </w:p>
    <w:p w14:paraId="2A7580E7">
      <w:pPr>
        <w:snapToGrid w:val="0"/>
        <w:spacing w:line="420" w:lineRule="exact"/>
        <w:rPr>
          <w:rFonts w:hint="eastAsia" w:ascii="黑体" w:hAnsi="仿宋" w:eastAsia="黑体"/>
          <w:bCs/>
          <w:kern w:val="11"/>
          <w:sz w:val="32"/>
          <w:szCs w:val="32"/>
        </w:rPr>
      </w:pPr>
    </w:p>
    <w:p w14:paraId="09E46701">
      <w:pPr>
        <w:snapToGrid w:val="0"/>
        <w:spacing w:line="420" w:lineRule="exact"/>
        <w:rPr>
          <w:rFonts w:hint="eastAsia" w:ascii="黑体" w:hAnsi="仿宋" w:eastAsia="黑体"/>
          <w:bCs/>
          <w:kern w:val="11"/>
          <w:sz w:val="32"/>
          <w:szCs w:val="32"/>
        </w:rPr>
      </w:pPr>
    </w:p>
    <w:p w14:paraId="7B695931">
      <w:pPr>
        <w:snapToGrid w:val="0"/>
        <w:spacing w:line="420" w:lineRule="exact"/>
        <w:rPr>
          <w:rFonts w:ascii="黑体" w:hAnsi="仿宋" w:eastAsia="黑体"/>
          <w:bCs/>
          <w:kern w:val="11"/>
          <w:sz w:val="32"/>
          <w:szCs w:val="32"/>
        </w:rPr>
      </w:pPr>
      <w:bookmarkStart w:id="0" w:name="_GoBack"/>
      <w:bookmarkEnd w:id="0"/>
      <w:r>
        <w:rPr>
          <w:rFonts w:hint="eastAsia" w:ascii="黑体" w:hAnsi="仿宋" w:eastAsia="黑体"/>
          <w:bCs/>
          <w:kern w:val="11"/>
          <w:sz w:val="32"/>
          <w:szCs w:val="32"/>
        </w:rPr>
        <w:t>附表</w:t>
      </w:r>
    </w:p>
    <w:p w14:paraId="4E056FEB">
      <w:pPr>
        <w:snapToGrid w:val="0"/>
        <w:spacing w:line="420" w:lineRule="exact"/>
        <w:rPr>
          <w:rFonts w:ascii="黑体" w:hAnsi="仿宋" w:eastAsia="黑体"/>
          <w:bCs/>
          <w:kern w:val="11"/>
          <w:sz w:val="32"/>
          <w:szCs w:val="32"/>
        </w:rPr>
      </w:pPr>
    </w:p>
    <w:p w14:paraId="6024E638">
      <w:pPr>
        <w:snapToGrid w:val="0"/>
        <w:spacing w:line="420" w:lineRule="exact"/>
        <w:jc w:val="center"/>
        <w:rPr>
          <w:rFonts w:ascii="方正小标宋简体" w:hAnsi="仿宋" w:eastAsia="方正小标宋简体"/>
          <w:bCs/>
          <w:kern w:val="11"/>
          <w:sz w:val="36"/>
          <w:szCs w:val="36"/>
        </w:rPr>
      </w:pPr>
      <w:r>
        <w:rPr>
          <w:rFonts w:hint="eastAsia" w:ascii="方正小标宋简体" w:hAnsi="仿宋" w:eastAsia="方正小标宋简体"/>
          <w:bCs/>
          <w:kern w:val="11"/>
          <w:sz w:val="36"/>
          <w:szCs w:val="36"/>
        </w:rPr>
        <w:t>市属集团年度碳达峰碳中和及节能工作评价指标体系</w:t>
      </w:r>
    </w:p>
    <w:p w14:paraId="06FB32D5">
      <w:pPr>
        <w:snapToGrid w:val="0"/>
        <w:spacing w:line="420" w:lineRule="exact"/>
        <w:jc w:val="center"/>
        <w:rPr>
          <w:rFonts w:ascii="方正小标宋简体" w:hAnsi="仿宋" w:eastAsia="方正小标宋简体"/>
          <w:bCs/>
          <w:kern w:val="11"/>
          <w:sz w:val="36"/>
          <w:szCs w:val="36"/>
        </w:rPr>
      </w:pPr>
    </w:p>
    <w:tbl>
      <w:tblPr>
        <w:tblStyle w:val="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1148"/>
        <w:gridCol w:w="717"/>
        <w:gridCol w:w="5740"/>
      </w:tblGrid>
      <w:tr w14:paraId="0FBA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blHeader/>
        </w:trPr>
        <w:tc>
          <w:tcPr>
            <w:tcW w:w="2291" w:type="dxa"/>
            <w:gridSpan w:val="2"/>
            <w:vAlign w:val="center"/>
          </w:tcPr>
          <w:p w14:paraId="05C97A47">
            <w:pPr>
              <w:jc w:val="center"/>
              <w:rPr>
                <w:b/>
                <w:szCs w:val="21"/>
              </w:rPr>
            </w:pPr>
            <w:r>
              <w:rPr>
                <w:b/>
                <w:szCs w:val="21"/>
              </w:rPr>
              <w:t>考核内容</w:t>
            </w:r>
          </w:p>
        </w:tc>
        <w:tc>
          <w:tcPr>
            <w:tcW w:w="717" w:type="dxa"/>
            <w:vAlign w:val="center"/>
          </w:tcPr>
          <w:p w14:paraId="6957ED1B">
            <w:pPr>
              <w:jc w:val="center"/>
              <w:rPr>
                <w:b/>
                <w:szCs w:val="21"/>
              </w:rPr>
            </w:pPr>
            <w:r>
              <w:rPr>
                <w:b/>
                <w:szCs w:val="21"/>
              </w:rPr>
              <w:t>分值</w:t>
            </w:r>
          </w:p>
        </w:tc>
        <w:tc>
          <w:tcPr>
            <w:tcW w:w="5740" w:type="dxa"/>
            <w:vAlign w:val="center"/>
          </w:tcPr>
          <w:p w14:paraId="507C4E0A">
            <w:pPr>
              <w:jc w:val="center"/>
              <w:rPr>
                <w:b/>
                <w:szCs w:val="21"/>
              </w:rPr>
            </w:pPr>
            <w:r>
              <w:rPr>
                <w:b/>
                <w:bCs/>
                <w:szCs w:val="21"/>
              </w:rPr>
              <w:t>评分标准</w:t>
            </w:r>
          </w:p>
        </w:tc>
      </w:tr>
      <w:tr w14:paraId="7898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143" w:type="dxa"/>
            <w:vAlign w:val="center"/>
          </w:tcPr>
          <w:p w14:paraId="0C8D989B">
            <w:pPr>
              <w:jc w:val="center"/>
              <w:rPr>
                <w:szCs w:val="21"/>
              </w:rPr>
            </w:pPr>
            <w:r>
              <w:rPr>
                <w:rFonts w:hint="eastAsia"/>
                <w:szCs w:val="21"/>
              </w:rPr>
              <w:t>节能降碳目标</w:t>
            </w:r>
          </w:p>
          <w:p w14:paraId="734FAD1B">
            <w:pPr>
              <w:jc w:val="center"/>
              <w:rPr>
                <w:szCs w:val="21"/>
              </w:rPr>
            </w:pPr>
            <w:r>
              <w:rPr>
                <w:rFonts w:hint="eastAsia"/>
                <w:szCs w:val="21"/>
              </w:rPr>
              <w:t>（30分）</w:t>
            </w:r>
          </w:p>
        </w:tc>
        <w:tc>
          <w:tcPr>
            <w:tcW w:w="1148" w:type="dxa"/>
            <w:vAlign w:val="center"/>
          </w:tcPr>
          <w:p w14:paraId="0185DF1A">
            <w:pPr>
              <w:jc w:val="center"/>
              <w:rPr>
                <w:szCs w:val="21"/>
              </w:rPr>
            </w:pPr>
            <w:r>
              <w:rPr>
                <w:rFonts w:hint="eastAsia"/>
                <w:szCs w:val="21"/>
              </w:rPr>
              <w:t>重点用能单位能效水平</w:t>
            </w:r>
          </w:p>
        </w:tc>
        <w:tc>
          <w:tcPr>
            <w:tcW w:w="717" w:type="dxa"/>
            <w:vAlign w:val="center"/>
          </w:tcPr>
          <w:p w14:paraId="64C81C1B">
            <w:pPr>
              <w:jc w:val="center"/>
              <w:rPr>
                <w:szCs w:val="21"/>
              </w:rPr>
            </w:pPr>
            <w:r>
              <w:rPr>
                <w:rFonts w:hint="eastAsia"/>
                <w:szCs w:val="21"/>
              </w:rPr>
              <w:t>30</w:t>
            </w:r>
          </w:p>
        </w:tc>
        <w:tc>
          <w:tcPr>
            <w:tcW w:w="5740" w:type="dxa"/>
            <w:vAlign w:val="center"/>
          </w:tcPr>
          <w:p w14:paraId="027563BF">
            <w:pPr>
              <w:numPr>
                <w:ilvl w:val="0"/>
                <w:numId w:val="1"/>
              </w:numPr>
              <w:ind w:left="172" w:hanging="172"/>
              <w:rPr>
                <w:szCs w:val="21"/>
              </w:rPr>
            </w:pPr>
            <w:r>
              <w:rPr>
                <w:rFonts w:hint="eastAsia"/>
                <w:szCs w:val="21"/>
              </w:rPr>
              <w:t>重点用能单位能效达到合理值比例达到95%，得15分；</w:t>
            </w:r>
          </w:p>
          <w:p w14:paraId="0A602775">
            <w:pPr>
              <w:numPr>
                <w:ilvl w:val="0"/>
                <w:numId w:val="1"/>
              </w:numPr>
              <w:ind w:left="172" w:hanging="172"/>
              <w:rPr>
                <w:szCs w:val="21"/>
              </w:rPr>
            </w:pPr>
            <w:r>
              <w:rPr>
                <w:rFonts w:hint="eastAsia"/>
                <w:szCs w:val="21"/>
              </w:rPr>
              <w:t>重点用能单位能效达到先进值比例达到50%，得15分。</w:t>
            </w:r>
          </w:p>
        </w:tc>
      </w:tr>
      <w:tr w14:paraId="6F1ED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1143" w:type="dxa"/>
            <w:vAlign w:val="center"/>
          </w:tcPr>
          <w:p w14:paraId="7EAB08A5">
            <w:pPr>
              <w:jc w:val="center"/>
              <w:rPr>
                <w:szCs w:val="21"/>
              </w:rPr>
            </w:pPr>
            <w:r>
              <w:rPr>
                <w:rFonts w:hint="eastAsia"/>
                <w:szCs w:val="21"/>
              </w:rPr>
              <w:t>工作机制</w:t>
            </w:r>
          </w:p>
          <w:p w14:paraId="17D6F470">
            <w:pPr>
              <w:jc w:val="center"/>
              <w:rPr>
                <w:szCs w:val="21"/>
              </w:rPr>
            </w:pPr>
            <w:r>
              <w:rPr>
                <w:rFonts w:hint="eastAsia"/>
                <w:szCs w:val="21"/>
              </w:rPr>
              <w:t>建设情况（10分）</w:t>
            </w:r>
          </w:p>
        </w:tc>
        <w:tc>
          <w:tcPr>
            <w:tcW w:w="1148" w:type="dxa"/>
            <w:vAlign w:val="center"/>
          </w:tcPr>
          <w:p w14:paraId="7D6C0142">
            <w:pPr>
              <w:jc w:val="center"/>
              <w:rPr>
                <w:szCs w:val="21"/>
              </w:rPr>
            </w:pPr>
            <w:r>
              <w:rPr>
                <w:rFonts w:hint="eastAsia"/>
                <w:szCs w:val="21"/>
              </w:rPr>
              <w:t>管理体系、工作安排等</w:t>
            </w:r>
          </w:p>
        </w:tc>
        <w:tc>
          <w:tcPr>
            <w:tcW w:w="717" w:type="dxa"/>
            <w:vAlign w:val="center"/>
          </w:tcPr>
          <w:p w14:paraId="0D5AB55D">
            <w:pPr>
              <w:jc w:val="center"/>
              <w:rPr>
                <w:szCs w:val="21"/>
              </w:rPr>
            </w:pPr>
            <w:r>
              <w:rPr>
                <w:rFonts w:hint="eastAsia"/>
                <w:szCs w:val="21"/>
              </w:rPr>
              <w:t>10</w:t>
            </w:r>
          </w:p>
        </w:tc>
        <w:tc>
          <w:tcPr>
            <w:tcW w:w="5740" w:type="dxa"/>
            <w:vAlign w:val="center"/>
          </w:tcPr>
          <w:p w14:paraId="33CE2631">
            <w:pPr>
              <w:numPr>
                <w:ilvl w:val="0"/>
                <w:numId w:val="1"/>
              </w:numPr>
              <w:ind w:left="172" w:hanging="172"/>
              <w:rPr>
                <w:szCs w:val="21"/>
              </w:rPr>
            </w:pPr>
            <w:r>
              <w:rPr>
                <w:rFonts w:hint="eastAsia"/>
                <w:szCs w:val="21"/>
              </w:rPr>
              <w:t>成立节能工作领导小组，建立能源管理制度，制定管理要求或规范，得4分；</w:t>
            </w:r>
          </w:p>
          <w:p w14:paraId="63100AA7">
            <w:pPr>
              <w:numPr>
                <w:ilvl w:val="0"/>
                <w:numId w:val="1"/>
              </w:numPr>
              <w:ind w:left="172" w:hanging="172"/>
              <w:rPr>
                <w:szCs w:val="21"/>
              </w:rPr>
            </w:pPr>
            <w:r>
              <w:rPr>
                <w:rFonts w:hint="eastAsia"/>
                <w:szCs w:val="21"/>
              </w:rPr>
              <w:t>建立能源管理体系，通过《能源管理体系要求》认证的，得3分；</w:t>
            </w:r>
          </w:p>
          <w:p w14:paraId="77615084">
            <w:pPr>
              <w:numPr>
                <w:ilvl w:val="0"/>
                <w:numId w:val="1"/>
              </w:numPr>
              <w:ind w:left="172" w:hanging="172"/>
              <w:rPr>
                <w:szCs w:val="21"/>
              </w:rPr>
            </w:pPr>
            <w:r>
              <w:rPr>
                <w:rFonts w:hint="eastAsia"/>
                <w:szCs w:val="21"/>
              </w:rPr>
              <w:t>制定年度工作计划，提出具体节能降碳工作举措，得3分。</w:t>
            </w:r>
          </w:p>
        </w:tc>
      </w:tr>
      <w:tr w14:paraId="4AD75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1143" w:type="dxa"/>
            <w:vMerge w:val="restart"/>
            <w:vAlign w:val="center"/>
          </w:tcPr>
          <w:p w14:paraId="13993C44">
            <w:pPr>
              <w:jc w:val="center"/>
              <w:rPr>
                <w:szCs w:val="21"/>
              </w:rPr>
            </w:pPr>
            <w:r>
              <w:rPr>
                <w:rFonts w:hint="eastAsia"/>
                <w:szCs w:val="21"/>
              </w:rPr>
              <w:t>节能减碳重点工作</w:t>
            </w:r>
            <w:r>
              <w:rPr>
                <w:szCs w:val="21"/>
              </w:rPr>
              <w:t>（</w:t>
            </w:r>
            <w:r>
              <w:rPr>
                <w:rFonts w:hint="eastAsia"/>
                <w:szCs w:val="21"/>
              </w:rPr>
              <w:t>40</w:t>
            </w:r>
            <w:r>
              <w:rPr>
                <w:szCs w:val="21"/>
              </w:rPr>
              <w:t>分）</w:t>
            </w:r>
          </w:p>
        </w:tc>
        <w:tc>
          <w:tcPr>
            <w:tcW w:w="1148" w:type="dxa"/>
            <w:vAlign w:val="center"/>
          </w:tcPr>
          <w:p w14:paraId="299597B4">
            <w:pPr>
              <w:jc w:val="center"/>
              <w:rPr>
                <w:szCs w:val="21"/>
              </w:rPr>
            </w:pPr>
            <w:r>
              <w:rPr>
                <w:rFonts w:hint="eastAsia"/>
                <w:szCs w:val="21"/>
              </w:rPr>
              <w:t>能力建设情况</w:t>
            </w:r>
          </w:p>
        </w:tc>
        <w:tc>
          <w:tcPr>
            <w:tcW w:w="717" w:type="dxa"/>
            <w:vAlign w:val="center"/>
          </w:tcPr>
          <w:p w14:paraId="7A6D9014">
            <w:pPr>
              <w:jc w:val="center"/>
              <w:rPr>
                <w:szCs w:val="21"/>
              </w:rPr>
            </w:pPr>
            <w:r>
              <w:rPr>
                <w:szCs w:val="21"/>
              </w:rPr>
              <w:t>10</w:t>
            </w:r>
          </w:p>
        </w:tc>
        <w:tc>
          <w:tcPr>
            <w:tcW w:w="5740" w:type="dxa"/>
            <w:vAlign w:val="center"/>
          </w:tcPr>
          <w:p w14:paraId="7BC42154">
            <w:pPr>
              <w:numPr>
                <w:ilvl w:val="0"/>
                <w:numId w:val="1"/>
              </w:numPr>
              <w:ind w:left="172" w:hanging="172"/>
              <w:rPr>
                <w:szCs w:val="21"/>
              </w:rPr>
            </w:pPr>
            <w:r>
              <w:rPr>
                <w:rFonts w:hint="eastAsia"/>
                <w:szCs w:val="21"/>
              </w:rPr>
              <w:t>当年有能力培训工作内容，</w:t>
            </w:r>
            <w:r>
              <w:rPr>
                <w:szCs w:val="21"/>
              </w:rPr>
              <w:t>得5分；</w:t>
            </w:r>
          </w:p>
          <w:p w14:paraId="69EA993C">
            <w:pPr>
              <w:numPr>
                <w:ilvl w:val="0"/>
                <w:numId w:val="1"/>
              </w:numPr>
              <w:ind w:left="172" w:hanging="172"/>
              <w:rPr>
                <w:szCs w:val="21"/>
              </w:rPr>
            </w:pPr>
            <w:r>
              <w:rPr>
                <w:rFonts w:hint="eastAsia"/>
                <w:szCs w:val="21"/>
              </w:rPr>
              <w:t>当年</w:t>
            </w:r>
            <w:r>
              <w:rPr>
                <w:szCs w:val="21"/>
              </w:rPr>
              <w:t>安排一定数量资金用于节能</w:t>
            </w:r>
            <w:r>
              <w:rPr>
                <w:rFonts w:hint="eastAsia"/>
                <w:szCs w:val="21"/>
              </w:rPr>
              <w:t>技术、塑料治理等宣贯</w:t>
            </w:r>
            <w:r>
              <w:rPr>
                <w:szCs w:val="21"/>
              </w:rPr>
              <w:t>培训，</w:t>
            </w:r>
            <w:r>
              <w:rPr>
                <w:rFonts w:hint="eastAsia"/>
                <w:szCs w:val="21"/>
              </w:rPr>
              <w:t>或进行双碳相关工作研究</w:t>
            </w:r>
            <w:r>
              <w:rPr>
                <w:szCs w:val="21"/>
              </w:rPr>
              <w:t>，得5分。</w:t>
            </w:r>
          </w:p>
        </w:tc>
      </w:tr>
      <w:tr w14:paraId="53C1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143" w:type="dxa"/>
            <w:vMerge w:val="continue"/>
            <w:vAlign w:val="center"/>
          </w:tcPr>
          <w:p w14:paraId="49A85686">
            <w:pPr>
              <w:jc w:val="center"/>
              <w:rPr>
                <w:szCs w:val="21"/>
              </w:rPr>
            </w:pPr>
          </w:p>
        </w:tc>
        <w:tc>
          <w:tcPr>
            <w:tcW w:w="1148" w:type="dxa"/>
            <w:vAlign w:val="center"/>
          </w:tcPr>
          <w:p w14:paraId="6A784378">
            <w:pPr>
              <w:jc w:val="center"/>
              <w:rPr>
                <w:szCs w:val="21"/>
              </w:rPr>
            </w:pPr>
            <w:r>
              <w:rPr>
                <w:rFonts w:hint="eastAsia"/>
                <w:szCs w:val="21"/>
              </w:rPr>
              <w:t>能源审计/对标达标</w:t>
            </w:r>
          </w:p>
        </w:tc>
        <w:tc>
          <w:tcPr>
            <w:tcW w:w="717" w:type="dxa"/>
            <w:vAlign w:val="center"/>
          </w:tcPr>
          <w:p w14:paraId="6C21A99E">
            <w:pPr>
              <w:jc w:val="center"/>
              <w:rPr>
                <w:szCs w:val="21"/>
              </w:rPr>
            </w:pPr>
            <w:r>
              <w:rPr>
                <w:rFonts w:hint="eastAsia"/>
                <w:szCs w:val="21"/>
              </w:rPr>
              <w:t>5</w:t>
            </w:r>
          </w:p>
        </w:tc>
        <w:tc>
          <w:tcPr>
            <w:tcW w:w="5740" w:type="dxa"/>
            <w:vAlign w:val="center"/>
          </w:tcPr>
          <w:p w14:paraId="132AA189">
            <w:pPr>
              <w:numPr>
                <w:ilvl w:val="0"/>
                <w:numId w:val="1"/>
              </w:numPr>
              <w:ind w:left="172" w:hanging="172"/>
              <w:rPr>
                <w:szCs w:val="21"/>
              </w:rPr>
            </w:pPr>
            <w:r>
              <w:rPr>
                <w:rFonts w:hint="eastAsia"/>
                <w:szCs w:val="21"/>
              </w:rPr>
              <w:t>当年开展能源审计/对标达标相关工作，得3分；</w:t>
            </w:r>
          </w:p>
          <w:p w14:paraId="3FD15E53">
            <w:pPr>
              <w:numPr>
                <w:ilvl w:val="0"/>
                <w:numId w:val="1"/>
              </w:numPr>
              <w:ind w:left="172" w:hanging="172"/>
              <w:rPr>
                <w:szCs w:val="21"/>
              </w:rPr>
            </w:pPr>
            <w:r>
              <w:rPr>
                <w:rFonts w:hint="eastAsia"/>
                <w:szCs w:val="21"/>
              </w:rPr>
              <w:t>相关工作覆盖企业每增加一家，加1分，最多不超过5分。</w:t>
            </w:r>
          </w:p>
        </w:tc>
      </w:tr>
      <w:tr w14:paraId="39B44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1143" w:type="dxa"/>
            <w:vMerge w:val="continue"/>
            <w:vAlign w:val="center"/>
          </w:tcPr>
          <w:p w14:paraId="6481BD67">
            <w:pPr>
              <w:jc w:val="center"/>
              <w:rPr>
                <w:szCs w:val="21"/>
              </w:rPr>
            </w:pPr>
          </w:p>
        </w:tc>
        <w:tc>
          <w:tcPr>
            <w:tcW w:w="1148" w:type="dxa"/>
            <w:vAlign w:val="center"/>
          </w:tcPr>
          <w:p w14:paraId="0BB3D6A8">
            <w:pPr>
              <w:jc w:val="center"/>
              <w:rPr>
                <w:szCs w:val="21"/>
              </w:rPr>
            </w:pPr>
            <w:r>
              <w:rPr>
                <w:rFonts w:hint="eastAsia"/>
                <w:szCs w:val="21"/>
              </w:rPr>
              <w:t>节能</w:t>
            </w:r>
          </w:p>
          <w:p w14:paraId="03DBAAEF">
            <w:pPr>
              <w:jc w:val="center"/>
              <w:rPr>
                <w:szCs w:val="21"/>
              </w:rPr>
            </w:pPr>
            <w:r>
              <w:rPr>
                <w:rFonts w:hint="eastAsia"/>
                <w:szCs w:val="21"/>
              </w:rPr>
              <w:t>技改</w:t>
            </w:r>
          </w:p>
        </w:tc>
        <w:tc>
          <w:tcPr>
            <w:tcW w:w="717" w:type="dxa"/>
            <w:vAlign w:val="center"/>
          </w:tcPr>
          <w:p w14:paraId="2F34A659">
            <w:pPr>
              <w:jc w:val="center"/>
              <w:rPr>
                <w:szCs w:val="21"/>
              </w:rPr>
            </w:pPr>
            <w:r>
              <w:rPr>
                <w:rFonts w:hint="eastAsia"/>
                <w:szCs w:val="21"/>
              </w:rPr>
              <w:t>15</w:t>
            </w:r>
          </w:p>
        </w:tc>
        <w:tc>
          <w:tcPr>
            <w:tcW w:w="5740" w:type="dxa"/>
            <w:vAlign w:val="center"/>
          </w:tcPr>
          <w:p w14:paraId="293F2CCB">
            <w:pPr>
              <w:numPr>
                <w:ilvl w:val="0"/>
                <w:numId w:val="1"/>
              </w:numPr>
              <w:ind w:left="172" w:hanging="172"/>
              <w:rPr>
                <w:szCs w:val="21"/>
              </w:rPr>
            </w:pPr>
            <w:r>
              <w:rPr>
                <w:rFonts w:hint="eastAsia"/>
                <w:szCs w:val="21"/>
              </w:rPr>
              <w:t>年度实施了节能技术改造</w:t>
            </w:r>
            <w:r>
              <w:rPr>
                <w:szCs w:val="21"/>
              </w:rPr>
              <w:t>，</w:t>
            </w:r>
            <w:r>
              <w:rPr>
                <w:rFonts w:hint="eastAsia"/>
                <w:szCs w:val="21"/>
              </w:rPr>
              <w:t>且节约标煤20吨以上，</w:t>
            </w:r>
            <w:r>
              <w:rPr>
                <w:szCs w:val="21"/>
              </w:rPr>
              <w:t>得</w:t>
            </w:r>
            <w:r>
              <w:rPr>
                <w:rFonts w:hint="eastAsia"/>
                <w:szCs w:val="21"/>
              </w:rPr>
              <w:t>5</w:t>
            </w:r>
            <w:r>
              <w:rPr>
                <w:szCs w:val="21"/>
              </w:rPr>
              <w:t>分；</w:t>
            </w:r>
          </w:p>
          <w:p w14:paraId="797BBCFE">
            <w:pPr>
              <w:numPr>
                <w:ilvl w:val="0"/>
                <w:numId w:val="1"/>
              </w:numPr>
              <w:ind w:left="172" w:hanging="172"/>
              <w:rPr>
                <w:szCs w:val="21"/>
              </w:rPr>
            </w:pPr>
            <w:r>
              <w:rPr>
                <w:rFonts w:hint="eastAsia"/>
                <w:szCs w:val="21"/>
              </w:rPr>
              <w:t>每增加一项改造</w:t>
            </w:r>
            <w:r>
              <w:rPr>
                <w:szCs w:val="21"/>
              </w:rPr>
              <w:t>项</w:t>
            </w:r>
            <w:r>
              <w:rPr>
                <w:rFonts w:hint="eastAsia"/>
                <w:szCs w:val="21"/>
              </w:rPr>
              <w:t>目，增加1分，最多7分</w:t>
            </w:r>
            <w:r>
              <w:rPr>
                <w:szCs w:val="21"/>
              </w:rPr>
              <w:t>；</w:t>
            </w:r>
          </w:p>
          <w:p w14:paraId="5B31D10C">
            <w:pPr>
              <w:numPr>
                <w:ilvl w:val="0"/>
                <w:numId w:val="1"/>
              </w:numPr>
              <w:ind w:left="172" w:hanging="172"/>
              <w:rPr>
                <w:szCs w:val="21"/>
              </w:rPr>
            </w:pPr>
            <w:r>
              <w:rPr>
                <w:szCs w:val="21"/>
              </w:rPr>
              <w:t>定期</w:t>
            </w:r>
            <w:r>
              <w:rPr>
                <w:rFonts w:hint="eastAsia"/>
                <w:szCs w:val="21"/>
              </w:rPr>
              <w:t>督促核查工作开展情况</w:t>
            </w:r>
            <w:r>
              <w:rPr>
                <w:szCs w:val="21"/>
              </w:rPr>
              <w:t>，得</w:t>
            </w:r>
            <w:r>
              <w:rPr>
                <w:rFonts w:hint="eastAsia"/>
                <w:szCs w:val="21"/>
              </w:rPr>
              <w:t>3</w:t>
            </w:r>
            <w:r>
              <w:rPr>
                <w:szCs w:val="21"/>
              </w:rPr>
              <w:t>分。</w:t>
            </w:r>
          </w:p>
        </w:tc>
      </w:tr>
      <w:tr w14:paraId="5A5E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143" w:type="dxa"/>
            <w:vMerge w:val="continue"/>
            <w:vAlign w:val="center"/>
          </w:tcPr>
          <w:p w14:paraId="5189AA0F">
            <w:pPr>
              <w:jc w:val="center"/>
              <w:rPr>
                <w:szCs w:val="21"/>
              </w:rPr>
            </w:pPr>
          </w:p>
        </w:tc>
        <w:tc>
          <w:tcPr>
            <w:tcW w:w="1148" w:type="dxa"/>
            <w:vAlign w:val="center"/>
          </w:tcPr>
          <w:p w14:paraId="19F10BFC">
            <w:pPr>
              <w:jc w:val="center"/>
              <w:rPr>
                <w:szCs w:val="21"/>
              </w:rPr>
            </w:pPr>
            <w:r>
              <w:rPr>
                <w:rFonts w:hint="eastAsia"/>
                <w:szCs w:val="21"/>
              </w:rPr>
              <w:t>空调负荷调节</w:t>
            </w:r>
          </w:p>
        </w:tc>
        <w:tc>
          <w:tcPr>
            <w:tcW w:w="717" w:type="dxa"/>
            <w:vAlign w:val="center"/>
          </w:tcPr>
          <w:p w14:paraId="25859B6A">
            <w:pPr>
              <w:jc w:val="center"/>
              <w:rPr>
                <w:szCs w:val="21"/>
              </w:rPr>
            </w:pPr>
            <w:r>
              <w:rPr>
                <w:rFonts w:hint="eastAsia"/>
                <w:szCs w:val="21"/>
              </w:rPr>
              <w:t>5</w:t>
            </w:r>
          </w:p>
        </w:tc>
        <w:tc>
          <w:tcPr>
            <w:tcW w:w="5740" w:type="dxa"/>
            <w:vAlign w:val="center"/>
          </w:tcPr>
          <w:p w14:paraId="028FE88D">
            <w:pPr>
              <w:numPr>
                <w:ilvl w:val="0"/>
                <w:numId w:val="1"/>
              </w:numPr>
              <w:ind w:left="172" w:hanging="172"/>
              <w:rPr>
                <w:szCs w:val="21"/>
              </w:rPr>
            </w:pPr>
            <w:r>
              <w:rPr>
                <w:rFonts w:hint="eastAsia"/>
                <w:szCs w:val="21"/>
              </w:rPr>
              <w:t>年度内有商业建筑参与空调负荷调节</w:t>
            </w:r>
            <w:r>
              <w:rPr>
                <w:szCs w:val="21"/>
              </w:rPr>
              <w:t>，得5分（</w:t>
            </w:r>
            <w:r>
              <w:rPr>
                <w:rFonts w:hint="eastAsia"/>
                <w:szCs w:val="21"/>
              </w:rPr>
              <w:t>其中参与需求响应一次，加1分</w:t>
            </w:r>
            <w:r>
              <w:rPr>
                <w:szCs w:val="21"/>
              </w:rPr>
              <w:t>）。</w:t>
            </w:r>
          </w:p>
        </w:tc>
      </w:tr>
      <w:tr w14:paraId="0350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143" w:type="dxa"/>
            <w:vMerge w:val="continue"/>
            <w:vAlign w:val="center"/>
          </w:tcPr>
          <w:p w14:paraId="23A130BA">
            <w:pPr>
              <w:jc w:val="center"/>
              <w:rPr>
                <w:szCs w:val="21"/>
              </w:rPr>
            </w:pPr>
          </w:p>
        </w:tc>
        <w:tc>
          <w:tcPr>
            <w:tcW w:w="1148" w:type="dxa"/>
            <w:vAlign w:val="center"/>
          </w:tcPr>
          <w:p w14:paraId="60F3CF8E">
            <w:pPr>
              <w:jc w:val="center"/>
              <w:rPr>
                <w:szCs w:val="21"/>
              </w:rPr>
            </w:pPr>
            <w:r>
              <w:rPr>
                <w:szCs w:val="21"/>
              </w:rPr>
              <w:t>用能设备</w:t>
            </w:r>
          </w:p>
        </w:tc>
        <w:tc>
          <w:tcPr>
            <w:tcW w:w="717" w:type="dxa"/>
            <w:vAlign w:val="center"/>
          </w:tcPr>
          <w:p w14:paraId="5F29DD27">
            <w:pPr>
              <w:jc w:val="center"/>
              <w:rPr>
                <w:szCs w:val="21"/>
              </w:rPr>
            </w:pPr>
            <w:r>
              <w:rPr>
                <w:szCs w:val="21"/>
              </w:rPr>
              <w:t>5</w:t>
            </w:r>
          </w:p>
        </w:tc>
        <w:tc>
          <w:tcPr>
            <w:tcW w:w="5740" w:type="dxa"/>
            <w:vAlign w:val="center"/>
          </w:tcPr>
          <w:p w14:paraId="53B431BD">
            <w:pPr>
              <w:numPr>
                <w:ilvl w:val="0"/>
                <w:numId w:val="1"/>
              </w:numPr>
              <w:ind w:left="172" w:hanging="172"/>
              <w:rPr>
                <w:szCs w:val="21"/>
              </w:rPr>
            </w:pPr>
            <w:r>
              <w:rPr>
                <w:szCs w:val="21"/>
              </w:rPr>
              <w:t>采购</w:t>
            </w:r>
            <w:r>
              <w:rPr>
                <w:rFonts w:hint="eastAsia"/>
                <w:szCs w:val="21"/>
              </w:rPr>
              <w:t>高能效</w:t>
            </w:r>
            <w:r>
              <w:rPr>
                <w:szCs w:val="21"/>
              </w:rPr>
              <w:t>设备，并定期对用能设备进行巡视检修</w:t>
            </w:r>
            <w:r>
              <w:rPr>
                <w:rFonts w:hint="eastAsia"/>
                <w:szCs w:val="21"/>
              </w:rPr>
              <w:t>或调试</w:t>
            </w:r>
            <w:r>
              <w:rPr>
                <w:szCs w:val="21"/>
              </w:rPr>
              <w:t>，得5分。</w:t>
            </w:r>
          </w:p>
        </w:tc>
      </w:tr>
      <w:tr w14:paraId="39B20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143" w:type="dxa"/>
            <w:vMerge w:val="restart"/>
            <w:vAlign w:val="center"/>
          </w:tcPr>
          <w:p w14:paraId="40ED5985">
            <w:pPr>
              <w:jc w:val="center"/>
              <w:rPr>
                <w:szCs w:val="21"/>
              </w:rPr>
            </w:pPr>
            <w:r>
              <w:rPr>
                <w:rFonts w:hint="eastAsia"/>
                <w:szCs w:val="21"/>
              </w:rPr>
              <w:t>绿色发展</w:t>
            </w:r>
          </w:p>
          <w:p w14:paraId="21D7F3ED">
            <w:pPr>
              <w:jc w:val="center"/>
              <w:rPr>
                <w:szCs w:val="21"/>
              </w:rPr>
            </w:pPr>
            <w:r>
              <w:rPr>
                <w:szCs w:val="21"/>
              </w:rPr>
              <w:t>（</w:t>
            </w:r>
            <w:r>
              <w:rPr>
                <w:rFonts w:hint="eastAsia"/>
                <w:szCs w:val="21"/>
              </w:rPr>
              <w:t>20</w:t>
            </w:r>
            <w:r>
              <w:rPr>
                <w:szCs w:val="21"/>
              </w:rPr>
              <w:t>）</w:t>
            </w:r>
          </w:p>
          <w:p w14:paraId="3E216406">
            <w:pPr>
              <w:jc w:val="center"/>
              <w:rPr>
                <w:szCs w:val="21"/>
              </w:rPr>
            </w:pPr>
          </w:p>
        </w:tc>
        <w:tc>
          <w:tcPr>
            <w:tcW w:w="1148" w:type="dxa"/>
            <w:vAlign w:val="center"/>
          </w:tcPr>
          <w:p w14:paraId="62CFF057">
            <w:pPr>
              <w:jc w:val="center"/>
              <w:rPr>
                <w:kern w:val="24"/>
                <w:szCs w:val="21"/>
              </w:rPr>
            </w:pPr>
            <w:r>
              <w:rPr>
                <w:rFonts w:hint="eastAsia"/>
                <w:kern w:val="24"/>
                <w:szCs w:val="21"/>
              </w:rPr>
              <w:t>绿色</w:t>
            </w:r>
          </w:p>
          <w:p w14:paraId="0EC3EB36">
            <w:pPr>
              <w:jc w:val="center"/>
              <w:rPr>
                <w:kern w:val="24"/>
                <w:szCs w:val="21"/>
              </w:rPr>
            </w:pPr>
            <w:r>
              <w:rPr>
                <w:rFonts w:hint="eastAsia"/>
                <w:kern w:val="24"/>
                <w:szCs w:val="21"/>
              </w:rPr>
              <w:t>创建</w:t>
            </w:r>
          </w:p>
        </w:tc>
        <w:tc>
          <w:tcPr>
            <w:tcW w:w="717" w:type="dxa"/>
            <w:vAlign w:val="center"/>
          </w:tcPr>
          <w:p w14:paraId="69A3F4F2">
            <w:pPr>
              <w:jc w:val="center"/>
              <w:rPr>
                <w:kern w:val="24"/>
                <w:szCs w:val="21"/>
              </w:rPr>
            </w:pPr>
            <w:r>
              <w:rPr>
                <w:rFonts w:hint="eastAsia"/>
                <w:kern w:val="24"/>
                <w:szCs w:val="21"/>
              </w:rPr>
              <w:t>10</w:t>
            </w:r>
          </w:p>
        </w:tc>
        <w:tc>
          <w:tcPr>
            <w:tcW w:w="5740" w:type="dxa"/>
            <w:vAlign w:val="center"/>
          </w:tcPr>
          <w:p w14:paraId="57866C92">
            <w:pPr>
              <w:numPr>
                <w:ilvl w:val="0"/>
                <w:numId w:val="1"/>
              </w:numPr>
              <w:ind w:left="172" w:hanging="172"/>
              <w:rPr>
                <w:szCs w:val="21"/>
              </w:rPr>
            </w:pPr>
            <w:r>
              <w:rPr>
                <w:rFonts w:hint="eastAsia"/>
                <w:szCs w:val="21"/>
              </w:rPr>
              <w:t>制定年度工作计划，并落实贯标，得7</w:t>
            </w:r>
            <w:r>
              <w:rPr>
                <w:szCs w:val="21"/>
              </w:rPr>
              <w:t>分</w:t>
            </w:r>
            <w:r>
              <w:rPr>
                <w:rFonts w:hint="eastAsia"/>
                <w:szCs w:val="21"/>
              </w:rPr>
              <w:t>；</w:t>
            </w:r>
          </w:p>
          <w:p w14:paraId="38AB73FF">
            <w:pPr>
              <w:numPr>
                <w:ilvl w:val="0"/>
                <w:numId w:val="1"/>
              </w:numPr>
              <w:ind w:left="172" w:hanging="172"/>
              <w:rPr>
                <w:szCs w:val="21"/>
              </w:rPr>
            </w:pPr>
            <w:r>
              <w:rPr>
                <w:rFonts w:hint="eastAsia"/>
                <w:szCs w:val="21"/>
              </w:rPr>
              <w:t>每增加一家国家绿色商场或能效领跑者，增加1分，最多不超过3分</w:t>
            </w:r>
            <w:r>
              <w:rPr>
                <w:szCs w:val="21"/>
              </w:rPr>
              <w:t>。</w:t>
            </w:r>
          </w:p>
        </w:tc>
      </w:tr>
      <w:tr w14:paraId="3148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1143" w:type="dxa"/>
            <w:vMerge w:val="continue"/>
            <w:vAlign w:val="center"/>
          </w:tcPr>
          <w:p w14:paraId="02E22FD8">
            <w:pPr>
              <w:jc w:val="center"/>
              <w:rPr>
                <w:szCs w:val="21"/>
              </w:rPr>
            </w:pPr>
          </w:p>
        </w:tc>
        <w:tc>
          <w:tcPr>
            <w:tcW w:w="1148" w:type="dxa"/>
            <w:vAlign w:val="center"/>
          </w:tcPr>
          <w:p w14:paraId="4C784472">
            <w:pPr>
              <w:jc w:val="center"/>
              <w:rPr>
                <w:rFonts w:ascii="仿宋_GB2312" w:hAnsi="仿宋" w:eastAsia="仿宋_GB2312"/>
                <w:kern w:val="11"/>
                <w:sz w:val="24"/>
              </w:rPr>
            </w:pPr>
            <w:r>
              <w:rPr>
                <w:rFonts w:hint="eastAsia"/>
                <w:kern w:val="24"/>
                <w:szCs w:val="21"/>
              </w:rPr>
              <w:t>塑料污染治理/包装减量</w:t>
            </w:r>
          </w:p>
        </w:tc>
        <w:tc>
          <w:tcPr>
            <w:tcW w:w="717" w:type="dxa"/>
            <w:vAlign w:val="center"/>
          </w:tcPr>
          <w:p w14:paraId="2A841D89">
            <w:pPr>
              <w:jc w:val="center"/>
              <w:rPr>
                <w:kern w:val="24"/>
                <w:szCs w:val="21"/>
              </w:rPr>
            </w:pPr>
            <w:r>
              <w:rPr>
                <w:rFonts w:hint="eastAsia"/>
                <w:kern w:val="24"/>
                <w:szCs w:val="21"/>
              </w:rPr>
              <w:t>7</w:t>
            </w:r>
          </w:p>
        </w:tc>
        <w:tc>
          <w:tcPr>
            <w:tcW w:w="5740" w:type="dxa"/>
            <w:vAlign w:val="center"/>
          </w:tcPr>
          <w:p w14:paraId="00EA5AA8">
            <w:pPr>
              <w:numPr>
                <w:ilvl w:val="0"/>
                <w:numId w:val="1"/>
              </w:numPr>
              <w:ind w:left="172" w:hanging="172"/>
              <w:rPr>
                <w:szCs w:val="21"/>
              </w:rPr>
            </w:pPr>
            <w:r>
              <w:rPr>
                <w:rFonts w:hint="eastAsia"/>
                <w:szCs w:val="21"/>
              </w:rPr>
              <w:t>年度有塑料污染治理及包装减量相关工作宣贯，得3分；</w:t>
            </w:r>
          </w:p>
          <w:p w14:paraId="1ADFC034">
            <w:pPr>
              <w:numPr>
                <w:ilvl w:val="0"/>
                <w:numId w:val="1"/>
              </w:numPr>
              <w:ind w:left="172" w:hanging="172"/>
              <w:rPr>
                <w:szCs w:val="21"/>
              </w:rPr>
            </w:pPr>
            <w:r>
              <w:rPr>
                <w:rFonts w:hint="eastAsia"/>
                <w:szCs w:val="21"/>
              </w:rPr>
              <w:t>开展重点企业系统信息报送工作，得2分；</w:t>
            </w:r>
          </w:p>
          <w:p w14:paraId="03D08039">
            <w:pPr>
              <w:numPr>
                <w:ilvl w:val="0"/>
                <w:numId w:val="1"/>
              </w:numPr>
              <w:ind w:left="172" w:hanging="172"/>
              <w:rPr>
                <w:szCs w:val="21"/>
              </w:rPr>
            </w:pPr>
            <w:r>
              <w:rPr>
                <w:rFonts w:hint="eastAsia"/>
                <w:szCs w:val="21"/>
              </w:rPr>
              <w:t>年度内有相关工作检查监管记录，得2分。</w:t>
            </w:r>
          </w:p>
        </w:tc>
      </w:tr>
      <w:tr w14:paraId="4AD3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143" w:type="dxa"/>
            <w:vMerge w:val="continue"/>
          </w:tcPr>
          <w:p w14:paraId="4DC4D62A">
            <w:pPr>
              <w:rPr>
                <w:szCs w:val="21"/>
              </w:rPr>
            </w:pPr>
          </w:p>
        </w:tc>
        <w:tc>
          <w:tcPr>
            <w:tcW w:w="1148" w:type="dxa"/>
            <w:vAlign w:val="center"/>
          </w:tcPr>
          <w:p w14:paraId="544653BC">
            <w:pPr>
              <w:jc w:val="center"/>
              <w:rPr>
                <w:kern w:val="24"/>
                <w:szCs w:val="21"/>
              </w:rPr>
            </w:pPr>
            <w:r>
              <w:rPr>
                <w:rFonts w:hint="eastAsia"/>
                <w:kern w:val="24"/>
                <w:szCs w:val="21"/>
              </w:rPr>
              <w:t>垃圾分类</w:t>
            </w:r>
          </w:p>
        </w:tc>
        <w:tc>
          <w:tcPr>
            <w:tcW w:w="717" w:type="dxa"/>
            <w:vAlign w:val="center"/>
          </w:tcPr>
          <w:p w14:paraId="0F72FADE">
            <w:pPr>
              <w:jc w:val="center"/>
              <w:rPr>
                <w:kern w:val="24"/>
                <w:szCs w:val="21"/>
              </w:rPr>
            </w:pPr>
            <w:r>
              <w:rPr>
                <w:rFonts w:hint="eastAsia"/>
                <w:kern w:val="24"/>
                <w:szCs w:val="21"/>
              </w:rPr>
              <w:t>3</w:t>
            </w:r>
          </w:p>
        </w:tc>
        <w:tc>
          <w:tcPr>
            <w:tcW w:w="5740" w:type="dxa"/>
            <w:vAlign w:val="center"/>
          </w:tcPr>
          <w:p w14:paraId="4FCF79D1">
            <w:pPr>
              <w:numPr>
                <w:ilvl w:val="0"/>
                <w:numId w:val="1"/>
              </w:numPr>
              <w:ind w:left="172" w:hanging="172"/>
              <w:rPr>
                <w:szCs w:val="21"/>
              </w:rPr>
            </w:pPr>
            <w:r>
              <w:rPr>
                <w:rFonts w:hint="eastAsia"/>
                <w:szCs w:val="21"/>
              </w:rPr>
              <w:t>分类垃圾桶使用情况合格，得1分；</w:t>
            </w:r>
          </w:p>
          <w:p w14:paraId="284BA8B4">
            <w:pPr>
              <w:numPr>
                <w:ilvl w:val="0"/>
                <w:numId w:val="1"/>
              </w:numPr>
              <w:ind w:left="172" w:hanging="172"/>
              <w:rPr>
                <w:szCs w:val="21"/>
              </w:rPr>
            </w:pPr>
            <w:r>
              <w:rPr>
                <w:rFonts w:hint="eastAsia"/>
                <w:szCs w:val="21"/>
              </w:rPr>
              <w:t>旗下超市卖场净菜上市完成情况良好，得1分；</w:t>
            </w:r>
          </w:p>
          <w:p w14:paraId="0D9F9139">
            <w:pPr>
              <w:numPr>
                <w:ilvl w:val="0"/>
                <w:numId w:val="1"/>
              </w:numPr>
              <w:ind w:left="172" w:hanging="172"/>
              <w:rPr>
                <w:szCs w:val="21"/>
              </w:rPr>
            </w:pPr>
            <w:r>
              <w:rPr>
                <w:rFonts w:hint="eastAsia"/>
                <w:szCs w:val="21"/>
              </w:rPr>
              <w:t>配合开展垃圾分类专项督查工作，得1分。</w:t>
            </w:r>
          </w:p>
        </w:tc>
      </w:tr>
    </w:tbl>
    <w:p w14:paraId="08C447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5676A4"/>
    <w:multiLevelType w:val="multilevel"/>
    <w:tmpl w:val="735676A4"/>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F46931"/>
    <w:rsid w:val="2BF46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2026-06-22T01:25:00Z</dcterms:created>
  <dc:creator>Anne</dc:creator>
  <cp:lastModifiedBy>Anne</cp:lastModifiedBy>
  <dcterms:modified xsi:type="dcterms:W3CDTF">2026-06-22T01:26:08Z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B482FFEA56D54C5E85E2F18719FD9AE9_11</vt:lpwstr>
  </property>
  <property fmtid="{D5CDD505-2E9C-101B-9397-08002B2CF9AE}" pid="4" name="KSOTemplateDocerSaveRecord">
    <vt:lpwstr>eyJoZGlkIjoiMmM5MDllOGVjNmNjYzBjNGZiNTQ0MDU4NzEyYjE5NzAiLCJ1c2VySWQiOiI1NjA2NDQ1NTEifQ==</vt:lpwstr>
  </property>
</Properties>
</file>