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D430D">
      <w:pPr>
        <w:pStyle w:val="15"/>
      </w:pPr>
      <mc:AlternateContent>
        <mc:Choice Requires="wpsCustomData">
          <wpsCustomData:docfieldStart id="0" docfieldname="标题_1" hidden="0" print="1" readonly="0" index="1"/>
        </mc:Choice>
      </mc:AlternateContent>
      <w:r>
        <w:t>九珍十八品标识规范使用承诺书</w:t>
      </w:r>
      <mc:AlternateContent>
        <mc:Choice Requires="wpsCustomData">
          <wpsCustomData:docfieldEnd id="0"/>
        </mc:Choice>
      </mc:AlternateContent>
    </w:p>
    <w:p w14:paraId="0383B430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</w:p>
    <w:p w14:paraId="2121B2DE">
      <w:pPr>
        <w:pStyle w:val="11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ascii="Times New Roman" w:hAnsi="Times New Roman" w:eastAsia="仿宋_GB2312" w:cs="仿宋_GB2312"/>
          <w:sz w:val="32"/>
          <w:szCs w:val="32"/>
        </w:rPr>
        <w:t>承诺单位（乙方）：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＿＿＿＿＿＿＿＿＿＿＿＿＿＿＿＿＿</w:t>
      </w:r>
    </w:p>
    <w:p w14:paraId="29B3BEC1">
      <w:pPr>
        <w:pStyle w:val="11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ascii="Times New Roman" w:hAnsi="Times New Roman" w:eastAsia="仿宋_GB2312" w:cs="仿宋_GB2312"/>
          <w:sz w:val="32"/>
          <w:szCs w:val="32"/>
        </w:rPr>
        <w:t>统一社会信用代码：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＿＿＿＿＿＿＿＿＿＿＿＿＿＿＿＿＿</w:t>
      </w:r>
    </w:p>
    <w:p w14:paraId="3D5B553C">
      <w:pPr>
        <w:pStyle w:val="11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ascii="Times New Roman" w:hAnsi="Times New Roman" w:eastAsia="仿宋_GB2312" w:cs="仿宋_GB2312"/>
          <w:sz w:val="32"/>
          <w:szCs w:val="32"/>
        </w:rPr>
        <w:t>法定代表人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／</w:t>
      </w:r>
      <w:r>
        <w:rPr>
          <w:rFonts w:ascii="Times New Roman" w:hAnsi="Times New Roman" w:eastAsia="仿宋_GB2312" w:cs="仿宋_GB2312"/>
          <w:sz w:val="32"/>
          <w:szCs w:val="32"/>
        </w:rPr>
        <w:t>负责人：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＿＿＿＿＿＿＿＿＿＿＿＿＿＿＿＿</w:t>
      </w:r>
    </w:p>
    <w:p w14:paraId="68C3A8C4">
      <w:pPr>
        <w:pStyle w:val="11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ascii="Times New Roman" w:hAnsi="Times New Roman" w:eastAsia="仿宋_GB2312" w:cs="仿宋_GB2312"/>
          <w:sz w:val="32"/>
          <w:szCs w:val="32"/>
        </w:rPr>
        <w:t>联系地址及电话：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＿＿＿＿＿＿＿＿＿＿＿＿＿＿＿＿＿＿</w:t>
      </w:r>
    </w:p>
    <w:p w14:paraId="1E5D196B">
      <w:pPr>
        <w:pStyle w:val="11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bookmarkStart w:id="6" w:name="_GoBack"/>
      <w:bookmarkEnd w:id="6"/>
    </w:p>
    <w:p w14:paraId="2008F6A7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为规范“九珍十八品”标识使用管理，维护统一形象、声誉及知识产权合法权益，保障市场秩序与公信力，乙方作为</w:t>
      </w:r>
      <w:r>
        <w:rPr>
          <w:rFonts w:ascii="Times New Roman" w:hAnsi="Times New Roman" w:eastAsia="仿宋_GB2312" w:cs="仿宋_GB2312"/>
          <w:b/>
          <w:sz w:val="32"/>
          <w:szCs w:val="32"/>
        </w:rPr>
        <w:t>“九珍十八品”入围合作企业</w:t>
      </w:r>
      <w:r>
        <w:rPr>
          <w:rFonts w:ascii="Times New Roman" w:hAnsi="Times New Roman" w:eastAsia="仿宋_GB2312" w:cs="仿宋_GB2312"/>
          <w:sz w:val="32"/>
          <w:szCs w:val="32"/>
        </w:rPr>
        <w:t>，自愿严格遵守甲方（九珍十八品所有权方）各项品牌管理规定，现就规范使用“九珍十八品”标识事宜，郑重作出如下承诺：</w:t>
      </w:r>
    </w:p>
    <w:p w14:paraId="755F6D17">
      <w:pPr>
        <w:pStyle w:val="2"/>
        <w:numPr>
          <w:numId w:val="0"/>
        </w:numPr>
        <w:topLinePunct w:val="0"/>
        <w:ind w:left="0" w:leftChars="0" w:firstLine="640"/>
        <w:rPr>
          <w:b w:val="0"/>
          <w:bdr w:val="none" w:sz="0" w:space="0"/>
        </w:rPr>
      </w:pPr>
      <w:bookmarkStart w:id="0" w:name="heading_0"/>
      <w:r>
        <w:rPr>
          <w:rFonts w:hint="eastAsia"/>
          <w:lang w:eastAsia="zh-CN"/>
        </w:rPr>
        <w:t>一、</w:t>
      </w:r>
      <w:r>
        <w:t>权属确认</w:t>
      </w:r>
      <w:bookmarkEnd w:id="0"/>
    </w:p>
    <w:p w14:paraId="200BD57F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乙方明确知晓，“九珍十八品”名称、LOGO、视觉标识、标准字体、标准色彩、VI视觉体系及相关衍生标识、文案素材等全部知识产权，均归甲方独家所有。乙方仅基于本次入围合作资格，获得</w:t>
      </w:r>
      <w:r>
        <w:rPr>
          <w:rFonts w:ascii="Times New Roman" w:hAnsi="Times New Roman" w:eastAsia="仿宋_GB2312" w:cs="仿宋_GB2312"/>
          <w:b/>
          <w:sz w:val="32"/>
          <w:szCs w:val="32"/>
        </w:rPr>
        <w:t>限定范围、非独占、不可转授权</w:t>
      </w:r>
      <w:r>
        <w:rPr>
          <w:rFonts w:ascii="Times New Roman" w:hAnsi="Times New Roman" w:eastAsia="仿宋_GB2312" w:cs="仿宋_GB2312"/>
          <w:sz w:val="32"/>
          <w:szCs w:val="32"/>
        </w:rPr>
        <w:t>的标识使用权，无任何所有权、改编权、转让权、出租权及二次授权使用权。</w:t>
      </w:r>
    </w:p>
    <w:p w14:paraId="727399E2">
      <w:pPr>
        <w:pStyle w:val="2"/>
        <w:numPr>
          <w:numId w:val="0"/>
        </w:numPr>
        <w:topLinePunct w:val="0"/>
        <w:ind w:left="0" w:leftChars="0" w:firstLine="640"/>
        <w:rPr>
          <w:b w:val="0"/>
          <w:bdr w:val="none" w:sz="0" w:space="0"/>
        </w:rPr>
      </w:pPr>
      <w:bookmarkStart w:id="1" w:name="heading_1"/>
      <w:r>
        <w:rPr>
          <w:rFonts w:hint="eastAsia"/>
          <w:lang w:eastAsia="zh-CN"/>
        </w:rPr>
        <w:t>二、</w:t>
      </w:r>
      <w:r>
        <w:t>规范使用承诺</w:t>
      </w:r>
      <w:bookmarkEnd w:id="1"/>
    </w:p>
    <w:p w14:paraId="334E21FE">
      <w:pPr>
        <w:pStyle w:val="11"/>
        <w:numPr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乙方严格按照甲方正式发布的《九珍十八品视觉识别规范》及官方提供的标准文件使用标识，全程保持标识图案、字体、色彩、比例、间距、版式的完整性、规范性，</w:t>
      </w:r>
      <w:r>
        <w:rPr>
          <w:rFonts w:ascii="Times New Roman" w:hAnsi="Times New Roman" w:eastAsia="仿宋_GB2312" w:cs="仿宋_GB2312"/>
          <w:b/>
          <w:sz w:val="32"/>
          <w:szCs w:val="32"/>
        </w:rPr>
        <w:t>绝不擅自拉伸、压缩、变形、变色、裁剪、拆分、重构</w:t>
      </w:r>
      <w:r>
        <w:rPr>
          <w:rFonts w:ascii="Times New Roman" w:hAnsi="Times New Roman" w:eastAsia="仿宋_GB2312" w:cs="仿宋_GB2312"/>
          <w:sz w:val="32"/>
          <w:szCs w:val="32"/>
        </w:rPr>
        <w:t>标识，不随意增减文字、图形、装饰元素。</w:t>
      </w:r>
    </w:p>
    <w:p w14:paraId="139F7FAF">
      <w:pPr>
        <w:pStyle w:val="11"/>
        <w:numPr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标识仅用于乙方本次入围对应的产品、包装、宣传物料、线下展示、合规推广场景，</w:t>
      </w:r>
      <w:r>
        <w:rPr>
          <w:rFonts w:ascii="Times New Roman" w:hAnsi="Times New Roman" w:eastAsia="仿宋_GB2312" w:cs="仿宋_GB2312"/>
          <w:b/>
          <w:sz w:val="32"/>
          <w:szCs w:val="32"/>
        </w:rPr>
        <w:t>不超范围、超权限使用</w:t>
      </w:r>
      <w:r>
        <w:rPr>
          <w:rFonts w:ascii="Times New Roman" w:hAnsi="Times New Roman" w:eastAsia="仿宋_GB2312" w:cs="仿宋_GB2312"/>
          <w:sz w:val="32"/>
          <w:szCs w:val="32"/>
        </w:rPr>
        <w:t>，不用于非入围产品、违规宣传、促销返利、虚假营销、跨界联名等未经甲方书面许可的场景。</w:t>
      </w:r>
    </w:p>
    <w:p w14:paraId="0F86680B">
      <w:pPr>
        <w:pStyle w:val="11"/>
        <w:numPr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乙方保证使用标识的产品符合国家质量标准、食品安全标准及行业规范，严格把控产品品质，杜绝假冒伪劣、以次充好、虚假宣传等行为，不借助“九珍十八品”形象实施任何违法违规、损害我方声誉的经营活动。</w:t>
      </w:r>
    </w:p>
    <w:p w14:paraId="3C30A6FD">
      <w:pPr>
        <w:pStyle w:val="11"/>
        <w:numPr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Fonts w:hint="eastAsia" w:cs="仿宋_GB2312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乙方所有带有“九珍十八品”标识的包装、宣传册、海报、短视频、图文素材、门店展示等物料，上线、印刷、投放前按需配合甲方审核，审核通过后方可投入使用，确保视觉形象统一、合规。</w:t>
      </w:r>
    </w:p>
    <w:p w14:paraId="1D871FE0">
      <w:pPr>
        <w:pStyle w:val="11"/>
        <w:numPr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Fonts w:hint="eastAsia" w:cs="仿宋_GB2312"/>
          <w:sz w:val="32"/>
          <w:szCs w:val="32"/>
          <w:lang w:eastAsia="zh-CN"/>
        </w:rPr>
        <w:t>5.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乙方妥善保管甲方提供的官方源文件、规范手册等资料，严禁私自外传、共享、售卖、授权第三方使用，合作终止后立</w:t>
      </w:r>
      <w:r>
        <w:rPr>
          <w:rFonts w:ascii="Times New Roman" w:hAnsi="Times New Roman" w:eastAsia="仿宋_GB2312" w:cs="仿宋_GB2312"/>
          <w:spacing wpsCustomData:val="-6" w:val="7"/>
          <w:sz w:val="32"/>
          <w:szCs w:val="32"/>
        </w:rPr>
        <w:t>即停止使用所有标识，彻底清除存量宣传物料及线上展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示</w:t>
      </w:r>
      <w:r>
        <w:rPr>
          <w:rFonts w:ascii="Times New Roman" w:hAnsi="Times New Roman" w:eastAsia="仿宋_GB2312" w:cs="仿宋_GB2312"/>
          <w:sz w:val="32"/>
          <w:szCs w:val="32"/>
        </w:rPr>
        <w:t>内容。</w:t>
      </w:r>
    </w:p>
    <w:p w14:paraId="6CF35DF8">
      <w:pPr>
        <w:pStyle w:val="2"/>
        <w:numPr>
          <w:numId w:val="0"/>
        </w:numPr>
        <w:topLinePunct w:val="0"/>
        <w:ind w:left="0" w:leftChars="0" w:firstLine="640"/>
        <w:rPr>
          <w:b w:val="0"/>
          <w:bdr w:val="none" w:sz="0" w:space="0"/>
        </w:rPr>
      </w:pPr>
      <w:bookmarkStart w:id="2" w:name="heading_2"/>
      <w:r>
        <w:rPr>
          <w:rFonts w:hint="eastAsia"/>
          <w:lang w:eastAsia="zh-CN"/>
        </w:rPr>
        <w:t>三、</w:t>
      </w:r>
      <w:r>
        <w:t>禁止性行为承诺</w:t>
      </w:r>
      <w:bookmarkEnd w:id="2"/>
    </w:p>
    <w:p w14:paraId="6F87B2F1">
      <w:pPr>
        <w:pStyle w:val="11"/>
        <w:ind w:firstLine="42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pacing wpsCustomData:val="-6" w:val="1"/>
          <w:sz w:val="32"/>
          <w:szCs w:val="32"/>
        </w:rPr>
        <w:t>乙方郑重承诺，在合作期间及合作终止后，绝不发生以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下</w:t>
      </w:r>
      <w:r>
        <w:rPr>
          <w:rFonts w:ascii="Times New Roman" w:hAnsi="Times New Roman" w:eastAsia="仿宋_GB2312" w:cs="仿宋_GB2312"/>
          <w:sz w:val="32"/>
          <w:szCs w:val="32"/>
        </w:rPr>
        <w:t>行为：</w:t>
      </w:r>
    </w:p>
    <w:p w14:paraId="0F503E7E">
      <w:pPr>
        <w:pStyle w:val="11"/>
        <w:numPr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擅自修改、篡改、二次设计“九珍十八品”标识及配套视觉体系；</w:t>
      </w:r>
    </w:p>
    <w:p w14:paraId="08D5893D">
      <w:pPr>
        <w:pStyle w:val="11"/>
        <w:numPr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将标识用于贴牌、代加工、挂靠经营、无证经营等违规场景；</w:t>
      </w:r>
    </w:p>
    <w:p w14:paraId="67430804">
      <w:pPr>
        <w:pStyle w:val="11"/>
        <w:numPr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借用名义进行夸大宣传、虚假背书、误导消费者，或进行低俗、违规、违背公序良俗的宣传推广；</w:t>
      </w:r>
    </w:p>
    <w:p w14:paraId="278D66CE">
      <w:pPr>
        <w:pStyle w:val="11"/>
        <w:numPr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Fonts w:hint="eastAsia" w:cs="仿宋_GB2312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私自授权、出借、出租、转让标识使用权给任何第三方单位或个人；</w:t>
      </w:r>
    </w:p>
    <w:p w14:paraId="30BFB930">
      <w:pPr>
        <w:pStyle w:val="11"/>
        <w:numPr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Fonts w:hint="eastAsia" w:cs="仿宋_GB2312"/>
          <w:sz w:val="32"/>
          <w:szCs w:val="32"/>
          <w:lang w:eastAsia="zh-CN"/>
        </w:rPr>
        <w:t>5.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利用标识从事违反法律法规、行业规范及损害“九珍十八品”口碑、市场形象的一切行为。</w:t>
      </w:r>
    </w:p>
    <w:p w14:paraId="68ACAC57">
      <w:pPr>
        <w:pStyle w:val="2"/>
        <w:numPr>
          <w:numId w:val="0"/>
        </w:numPr>
        <w:topLinePunct w:val="0"/>
        <w:ind w:left="0" w:leftChars="0" w:firstLine="640"/>
        <w:rPr>
          <w:b w:val="0"/>
          <w:bdr w:val="none" w:sz="0" w:space="0"/>
        </w:rPr>
      </w:pPr>
      <w:bookmarkStart w:id="3" w:name="heading_3"/>
      <w:r>
        <w:rPr>
          <w:rFonts w:hint="eastAsia"/>
          <w:lang w:eastAsia="zh-CN"/>
        </w:rPr>
        <w:t>四、</w:t>
      </w:r>
      <w:r>
        <w:t>监督与配合义务</w:t>
      </w:r>
      <w:bookmarkEnd w:id="3"/>
    </w:p>
    <w:p w14:paraId="6119933A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乙方自愿接受甲方及相关监管部门对标识使用情况、产品质量、宣传内容的监督、检查、抽检及审核工作，积极配合整改。若甲方核查发现乙方存在不规范使用行为，乙方将在甲方规定时限内无条件整改、下架、销毁违规物料，消除不良影响。</w:t>
      </w:r>
    </w:p>
    <w:p w14:paraId="01937388">
      <w:pPr>
        <w:pStyle w:val="2"/>
        <w:numPr>
          <w:numId w:val="0"/>
        </w:numPr>
        <w:topLinePunct w:val="0"/>
        <w:ind w:left="0" w:leftChars="0" w:firstLine="640"/>
        <w:rPr>
          <w:b w:val="0"/>
          <w:bdr w:val="none" w:sz="0" w:space="0"/>
        </w:rPr>
      </w:pPr>
      <w:bookmarkStart w:id="4" w:name="heading_4"/>
      <w:r>
        <w:rPr>
          <w:rFonts w:hint="eastAsia"/>
          <w:lang w:eastAsia="zh-CN"/>
        </w:rPr>
        <w:t>五、</w:t>
      </w:r>
      <w:r>
        <w:t>违约责任（全面细化）</w:t>
      </w:r>
      <w:bookmarkEnd w:id="4"/>
    </w:p>
    <w:p w14:paraId="53FF1A4A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（一）</w:t>
      </w:r>
      <w:r>
        <w:rPr>
          <w:rStyle w:val="18"/>
        </w:rPr>
        <w:t>违规处置权限</w:t>
      </w:r>
      <w:r>
        <w:rPr>
          <w:rFonts w:ascii="Times New Roman" w:hAnsi="Times New Roman" w:eastAsia="仿宋_GB2312" w:cs="仿宋_GB2312"/>
          <w:sz w:val="32"/>
          <w:szCs w:val="32"/>
        </w:rPr>
        <w:t>：若乙方违反本承诺书任意条款，出现标识不规范使用、超范围使用、私自授权、违规宣传、产品质量不达标、挂靠冒用等违规行为，甲方有权视情节轻重采取警告、限期整改、暂停标识使用权限、封存违规物料、终止合作、取消入围资格、收回全部标识使用权等措施，并有权将乙方违规行为对外公示、行业通报，乙方无条件配合，不得提出异议。</w:t>
      </w:r>
    </w:p>
    <w:p w14:paraId="74BBAB96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（二）</w:t>
      </w:r>
      <w:r>
        <w:rPr>
          <w:rStyle w:val="18"/>
        </w:rPr>
        <w:t>全额赔偿责任</w:t>
      </w:r>
      <w:r>
        <w:rPr>
          <w:rFonts w:ascii="Times New Roman" w:hAnsi="Times New Roman" w:eastAsia="仿宋_GB2312" w:cs="仿宋_GB2312"/>
          <w:sz w:val="32"/>
          <w:szCs w:val="32"/>
        </w:rPr>
        <w:t>：因乙方违规使用标识、虚假宣传、产品缺陷、不当经营等行为，造成“九珍十八品”声誉受损、市场秩序混乱、舆情负面、第三方投诉、行政处罚或各类法律纠纷的，乙方承担全部法律责任与全部经济损失。包含但不限于行政罚款、消费者赔付、退换货成本、舆情处置费、商誉修复费、公证费、取证费、律师费、诉讼费、保全费、差旅费、维权追偿费用等所有衍生损失。</w:t>
      </w:r>
    </w:p>
    <w:p w14:paraId="6261FD2F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（三）</w:t>
      </w:r>
      <w:r>
        <w:rPr>
          <w:rStyle w:val="18"/>
        </w:rPr>
        <w:t>授权范围与免责界定</w:t>
      </w:r>
      <w:r>
        <w:rPr>
          <w:rFonts w:ascii="Times New Roman" w:hAnsi="Times New Roman" w:eastAsia="仿宋_GB2312" w:cs="仿宋_GB2312"/>
          <w:sz w:val="32"/>
          <w:szCs w:val="32"/>
        </w:rPr>
        <w:t>：甲方仅将“九珍十八品”标识授权用于乙方本次专项入围产品，仅为产品标识使用授权，不代表甲方对乙方企业资质、生产能力、全系产品、经营行为进行任何背书与担保，亦非对乙方全部产品的授权使用。乙方所有非入围产品严禁挂靠、套用、冒用本标识，一经发现视为严重违约。</w:t>
      </w:r>
    </w:p>
    <w:p w14:paraId="39D4B222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（四）</w:t>
      </w:r>
      <w:r>
        <w:rPr>
          <w:rStyle w:val="18"/>
        </w:rPr>
        <w:t>产品问题完全免责</w:t>
      </w:r>
      <w:r>
        <w:rPr>
          <w:rFonts w:ascii="Times New Roman" w:hAnsi="Times New Roman" w:eastAsia="仿宋_GB2312" w:cs="仿宋_GB2312"/>
          <w:sz w:val="32"/>
          <w:szCs w:val="32"/>
        </w:rPr>
        <w:t>：乙方入围产品印刷、使用“九珍十八品”标识上市流通后，凡发生产品质量问题、食品安全问题、售后纠纷、消费者投诉、舆情负面、市场抽检不合格、行政处罚、民事赔偿、侵权纠纷等一切问题，全部由乙方独立承担全部责任，与甲方无任何关联，甲方不承担任何连带责任。若因此造成甲方声誉受损或产生经济损失，甲方有权向乙方全额追偿。</w:t>
      </w:r>
    </w:p>
    <w:p w14:paraId="3C06421C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（五）</w:t>
      </w:r>
      <w:r>
        <w:rPr>
          <w:rStyle w:val="18"/>
        </w:rPr>
        <w:t>逾期整改违约责任</w:t>
      </w:r>
      <w:r>
        <w:rPr>
          <w:rFonts w:ascii="Times New Roman" w:hAnsi="Times New Roman" w:eastAsia="仿宋_GB2312" w:cs="仿宋_GB2312"/>
          <w:sz w:val="32"/>
          <w:szCs w:val="32"/>
        </w:rPr>
        <w:t>：甲方针对乙方违规行为下发整改通知后，乙方未在规定时限内完成整改、下架违规物料、删除违规宣传、终止违规行为的，每逾期一日，视为持续违约，甲方有权直接永久取消乙方入围资格、收回所有使用权限，并保留持续追责权利。</w:t>
      </w:r>
    </w:p>
    <w:p w14:paraId="7284833F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（六）</w:t>
      </w:r>
      <w:r>
        <w:rPr>
          <w:rStyle w:val="18"/>
        </w:rPr>
        <w:t>第三方侵权连带追责</w:t>
      </w:r>
      <w:r>
        <w:rPr>
          <w:rFonts w:ascii="Times New Roman" w:hAnsi="Times New Roman" w:eastAsia="仿宋_GB2312" w:cs="仿宋_GB2312"/>
          <w:sz w:val="32"/>
          <w:szCs w:val="32"/>
        </w:rPr>
        <w:t>：乙方若纵容、协助、默许第三方冒用、套用“九珍十八品”标识，或私自转借、转授使用权的，属于重大恶意违约。除立即终止合作、取消资格外，乙方需对侵权后果承担连带赔偿责任，甲方有权依法追究其全部法律责任。</w:t>
      </w:r>
    </w:p>
    <w:p w14:paraId="51F8810D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（七）</w:t>
      </w:r>
      <w:r>
        <w:rPr>
          <w:rStyle w:val="18"/>
        </w:rPr>
        <w:t>终止后持续追责效力</w:t>
      </w:r>
      <w:r>
        <w:rPr>
          <w:rFonts w:ascii="Times New Roman" w:hAnsi="Times New Roman" w:eastAsia="仿宋_GB2312" w:cs="仿宋_GB2312"/>
          <w:sz w:val="32"/>
          <w:szCs w:val="32"/>
        </w:rPr>
        <w:t>：合作到期、解除或终止后，乙方不得继续使用、变相使用、挂靠使用相关标识。乙方既往违规行为、侵权行为、损害声誉行为所产生的追责条款，永久持续有效，甲方可随时追溯追责。</w:t>
      </w:r>
    </w:p>
    <w:p w14:paraId="7C005BCB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（八）</w:t>
      </w:r>
      <w:r>
        <w:rPr>
          <w:rStyle w:val="18"/>
        </w:rPr>
        <w:t>恶意违约加重处罚</w:t>
      </w:r>
      <w:r>
        <w:rPr>
          <w:rFonts w:ascii="Times New Roman" w:hAnsi="Times New Roman" w:eastAsia="仿宋_GB2312" w:cs="仿宋_GB2312"/>
          <w:sz w:val="32"/>
          <w:szCs w:val="32"/>
        </w:rPr>
        <w:t>：乙方存在刻意篡改标识、伪造授权、批量违规套用、屡改屡犯、造成重大舆情及恶劣社会影响等主观恶意行为的，甲方有权公开通报曝光，并依法追究其侵权、不正当竞争等全部法律责任。</w:t>
      </w:r>
    </w:p>
    <w:p w14:paraId="41EF4BB3">
      <w:pPr>
        <w:pStyle w:val="2"/>
        <w:numPr>
          <w:numId w:val="0"/>
        </w:numPr>
        <w:topLinePunct w:val="0"/>
        <w:ind w:left="0" w:leftChars="0" w:firstLine="640"/>
        <w:rPr>
          <w:b w:val="0"/>
          <w:bdr w:val="none" w:sz="0" w:space="0"/>
        </w:rPr>
      </w:pPr>
      <w:bookmarkStart w:id="5" w:name="heading_5"/>
      <w:r>
        <w:rPr>
          <w:rFonts w:hint="eastAsia"/>
          <w:lang w:eastAsia="zh-CN"/>
        </w:rPr>
        <w:t>六、</w:t>
      </w:r>
      <w:r>
        <w:t>其他约定</w:t>
      </w:r>
      <w:bookmarkEnd w:id="5"/>
    </w:p>
    <w:p w14:paraId="32A782A6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（一）</w:t>
      </w:r>
      <w:r>
        <w:rPr>
          <w:rStyle w:val="18"/>
        </w:rPr>
        <w:t>本承诺书自乙方盖章、负责人签字之日起生效，有效期与乙方“九珍十八品”入围合作期限一致</w:t>
      </w:r>
      <w:r>
        <w:rPr>
          <w:rFonts w:ascii="Times New Roman" w:hAnsi="Times New Roman" w:eastAsia="仿宋_GB2312" w:cs="仿宋_GB2312"/>
          <w:sz w:val="32"/>
          <w:szCs w:val="32"/>
        </w:rPr>
        <w:t>。合作期满、终止或解除后，本承诺书关于权益保护、违约责任、知识产权归属的条款持续有效。</w:t>
      </w:r>
    </w:p>
    <w:p w14:paraId="4EA9A944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（二）</w:t>
      </w:r>
      <w:r>
        <w:rPr>
          <w:rStyle w:val="18"/>
        </w:rPr>
        <w:t>本承诺书为甲乙双方合作相关文件的有效补充，与正式合作协议具有同等法律效力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2A7447A8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（三）</w:t>
      </w:r>
      <w:r>
        <w:rPr>
          <w:rStyle w:val="18"/>
        </w:rPr>
        <w:t>保密义务</w:t>
      </w:r>
      <w:r>
        <w:rPr>
          <w:rFonts w:ascii="Times New Roman" w:hAnsi="Times New Roman" w:eastAsia="仿宋_GB2312" w:cs="仿宋_GB2312"/>
          <w:sz w:val="32"/>
          <w:szCs w:val="32"/>
        </w:rPr>
        <w:t>：乙方承诺对甲方提供的所有视觉规范文件、源文件、审核标准、合作内部资料严格保密，不得向任何第三方泄露、传播、复制或用于本合作以外的用途，合作终止后需妥善销毁全部涉密资料，违者视为严重违约，承担由此造成的全部损失。</w:t>
      </w:r>
    </w:p>
    <w:p w14:paraId="6847A2EA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（四）</w:t>
      </w:r>
      <w:r>
        <w:rPr>
          <w:rStyle w:val="18"/>
        </w:rPr>
        <w:t>知识产权防护约定</w:t>
      </w:r>
      <w:r>
        <w:rPr>
          <w:rFonts w:ascii="Times New Roman" w:hAnsi="Times New Roman" w:eastAsia="仿宋_GB2312" w:cs="仿宋_GB2312"/>
          <w:sz w:val="32"/>
          <w:szCs w:val="32"/>
        </w:rPr>
        <w:t>：乙方承诺合作期间及合作终止后，不得自行或协助第三方抢注、仿制、注册“九珍十八品”相同或近似的名称、标识、图案等知识产权，不得实施任何混淆、仿冒、搭便车的侵权行为，一经违规，甲方有权永久终止合作并依法追责。</w:t>
      </w:r>
    </w:p>
    <w:p w14:paraId="61924358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（五）</w:t>
      </w:r>
      <w:r>
        <w:rPr>
          <w:rStyle w:val="18"/>
        </w:rPr>
        <w:t>争议管辖约定</w:t>
      </w:r>
      <w:r>
        <w:rPr>
          <w:rFonts w:ascii="Times New Roman" w:hAnsi="Times New Roman" w:eastAsia="仿宋_GB2312" w:cs="仿宋_GB2312"/>
          <w:sz w:val="32"/>
          <w:szCs w:val="32"/>
        </w:rPr>
        <w:t>：因本承诺书产生的一切争议、纠纷，甲乙双方优先协商解决；协商不成的，双方一致同意交由</w:t>
      </w:r>
      <w:r>
        <w:rPr>
          <w:rFonts w:ascii="Times New Roman" w:hAnsi="Times New Roman" w:eastAsia="仿宋_GB2312" w:cs="仿宋_GB2312"/>
          <w:b/>
          <w:sz w:val="32"/>
          <w:szCs w:val="32"/>
        </w:rPr>
        <w:t>甲方所在地人民法院</w:t>
      </w:r>
      <w:r>
        <w:rPr>
          <w:rFonts w:ascii="Times New Roman" w:hAnsi="Times New Roman" w:eastAsia="仿宋_GB2312" w:cs="仿宋_GB2312"/>
          <w:sz w:val="32"/>
          <w:szCs w:val="32"/>
        </w:rPr>
        <w:t>诉讼解决，乙方自愿放弃管辖异议权利。</w:t>
      </w:r>
    </w:p>
    <w:p w14:paraId="5A045AFA">
      <w:pPr>
        <w:pStyle w:val="11"/>
        <w:numPr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bdr w:val="none" w:sz="0" w:space="0"/>
        </w:rPr>
      </w:pPr>
      <w:r>
        <w:rPr>
          <w:rStyle w:val="18"/>
          <w:rFonts w:hint="eastAsia" w:eastAsia="楷体_GB2312"/>
          <w:lang w:eastAsia="zh-CN"/>
        </w:rPr>
        <w:t>（六）</w:t>
      </w:r>
      <w:r>
        <w:rPr>
          <w:rStyle w:val="18"/>
        </w:rPr>
        <w:t>本承诺书一式两份，甲方、乙方各执一份，均具有同等法律效力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15645922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乙方已仔细阅读、充分理解本承诺书全部条款，自愿遵守所有约定，自愿承担相应法律及违约责任，无任何异议。</w:t>
      </w:r>
    </w:p>
    <w:p w14:paraId="0067A04D">
      <w:pPr>
        <w:spacing w:before="120" w:after="120" w:line="288" w:lineRule="auto"/>
        <w:ind w:left="0"/>
        <w:jc w:val="left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承诺单位（盖章）：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＿＿＿＿＿＿＿＿＿＿＿＿＿＿＿＿＿＿</w:t>
      </w:r>
    </w:p>
    <w:p w14:paraId="173E211B">
      <w:pPr>
        <w:spacing w:before="120" w:after="120" w:line="288" w:lineRule="auto"/>
        <w:ind w:left="0"/>
        <w:jc w:val="left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法定代表人</w:t>
      </w:r>
      <w:r>
        <w:rPr>
          <w:rFonts w:hint="eastAsia" w:ascii="Times New Roman" w:hAnsi="Times New Roman" w:eastAsia="仿宋_GB2312" w:cs="仿宋_GB2312"/>
          <w:b/>
          <w:sz w:val="32"/>
          <w:szCs w:val="32"/>
          <w:lang w:eastAsia="zh-CN"/>
        </w:rPr>
        <w:t>／</w:t>
      </w:r>
      <w:r>
        <w:rPr>
          <w:rFonts w:ascii="Times New Roman" w:hAnsi="Times New Roman" w:eastAsia="仿宋_GB2312" w:cs="仿宋_GB2312"/>
          <w:b/>
          <w:sz w:val="32"/>
          <w:szCs w:val="32"/>
        </w:rPr>
        <w:t>授权负责人（签字）：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＿＿＿＿＿＿＿＿＿＿＿</w:t>
      </w:r>
    </w:p>
    <w:p w14:paraId="3E35C897">
      <w:pPr>
        <w:spacing w:before="120" w:after="120" w:line="288" w:lineRule="auto"/>
        <w:ind w:left="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签署日期：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＿＿＿</w:t>
      </w:r>
      <w:r>
        <w:rPr>
          <w:rFonts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</w:t>
      </w:r>
      <w:r>
        <w:rPr>
          <w:rFonts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＿＿</w:t>
      </w:r>
      <w:r>
        <w:rPr>
          <w:rFonts w:ascii="Times New Roman" w:hAnsi="Times New Roman" w:eastAsia="仿宋_GB2312" w:cs="仿宋_GB2312"/>
          <w:sz w:val="32"/>
          <w:szCs w:val="32"/>
        </w:rPr>
        <w:t>日</w:t>
      </w:r>
    </w:p>
    <w:p w14:paraId="51E2AFD2">
      <w:pPr>
        <w:pStyle w:val="11"/>
        <w:bidi w:val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F07ED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3463694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EvjmXRAAAA&#10;BgEAAA8AAAAAAAAAAQAgAAAAIgAAAGRycy9kb3ducmV2LnhtbFBLAQIUABQAAAAIAIdO4kCNsDni&#10;6wEAANEDAAAOAAAAAAAAAAEAIAAAACABAABkcnMvZTJvRG9jLnhtbFBLBQYAAAAABgAGAFkBAAB9&#10;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73463694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41E01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CA3C139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xL45l0QAA&#10;AAYBAAAPAAAAAAAAAAEAIAAAACIAAABkcnMvZG93bnJldi54bWxQSwECFAAUAAAACACHTuJA+0dY&#10;1+wBAADRAwAADgAAAAAAAAABACAAAAAgAQAAZHJzL2Uyb0RvYy54bWxQSwUGAAAAAAYABgBZAQAA&#10;fg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4CA3C139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B80B5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835B1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BB09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uiPriority w:val="0"/>
  </w:style>
  <w:style w:type="table" w:default="1" w:styleId="1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8">
    <w:name w:val="标题 2 Char"/>
    <w:link w:val="3"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2731</Words>
  <Characters>2909</Characters>
  <TotalTime>1</TotalTime>
  <ScaleCrop>false</ScaleCrop>
  <LinksUpToDate>false</LinksUpToDate>
  <CharactersWithSpaces>2935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2026-06-02T01:40:00Z</dcterms:created>
  <dc:creator>Apache POI</dc:creator>
  <cp:lastModifiedBy>nnmm.</cp:lastModifiedBy>
  <dcterms:modified xsi:type="dcterms:W3CDTF">2026-06-02T01:42:42Z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{"Label":"1","ContentProducer":"001191110102MACQD9K64010000","ProduceID":"7646607035775667418","ReservedCode1":"","ContentPropagator":"","PropagateID":"","ReservedCode2":""}</vt:lpwstr>
  </property>
  <property fmtid="{D5CDD505-2E9C-101B-9397-08002B2CF9AE}" pid="3" name="KSOTemplateDocerSaveRecord">
    <vt:lpwstr>eyJoZGlkIjoiYmY0ZGM3NzJjY2QyNDBlN2NlNGRlNDEzNzQ2ZGUyNmUiLCJ1c2VySWQiOiI3Mzg1MDk3NjIifQ==</vt:lpwstr>
  </property>
  <property fmtid="{D5CDD505-2E9C-101B-9397-08002B2CF9AE}" pid="4" name="KSOProductBuildVer">
    <vt:lpwstr>2052-12.1.0.26375</vt:lpwstr>
  </property>
  <property fmtid="{D5CDD505-2E9C-101B-9397-08002B2CF9AE}" pid="5" name="ICV">
    <vt:lpwstr>48BCC21231514F808274612DE0E1D618_13</vt:lpwstr>
  </property>
</Properties>
</file>