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widowControl/>
        <w:rPr>
          <w:rFonts w:hint="eastAsia"/>
          <w:lang w:eastAsia="zh-CN"/>
        </w:rPr>
      </w:pPr>
      <w:bookmarkStart w:id="0" w:name="_GoBack"/>
      <mc:AlternateContent>
        <mc:Choice Requires="wpsCustomData">
          <wpsCustomData:docfieldStart id="0" docfieldname="附件_1" hidden="false" print="true" readonly="false" index="1"/>
        </mc:Choice>
      </mc:AlternateContent>
      <w:r>
        <w:t>附件5</w:t>
      </w:r>
      <w:r>
        <w:rPr>
          <w:rFonts w:hint="eastAsia"/>
          <w:lang w:eastAsia="zh-CN"/>
        </w:rPr>
        <w:t>：</w:t>
      </w:r>
    </w:p>
    <w:p>
      <w:pPr>
        <w:pStyle w:val="18"/>
        <w:widowControl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18"/>
        <w:widowControl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龙江森林食物 “九珍十八品” 品牌授权</w:t>
      </w:r>
    </w:p>
    <w:p>
      <w:pPr>
        <w:pStyle w:val="18"/>
        <w:widowControl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退出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机制</w:t>
      </w:r>
      <mc:AlternateContent>
        <mc:Choice Requires="wpsCustomData">
          <wpsCustomData:docfieldEnd id="0"/>
        </mc:Choice>
      </mc:AlternateContent>
    </w:p>
    <w:bookmarkEnd w:id="0"/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rFonts w:hint="eastAsia"/>
          <w:lang w:eastAsia="zh-CN"/>
        </w:rPr>
      </w:pP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总则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仿宋_GB2312" w:cs="仿宋_GB2312"/>
          <w:color w:val="1F2329"/>
          <w:sz w:val="32"/>
          <w:szCs w:val="32"/>
        </w:rPr>
      </w:pPr>
      <w:r>
        <w:rPr>
          <w:rFonts w:ascii="Times New Roman" w:hAnsi="Times New Roman" w:eastAsia="仿宋_GB2312" w:cs="仿宋_GB2312"/>
          <w:color w:val="1F2329"/>
          <w:sz w:val="32"/>
          <w:szCs w:val="32"/>
        </w:rPr>
        <w:t>为维护 “九珍十八品” 省域公用品牌公信力、统一性与权威性，规范品牌授权管理，建立 “准入 — 监管 — 复核 — 退出” 全</w:t>
      </w:r>
      <w:r>
        <w:rPr>
          <w:rFonts w:ascii="Times New Roman" w:hAnsi="Times New Roman" w:eastAsia="仿宋_GB2312" w:cs="仿宋_GB2312"/>
          <w:color w:val="1F2329"/>
          <w:spacing w:val="-3"/>
          <w:sz w:val="32"/>
          <w:szCs w:val="32"/>
        </w:rPr>
        <w:t>周期闭环管理体系</w:t>
      </w:r>
      <w:r>
        <w:rPr>
          <w:rFonts w:ascii="Times New Roman" w:hAnsi="Times New Roman" w:eastAsia="仿宋_GB2312" w:cs="仿宋_GB2312"/>
          <w:color w:val="1F2329"/>
          <w:spacing w:val="-2"/>
          <w:sz w:val="32"/>
          <w:szCs w:val="32"/>
        </w:rPr>
        <w:t>，</w:t>
      </w:r>
      <w:r>
        <w:rPr>
          <w:rFonts w:ascii="Times New Roman" w:hAnsi="Times New Roman" w:eastAsia="仿宋_GB2312" w:cs="仿宋_GB2312"/>
          <w:color w:val="1F2329"/>
          <w:spacing w:val="-3"/>
          <w:sz w:val="32"/>
          <w:szCs w:val="32"/>
        </w:rPr>
        <w:t>明确退出情</w:t>
      </w:r>
      <w:r>
        <w:rPr>
          <w:rFonts w:ascii="Times New Roman" w:hAnsi="Times New Roman" w:eastAsia="仿宋_GB2312" w:cs="仿宋_GB2312"/>
          <w:color w:val="1F2329"/>
          <w:spacing w:val="-2"/>
          <w:sz w:val="32"/>
          <w:szCs w:val="32"/>
        </w:rPr>
        <w:t>形</w:t>
      </w:r>
      <w:r>
        <w:rPr>
          <w:rFonts w:ascii="Times New Roman" w:hAnsi="Times New Roman" w:eastAsia="仿宋_GB2312" w:cs="仿宋_GB2312"/>
          <w:color w:val="1F2329"/>
          <w:spacing w:val="-3"/>
          <w:sz w:val="32"/>
          <w:szCs w:val="32"/>
        </w:rPr>
        <w:t>、程序与惩戒措施</w:t>
      </w:r>
      <w:r>
        <w:rPr>
          <w:rFonts w:ascii="Times New Roman" w:hAnsi="Times New Roman" w:eastAsia="仿宋_GB2312" w:cs="仿宋_GB2312"/>
          <w:color w:val="1F2329"/>
          <w:spacing w:val="-2"/>
          <w:sz w:val="32"/>
          <w:szCs w:val="32"/>
        </w:rPr>
        <w:t>，</w:t>
      </w:r>
      <w:r>
        <w:rPr>
          <w:rFonts w:ascii="Times New Roman" w:hAnsi="Times New Roman" w:eastAsia="仿宋_GB2312" w:cs="仿宋_GB2312"/>
          <w:color w:val="1F2329"/>
          <w:spacing w:val="-3"/>
          <w:sz w:val="32"/>
          <w:szCs w:val="32"/>
        </w:rPr>
        <w:t>制定</w:t>
      </w:r>
      <w:r>
        <w:rPr>
          <w:rFonts w:ascii="Times New Roman" w:hAnsi="Times New Roman" w:eastAsia="仿宋_GB2312" w:cs="仿宋_GB2312"/>
          <w:color w:val="1F2329"/>
          <w:spacing w:val="-6"/>
          <w:sz w:val="32"/>
          <w:szCs w:val="32"/>
        </w:rPr>
        <w:t>本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机制。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适用范围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仿宋_GB2312" w:cs="仿宋_GB2312"/>
          <w:color w:val="1F2329"/>
          <w:sz w:val="32"/>
          <w:szCs w:val="32"/>
        </w:rPr>
      </w:pPr>
      <w:r>
        <w:rPr>
          <w:rFonts w:ascii="Times New Roman" w:hAnsi="Times New Roman" w:eastAsia="仿宋_GB2312" w:cs="仿宋_GB2312"/>
          <w:color w:val="1F2329"/>
          <w:sz w:val="32"/>
          <w:szCs w:val="32"/>
        </w:rPr>
        <w:t>已获得 “九珍十八品” 公用品牌授权的所有企业、专业合作社及对应产品。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主动退出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Times New Roman" w:hAnsi="Times New Roman" w:eastAsia="仿宋_GB2312" w:cs="仿宋_GB2312"/>
          <w:b w:val="0"/>
          <w:color w:val="1F2329"/>
          <w:sz w:val="32"/>
          <w:szCs w:val="32"/>
        </w:rPr>
      </w:pPr>
      <w:r>
        <w:rPr>
          <w:rFonts w:hint="eastAsia" w:cs="仿宋_GB2312"/>
          <w:color w:val="1F2329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color w:val="1F2329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企业因自身发展需要，自愿放弃品牌授权，应提前 30 日向品牌运营管理中心提交书面退出申请。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Times New Roman" w:hAnsi="Times New Roman" w:eastAsia="仿宋_GB2312" w:cs="仿宋_GB2312"/>
          <w:b w:val="0"/>
          <w:color w:val="1F2329"/>
          <w:sz w:val="32"/>
          <w:szCs w:val="32"/>
        </w:rPr>
      </w:pPr>
      <w:r>
        <w:rPr>
          <w:rFonts w:hint="eastAsia" w:cs="仿宋_GB2312"/>
          <w:color w:val="1F2329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color w:val="1F2329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企业发生注销、破产、迁离黑龙江省、终止生产等情形，品牌授权自动终止。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Times New Roman" w:hAnsi="Times New Roman" w:eastAsia="仿宋_GB2312" w:cs="仿宋_GB2312"/>
          <w:b w:val="0"/>
          <w:color w:val="1F2329"/>
          <w:sz w:val="32"/>
          <w:szCs w:val="32"/>
        </w:rPr>
      </w:pPr>
      <w:r>
        <w:rPr>
          <w:rFonts w:hint="eastAsia" w:cs="仿宋_GB2312"/>
          <w:color w:val="1F2329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color w:val="1F2329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主动退出企业，</w:t>
      </w:r>
      <w:r>
        <w:rPr>
          <w:rFonts w:hint="eastAsia" w:cs="仿宋_GB2312"/>
          <w:color w:val="1F2329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 xml:space="preserve"> 年内不得再次申报九珍十八品品牌准入。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四、</w:t>
      </w:r>
      <w:r>
        <w:t>被动退出（强制清退）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仿宋_GB2312" w:cs="仿宋_GB2312"/>
          <w:color w:val="1F2329"/>
          <w:sz w:val="32"/>
          <w:szCs w:val="32"/>
        </w:rPr>
      </w:pPr>
      <w:r>
        <w:rPr>
          <w:rFonts w:ascii="Times New Roman" w:hAnsi="Times New Roman" w:eastAsia="仿宋_GB2312" w:cs="仿宋_GB2312"/>
          <w:color w:val="1F2329"/>
          <w:sz w:val="32"/>
          <w:szCs w:val="32"/>
        </w:rPr>
        <w:t>获授权企业 ／ 产品出现下列情形之一，品牌运营管理中心立即启动退出程序：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配合不积极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：无正当理由拒不参加运管中心组织的培训、抽检、展会、宣传、数据报送、年度复核等工作，累计达到 2 次及以上。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包装不使用标识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：产品上市销售、线上线下展示时，屡次（</w:t>
      </w:r>
      <w:r>
        <w:rPr>
          <w:rFonts w:hint="eastAsia" w:cs="仿宋_GB2312"/>
          <w:color w:val="1F2329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 xml:space="preserve"> 次及以上）未按规范使用 “九珍十八品” 统一标识；或故意遮挡、替换、篡改标识，经书面提醒、限期整改仍不改正。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产品质量抽检不合格，且逾期复检仍不合格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发生产品质量安全、环保、安全生产事故或引发重大负面舆情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（五）</w:t>
      </w:r>
      <w:r>
        <w:rPr>
          <w:rStyle w:val="19"/>
        </w:rPr>
        <w:t>被列入失信被执行人名单、受到重大行政处罚、存在知识产权侵权等行为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（六）</w:t>
      </w:r>
      <w:r>
        <w:rPr>
          <w:rStyle w:val="19"/>
        </w:rPr>
        <w:t>转让、转借、倒卖、冒用品牌授权或品牌标识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（七）</w:t>
      </w:r>
      <w:r>
        <w:rPr>
          <w:rStyle w:val="19"/>
        </w:rPr>
        <w:t>申报材料造假、产品与申报信息严重不符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（八）</w:t>
      </w:r>
      <w:r>
        <w:rPr>
          <w:rStyle w:val="19"/>
        </w:rPr>
        <w:t>其他严重损害品牌形象与声誉的行为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五、</w:t>
      </w:r>
      <w:r>
        <w:t>退出程序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核查取证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：运管中心对违规行为进行核实、取证、留存记录。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整改通知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：向企业发出书面整改通知书，明确整改要求与期限（7—15 日）。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复核认定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：到期未整改或整改不合格，由组委会复核后作出退出认定。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spacing w:val="-2"/>
          <w:lang w:eastAsia="zh-CN"/>
        </w:rPr>
        <w:t>（四）</w:t>
      </w:r>
      <w:r>
        <w:rPr>
          <w:rStyle w:val="19"/>
          <w:spacing w:val="-2"/>
        </w:rPr>
        <w:t>公示公告</w:t>
      </w:r>
      <w:r>
        <w:rPr>
          <w:rFonts w:ascii="Times New Roman" w:hAnsi="Times New Roman" w:eastAsia="仿宋_GB2312" w:cs="仿宋_GB2312"/>
          <w:color w:val="1F2329"/>
          <w:spacing w:val="-2"/>
          <w:sz w:val="32"/>
          <w:szCs w:val="32"/>
        </w:rPr>
        <w:t>：在官方平台公示退出名单，正式撤销品</w:t>
      </w:r>
      <w:r>
        <w:rPr>
          <w:rFonts w:ascii="Times New Roman" w:hAnsi="Times New Roman" w:eastAsia="仿宋_GB2312" w:cs="仿宋_GB2312"/>
          <w:color w:val="1F2329"/>
          <w:spacing w:val="-6"/>
          <w:sz w:val="32"/>
          <w:szCs w:val="32"/>
        </w:rPr>
        <w:t>牌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授权。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（五）</w:t>
      </w:r>
      <w:r>
        <w:rPr>
          <w:rStyle w:val="19"/>
        </w:rPr>
        <w:t>停止使用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：企业须立即停止使用品牌标识，下架相关宣传物料，召回违规包装产品。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六、</w:t>
      </w:r>
      <w:r>
        <w:t>退出惩戒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Times New Roman" w:hAnsi="Times New Roman" w:eastAsia="仿宋_GB2312" w:cs="仿宋_GB2312"/>
          <w:b w:val="0"/>
          <w:color w:val="1F2329"/>
          <w:sz w:val="32"/>
          <w:szCs w:val="32"/>
        </w:rPr>
      </w:pPr>
      <w:r>
        <w:rPr>
          <w:rFonts w:hint="eastAsia" w:cs="仿宋_GB2312"/>
          <w:color w:val="1F2329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color w:val="1F2329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被强制清退的企业 ／ 产品，3 年内不得申报 “九珍十八品” 品牌准入。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Times New Roman" w:hAnsi="Times New Roman" w:eastAsia="仿宋_GB2312" w:cs="仿宋_GB2312"/>
          <w:b w:val="0"/>
          <w:color w:val="1F2329"/>
          <w:sz w:val="32"/>
          <w:szCs w:val="32"/>
        </w:rPr>
      </w:pPr>
      <w:r>
        <w:rPr>
          <w:rFonts w:hint="eastAsia" w:cs="仿宋_GB2312"/>
          <w:color w:val="1F2329"/>
          <w:spacing w:val="-6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color w:val="1F2329"/>
          <w:spacing w:val="3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1F2329"/>
          <w:spacing w:val="3"/>
          <w:sz w:val="32"/>
          <w:szCs w:val="32"/>
        </w:rPr>
        <w:t>列入品牌合作黑名单，通报各地林草主管部门及各森</w:t>
      </w:r>
      <w:r>
        <w:rPr>
          <w:rFonts w:ascii="Times New Roman" w:hAnsi="Times New Roman" w:eastAsia="仿宋_GB2312" w:cs="仿宋_GB2312"/>
          <w:color w:val="1F2329"/>
          <w:spacing w:val="-6"/>
          <w:sz w:val="32"/>
          <w:szCs w:val="32"/>
        </w:rPr>
        <w:t>工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集团。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Times New Roman" w:hAnsi="Times New Roman" w:eastAsia="仿宋_GB2312" w:cs="仿宋_GB2312"/>
          <w:b w:val="0"/>
          <w:color w:val="1F2329"/>
          <w:sz w:val="32"/>
          <w:szCs w:val="32"/>
        </w:rPr>
      </w:pPr>
      <w:r>
        <w:rPr>
          <w:rFonts w:hint="eastAsia" w:cs="仿宋_GB2312"/>
          <w:color w:val="1F2329"/>
          <w:spacing w:val="-6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color w:val="1F2329"/>
          <w:spacing w:val="3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1F2329"/>
          <w:spacing w:val="3"/>
          <w:sz w:val="32"/>
          <w:szCs w:val="32"/>
        </w:rPr>
        <w:t>因违规行为造成品牌损失、不良影响的，依法追究相</w:t>
      </w:r>
      <w:r>
        <w:rPr>
          <w:rFonts w:ascii="Times New Roman" w:hAnsi="Times New Roman" w:eastAsia="仿宋_GB2312" w:cs="仿宋_GB2312"/>
          <w:color w:val="1F2329"/>
          <w:spacing w:val="-6"/>
          <w:sz w:val="32"/>
          <w:szCs w:val="32"/>
        </w:rPr>
        <w:t>应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责任。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七、</w:t>
      </w:r>
      <w:r>
        <w:t>申诉机制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仿宋_GB2312" w:cs="仿宋_GB2312"/>
          <w:color w:val="1F2329"/>
          <w:sz w:val="32"/>
          <w:szCs w:val="32"/>
        </w:rPr>
      </w:pPr>
      <w:r>
        <w:rPr>
          <w:rFonts w:ascii="Times New Roman" w:hAnsi="Times New Roman" w:eastAsia="仿宋_GB2312" w:cs="仿宋_GB2312"/>
          <w:color w:val="1F2329"/>
          <w:sz w:val="32"/>
          <w:szCs w:val="32"/>
        </w:rPr>
        <w:t>企业对退出决定有异议，可在收到退出通知 5 个工作日内，向组委会提交书面申诉材料及相关证明。组委会在收到申诉后 10 个工作日内完成复核，作出最终决定并书面反馈。</w:t>
      </w:r>
    </w:p>
    <w:p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八、</w:t>
      </w:r>
      <w:r>
        <w:t>附则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eastAsia" w:ascii="Times New Roman" w:hAnsi="Times New Roman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color w:val="1F2329"/>
          <w:sz w:val="32"/>
          <w:szCs w:val="32"/>
        </w:rPr>
        <w:t>本机制由黑龙江森林食物九珍十八品品牌运营管理中心负责解释，自发布之日起施行</w:t>
      </w:r>
      <w:r>
        <w:rPr>
          <w:rFonts w:ascii="Times New Roman" w:hAnsi="Times New Roman" w:eastAsia="仿宋_GB2312" w:cs="仿宋_GB2312"/>
          <w:color w:val="1F2329"/>
          <w:sz w:val="32"/>
          <w:szCs w:val="32"/>
        </w:rPr>
        <w:t>。</w:t>
      </w:r>
    </w:p>
    <w:p/>
    <w:p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AalSs7WAAAABgEAAA8AAAAAAAAAAQAgAAAAOAAAAGRycy9kb3ducmV2&#10;LnhtbFBLAQIUABQAAAAIAIdO4kDPvJvBIQIAADMEAAAOAAAAAAAAAAEAIAAAADs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FgAAAGRycy9Q&#10;SwECFAAUAAAACACHTuJABqVKztYAAAAGAQAADwAAAAAAAAABACAAAAA4AAAAZHJzL2Rvd25yZXYu&#10;eG1sUEsBAhQAFAAAAAgAh07iQPhWIMAgAgAAMwQAAA4AAAAAAAAAAQAgAAAAO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evenAndOddHeaders w:val="true"/>
  <w:drawingGridHorizontalSpacing w:val="158"/>
  <w:drawingGridVerticalSpacing w:val="290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51B42"/>
    <w:rsid w:val="7875A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19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2026-05-25T08:56:00Z</dcterms:created>
  <dc:creator>lenovo</dc:creator>
  <cp:lastModifiedBy>ht-706</cp:lastModifiedBy>
  <dcterms:modified xsi:type="dcterms:W3CDTF">2026-07-28T15:28:59Z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KSOTemplateDocerSaveRecord">
    <vt:lpwstr>eyJoZGlkIjoiYmY0ZGM3NzJjY2QyNDBlN2NlNGRlNDEzNzQ2ZGUyNmUiLCJ1c2VySWQiOiI3Mzg1MDk3NjIifQ==</vt:lpwstr>
  </property>
  <property fmtid="{D5CDD505-2E9C-101B-9397-08002B2CF9AE}" pid="4" name="ICV">
    <vt:lpwstr>5CD0BC56BD7C49B2BCEA2C6C6462B920_12</vt:lpwstr>
  </property>
</Properties>
</file>