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500"/>
        <w:jc w:val="left"/>
        <w:rPr>
          <w:rFonts w:ascii="仿宋_GB2312;仿宋" w:hAnsi="仿宋_GB2312;仿宋" w:eastAsia="仿宋_GB2312;仿宋" w:cs="仿宋_GB2312;仿宋"/>
          <w:sz w:val="24"/>
        </w:rPr>
      </w:pPr>
      <w:r>
        <w:rPr>
          <w:rFonts w:ascii="黑体" w:hAnsi="黑体" w:cs="黑体" w:eastAsia="黑体"/>
          <w:sz w:val="32"/>
          <w:szCs w:val="32"/>
        </w:rPr>
        <w:t>附件</w:t>
      </w:r>
      <w:r>
        <w:rPr>
          <w:rFonts w:eastAsia="黑体" w:cs="黑体" w:ascii="黑体" w:hAnsi="黑体"/>
          <w:kern w:val="0"/>
          <w:sz w:val="32"/>
          <w:szCs w:val="32"/>
          <w:lang w:bidi="ar"/>
        </w:rPr>
        <w:t>3</w:t>
      </w:r>
    </w:p>
    <w:p>
      <w:pPr>
        <w:pStyle w:val="Normal"/>
        <w:autoSpaceDE w:val="false"/>
        <w:spacing w:lineRule="exact" w:line="540"/>
        <w:jc w:val="center"/>
        <w:rPr>
          <w:rFonts w:ascii="方正小标宋简体;黑体" w:hAnsi="方正小标宋简体;黑体" w:eastAsia="方正小标宋简体;黑体" w:cs="方正小标宋简体;黑体"/>
          <w:sz w:val="44"/>
          <w:szCs w:val="44"/>
        </w:rPr>
      </w:pPr>
      <w:r>
        <w:rPr>
          <w:rFonts w:ascii="方正小标宋简体;黑体" w:hAnsi="方正小标宋简体;黑体" w:cs="方正小标宋简体;黑体" w:eastAsia="方正小标宋简体;黑体"/>
          <w:b w:val="false"/>
          <w:bCs w:val="false"/>
          <w:sz w:val="44"/>
          <w:szCs w:val="44"/>
          <w:lang w:val="en-US" w:eastAsia="zh-CN"/>
        </w:rPr>
        <w:t>武汉市市场监管</w:t>
      </w:r>
      <w:r>
        <w:rPr>
          <w:rFonts w:ascii="方正小标宋简体;黑体" w:hAnsi="方正小标宋简体;黑体" w:cs="方正小标宋简体;黑体" w:eastAsia="方正小标宋简体;黑体"/>
          <w:b w:val="false"/>
          <w:bCs w:val="false"/>
          <w:sz w:val="44"/>
          <w:szCs w:val="44"/>
        </w:rPr>
        <w:t>从轻处罚事项清单</w:t>
      </w:r>
    </w:p>
    <w:tbl>
      <w:tblPr>
        <w:tblW w:w="12841" w:type="dxa"/>
        <w:jc w:val="left"/>
        <w:tblInd w:w="-20" w:type="dxa"/>
        <w:tblLayout w:type="fixed"/>
        <w:tblCellMar>
          <w:top w:w="15" w:type="dxa"/>
          <w:left w:w="15" w:type="dxa"/>
          <w:bottom w:w="0" w:type="dxa"/>
          <w:right w:w="15" w:type="dxa"/>
        </w:tblCellMar>
      </w:tblPr>
      <w:tblGrid>
        <w:gridCol w:w="801"/>
        <w:gridCol w:w="566"/>
        <w:gridCol w:w="3524"/>
        <w:gridCol w:w="2442"/>
        <w:gridCol w:w="5508"/>
      </w:tblGrid>
      <w:tr>
        <w:trPr>
          <w:trHeight w:val="90" w:hRule="atLeast"/>
          <w:cantSplit w:val="true"/>
        </w:trPr>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center"/>
              <w:rPr>
                <w:rFonts w:ascii="黑体" w:hAnsi="黑体" w:eastAsia="黑体" w:cs="黑体"/>
                <w:color w:val="000000"/>
                <w:kern w:val="0"/>
                <w:sz w:val="30"/>
                <w:szCs w:val="30"/>
                <w:lang w:bidi="ar"/>
              </w:rPr>
            </w:pPr>
            <w:r>
              <w:rPr>
                <w:rFonts w:ascii="黑体" w:hAnsi="黑体" w:cs="黑体" w:eastAsia="黑体"/>
                <w:color w:val="000000"/>
                <w:kern w:val="0"/>
                <w:sz w:val="30"/>
                <w:szCs w:val="30"/>
                <w:lang w:bidi="ar"/>
              </w:rPr>
              <w:t>领域</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center"/>
              <w:rPr>
                <w:rFonts w:ascii="黑体" w:hAnsi="黑体" w:eastAsia="黑体" w:cs="黑体"/>
                <w:color w:val="000000"/>
                <w:sz w:val="30"/>
                <w:szCs w:val="30"/>
              </w:rPr>
            </w:pPr>
            <w:r>
              <w:rPr>
                <w:rFonts w:ascii="黑体" w:hAnsi="黑体" w:cs="黑体" w:eastAsia="黑体"/>
                <w:color w:val="000000"/>
                <w:kern w:val="0"/>
                <w:sz w:val="30"/>
                <w:szCs w:val="30"/>
                <w:lang w:bidi="ar"/>
              </w:rPr>
              <w:t>序号</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center"/>
              <w:rPr>
                <w:rFonts w:ascii="黑体" w:hAnsi="黑体" w:eastAsia="黑体" w:cs="黑体"/>
                <w:color w:val="000000"/>
                <w:sz w:val="30"/>
                <w:szCs w:val="30"/>
              </w:rPr>
            </w:pPr>
            <w:r>
              <w:rPr>
                <w:rFonts w:ascii="黑体" w:hAnsi="黑体" w:cs="黑体" w:eastAsia="黑体"/>
                <w:color w:val="000000"/>
                <w:kern w:val="0"/>
                <w:sz w:val="30"/>
                <w:szCs w:val="30"/>
                <w:lang w:bidi="ar"/>
              </w:rPr>
              <w:t>违法行为</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center"/>
              <w:rPr>
                <w:rFonts w:ascii="黑体" w:hAnsi="黑体" w:eastAsia="黑体" w:cs="黑体"/>
                <w:color w:val="000000"/>
                <w:sz w:val="30"/>
                <w:szCs w:val="30"/>
              </w:rPr>
            </w:pPr>
            <w:r>
              <w:rPr>
                <w:rFonts w:ascii="黑体" w:hAnsi="黑体" w:cs="黑体" w:eastAsia="黑体"/>
                <w:color w:val="000000"/>
                <w:kern w:val="0"/>
                <w:sz w:val="30"/>
                <w:szCs w:val="30"/>
                <w:lang w:bidi="ar"/>
              </w:rPr>
              <w:t>适用情形</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center"/>
              <w:rPr>
                <w:rFonts w:ascii="黑体" w:hAnsi="黑体" w:eastAsia="黑体" w:cs="黑体"/>
                <w:color w:val="000000"/>
                <w:kern w:val="0"/>
                <w:sz w:val="30"/>
                <w:szCs w:val="30"/>
                <w:lang w:bidi="ar"/>
              </w:rPr>
            </w:pPr>
            <w:r>
              <w:rPr>
                <w:rFonts w:ascii="黑体" w:hAnsi="黑体" w:cs="黑体" w:eastAsia="黑体"/>
                <w:color w:val="000000"/>
                <w:kern w:val="0"/>
                <w:sz w:val="30"/>
                <w:szCs w:val="30"/>
                <w:lang w:bidi="ar"/>
              </w:rPr>
              <w:t>法律依据</w:t>
            </w:r>
          </w:p>
        </w:tc>
      </w:tr>
      <w:tr>
        <w:trPr>
          <w:cantSplit w:val="true"/>
        </w:trPr>
        <w:tc>
          <w:tcPr>
            <w:tcW w:w="8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（一）质量</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监管</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违反《中华人民共和国工业产品生产许可证管理条例》第五条，企业未经许可擅自生产列入目录的产品的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尚未销售，货值金额较小的；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销售货值较小，且全部追回，主动消除或者减轻危害后果</w:t>
            </w:r>
          </w:p>
        </w:tc>
        <w:tc>
          <w:tcPr>
            <w:tcW w:w="55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工业产品生产许可证管理条例》第四十五条：企业未依照本条例规定申请取得生产许可证而擅自生产列入目录产品的，由工业产品生产许可证主管部门责令停止生产，没收违法生产的产品，处违法生产产品货值金额等值以上</w:t>
            </w:r>
            <w:r>
              <w:rPr>
                <w:rFonts w:eastAsia="仿宋_GB2312;仿宋" w:cs="仿宋_GB2312;仿宋" w:ascii="仿宋_GB2312;仿宋" w:hAnsi="仿宋_GB2312;仿宋"/>
                <w:sz w:val="24"/>
              </w:rPr>
              <w:t>3</w:t>
            </w:r>
            <w:r>
              <w:rPr>
                <w:rFonts w:ascii="仿宋_GB2312;仿宋" w:hAnsi="仿宋_GB2312;仿宋" w:cs="仿宋_GB2312;仿宋" w:eastAsia="仿宋_GB2312;仿宋"/>
                <w:sz w:val="24"/>
              </w:rPr>
              <w:t>倍以下的罚款；有违法所得的，没收违法所得；构成犯罪的，依法追究刑事责任。</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2</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违反《中华人民共和国工业产品生产许可证管理条例》第五条，销售或者在经营活动中使用未取得生产许可证的列入目录的产品的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违法销售或在经营活动中使用的产品货值金额较小的；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主动追回全部已销售产品的</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《中华人民共和国工业产品生产许可证管理条例》第四十八条：销售或者在经营活动中使用未取得生产许可证的列入目录产品的，责令改正，处</w:t>
            </w:r>
            <w:r>
              <w:rPr>
                <w:rFonts w:eastAsia="仿宋_GB2312;仿宋" w:cs="仿宋_GB2312;仿宋" w:ascii="仿宋_GB2312;仿宋" w:hAnsi="仿宋_GB2312;仿宋"/>
                <w:sz w:val="24"/>
              </w:rPr>
              <w:t>5</w:t>
            </w:r>
            <w:r>
              <w:rPr>
                <w:rFonts w:ascii="仿宋_GB2312;仿宋" w:hAnsi="仿宋_GB2312;仿宋" w:cs="仿宋_GB2312;仿宋" w:eastAsia="仿宋_GB2312;仿宋"/>
                <w:sz w:val="24"/>
              </w:rPr>
              <w:t>万元以上</w:t>
            </w:r>
            <w:r>
              <w:rPr>
                <w:rFonts w:eastAsia="仿宋_GB2312;仿宋" w:cs="仿宋_GB2312;仿宋" w:ascii="仿宋_GB2312;仿宋" w:hAnsi="仿宋_GB2312;仿宋"/>
                <w:sz w:val="24"/>
              </w:rPr>
              <w:t>20</w:t>
            </w:r>
            <w:r>
              <w:rPr>
                <w:rFonts w:ascii="仿宋_GB2312;仿宋" w:hAnsi="仿宋_GB2312;仿宋" w:cs="仿宋_GB2312;仿宋" w:eastAsia="仿宋_GB2312;仿宋"/>
                <w:sz w:val="24"/>
              </w:rPr>
              <w:t>万元以下的罚款；有违法所得的，没收违法所得；构成犯罪的，依法追究刑事责任。</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3</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违反《中华人民共和国工业产品生产许可证管理条例》第二十二条，检验机构和检验人员从事与其检验的列入目录产品相关的生产、销售活动的，或者以其名义推荐或者监制、监销其检验的列入目录产品</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生产、销售或以其名义推荐或者监制、监销其检验的列入目录产品的尚未进入市场的；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主动追回全部已销售产品的</w:t>
            </w:r>
          </w:p>
        </w:tc>
        <w:tc>
          <w:tcPr>
            <w:tcW w:w="55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工业产品生产许可证管理条例》第五十七条：检验机构和检验人员从事与其检验的列入目录产品相关的生产、销售活动，或者以其名义推荐或者监制、监销其检验的列入目录产品的，由工业产品生产许可证主管部门处</w:t>
            </w: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万元以上</w:t>
            </w:r>
            <w:r>
              <w:rPr>
                <w:rFonts w:eastAsia="仿宋_GB2312;仿宋" w:cs="仿宋_GB2312;仿宋" w:ascii="仿宋_GB2312;仿宋" w:hAnsi="仿宋_GB2312;仿宋"/>
                <w:sz w:val="24"/>
              </w:rPr>
              <w:t>10</w:t>
            </w:r>
            <w:r>
              <w:rPr>
                <w:rFonts w:ascii="仿宋_GB2312;仿宋" w:hAnsi="仿宋_GB2312;仿宋" w:cs="仿宋_GB2312;仿宋" w:eastAsia="仿宋_GB2312;仿宋"/>
                <w:sz w:val="24"/>
              </w:rPr>
              <w:t>万元以下的罚款；有违法所得的，没收违法所得；情节严重的，撤销其检验资格。</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4</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违反《中华人民共和国工业产品生产许可证管理条例》第三十五条，出租、出借、转让许可证证书、标志和编号的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首次出租、出让、出借生产许可证证书、生产许可证标志和编号的；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有证据证明产品未销售和流出</w:t>
            </w:r>
          </w:p>
        </w:tc>
        <w:tc>
          <w:tcPr>
            <w:tcW w:w="55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《中华人民共和国工业产品生产许可证管理条例》第四十九条：取得生产许可证的企业出租、出借或者转让许可证证书、生产许可证标志和编号的，责令限期改正，处</w:t>
            </w:r>
            <w:r>
              <w:rPr>
                <w:rFonts w:eastAsia="仿宋_GB2312;仿宋" w:cs="仿宋_GB2312;仿宋" w:ascii="仿宋_GB2312;仿宋" w:hAnsi="仿宋_GB2312;仿宋"/>
                <w:sz w:val="24"/>
              </w:rPr>
              <w:t>20</w:t>
            </w:r>
            <w:r>
              <w:rPr>
                <w:rFonts w:ascii="仿宋_GB2312;仿宋" w:hAnsi="仿宋_GB2312;仿宋" w:cs="仿宋_GB2312;仿宋" w:eastAsia="仿宋_GB2312;仿宋"/>
                <w:sz w:val="24"/>
              </w:rPr>
              <w:t>万元以下的罚款；情节严重的，吊销生产许可证。违法接受并使用他人提供的许可证证书、生产许可证标志和编号的，责令停止生产、销售，没收违法生产、销售的产品，处违法生产、销售产品货值金额等值以上</w:t>
            </w:r>
            <w:r>
              <w:rPr>
                <w:rFonts w:eastAsia="仿宋_GB2312;仿宋" w:cs="仿宋_GB2312;仿宋" w:ascii="仿宋_GB2312;仿宋" w:hAnsi="仿宋_GB2312;仿宋"/>
                <w:sz w:val="24"/>
              </w:rPr>
              <w:t>3</w:t>
            </w:r>
            <w:r>
              <w:rPr>
                <w:rFonts w:ascii="仿宋_GB2312;仿宋" w:hAnsi="仿宋_GB2312;仿宋" w:cs="仿宋_GB2312;仿宋" w:eastAsia="仿宋_GB2312;仿宋"/>
                <w:sz w:val="24"/>
              </w:rPr>
              <w:t>倍以下的罚款；有违法所得的，没收违法所得；构成犯罪的，依法追究刑事责任。</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5</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违反《中华人民共和国工业产品生产许可证管理条例》第三十五条，伪造、变造许可证证书及标志编号的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产品尚未销售；</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主动追回全部已销售产品的</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《中华人民共和国工业产品生产许可证管理条例》第五十一条：伪造、变造许可证证书、生产许可证标志和编号的，责令改正，没收违法生产、销售的产品，并处违法生产、销售产品货值金额等值以上</w:t>
            </w:r>
            <w:r>
              <w:rPr>
                <w:rFonts w:eastAsia="仿宋_GB2312;仿宋" w:cs="仿宋_GB2312;仿宋" w:ascii="仿宋_GB2312;仿宋" w:hAnsi="仿宋_GB2312;仿宋"/>
                <w:sz w:val="24"/>
              </w:rPr>
              <w:t>3</w:t>
            </w:r>
            <w:r>
              <w:rPr>
                <w:rFonts w:ascii="仿宋_GB2312;仿宋" w:hAnsi="仿宋_GB2312;仿宋" w:cs="仿宋_GB2312;仿宋" w:eastAsia="仿宋_GB2312;仿宋"/>
                <w:sz w:val="24"/>
              </w:rPr>
              <w:t>倍以下的罚款；有违法所得的，没收违法所得；构成犯罪的，依法追究刑事责任。</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6</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符合《中华人民共和国工业产品生产许可证管理条例》第五十条，擅自动用、调换、转移、损毁被查封、扣押属于生产许可证管理目录内的产品的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主动将被动用、调换、转移、损毁物品恢复原状的；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经执法部门责令改正，当事人能及时采取措施恢复原状的</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《中华人民共和国工业产品生产许可证管理条例》第五十条：擅自动用、调换、转移、损毁被查封、扣押财物的，责令改正，处被动用、调换、转移、损毁财物价值</w:t>
            </w:r>
            <w:r>
              <w:rPr>
                <w:rFonts w:eastAsia="仿宋_GB2312;仿宋" w:cs="仿宋_GB2312;仿宋" w:ascii="仿宋_GB2312;仿宋" w:hAnsi="仿宋_GB2312;仿宋"/>
                <w:sz w:val="24"/>
              </w:rPr>
              <w:t>5%</w:t>
            </w:r>
            <w:r>
              <w:rPr>
                <w:rFonts w:ascii="仿宋_GB2312;仿宋" w:hAnsi="仿宋_GB2312;仿宋" w:cs="仿宋_GB2312;仿宋" w:eastAsia="仿宋_GB2312;仿宋"/>
                <w:sz w:val="24"/>
              </w:rPr>
              <w:t>以上</w:t>
            </w:r>
            <w:r>
              <w:rPr>
                <w:rFonts w:eastAsia="仿宋_GB2312;仿宋" w:cs="仿宋_GB2312;仿宋" w:ascii="仿宋_GB2312;仿宋" w:hAnsi="仿宋_GB2312;仿宋"/>
                <w:sz w:val="24"/>
              </w:rPr>
              <w:t>20%</w:t>
            </w:r>
            <w:r>
              <w:rPr>
                <w:rFonts w:ascii="仿宋_GB2312;仿宋" w:hAnsi="仿宋_GB2312;仿宋" w:cs="仿宋_GB2312;仿宋" w:eastAsia="仿宋_GB2312;仿宋"/>
                <w:sz w:val="24"/>
              </w:rPr>
              <w:t>以下的罚款；拒不改正的，处被动用、调换、转移、损毁财物价值</w:t>
            </w: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倍以上</w:t>
            </w:r>
            <w:r>
              <w:rPr>
                <w:rFonts w:eastAsia="仿宋_GB2312;仿宋" w:cs="仿宋_GB2312;仿宋" w:ascii="仿宋_GB2312;仿宋" w:hAnsi="仿宋_GB2312;仿宋"/>
                <w:sz w:val="24"/>
              </w:rPr>
              <w:t>3</w:t>
            </w:r>
            <w:r>
              <w:rPr>
                <w:rFonts w:ascii="仿宋_GB2312;仿宋" w:hAnsi="仿宋_GB2312;仿宋" w:cs="仿宋_GB2312;仿宋" w:eastAsia="仿宋_GB2312;仿宋"/>
                <w:sz w:val="24"/>
              </w:rPr>
              <w:t>倍以下的罚款。</w:t>
            </w:r>
          </w:p>
        </w:tc>
      </w:tr>
      <w:tr>
        <w:trPr>
          <w:cantSplit w:val="true"/>
        </w:trPr>
        <w:tc>
          <w:tcPr>
            <w:tcW w:w="8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（二）计量</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监管</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7</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违反《能源效率标识管理办法》第六条，列入《实行能源效率标识的产品目录》的用能产品应当标注能源效率标识而未标注的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主动改正或及时中止违法行为；</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主动消除或者减轻危害后果</w:t>
            </w:r>
          </w:p>
        </w:tc>
        <w:tc>
          <w:tcPr>
            <w:tcW w:w="55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《中华人民共和国节约能源法》第七十三条第一款：违反本法规定，应当标注能源效率标识而未标注的，由市场监督管理部门责令改正，处三万元以上五万元以下罚款。                                  《能源效率标识管理办法》第二十七条：违反本办法规定，应当标注能效标识而未标注的，未办理能效标识备案的，使用的能效标识不符合有关样式、规格等标注规定的（包括不符合网络交易产品能效标识展示要求的），伪造、冒用能效标识或者利用能效标识进行虚假宣传的，依据《中华人民共和国节约能源法》第七十三条予以处罚。</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8</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符合《商品量计量违法行为处罚规定》第六条，</w:t>
            </w:r>
            <w:r>
              <w:rPr>
                <w:rFonts w:ascii="仿宋_GB2312;仿宋" w:hAnsi="仿宋_GB2312;仿宋" w:cs="仿宋_GB2312;仿宋" w:eastAsia="仿宋_GB2312;仿宋"/>
                <w:sz w:val="24"/>
              </w:rPr>
              <w:t>销售者销售国家对计量偏差没有规定的商品，其实际量与贸易结算量之差，超过国家规定使用的计量器具极限误差</w:t>
            </w:r>
            <w:r>
              <w:rPr>
                <w:rFonts w:ascii="仿宋_GB2312;仿宋" w:hAnsi="仿宋_GB2312;仿宋" w:cs="仿宋_GB2312;仿宋" w:eastAsia="仿宋_GB2312;仿宋"/>
                <w:sz w:val="24"/>
              </w:rPr>
              <w:t>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主动消除或者减轻违法行为危害后果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《商品量计量违法行为处罚规定》</w:t>
            </w:r>
            <w:r>
              <w:rPr>
                <w:rFonts w:ascii="仿宋_GB2312;仿宋" w:hAnsi="仿宋_GB2312;仿宋" w:cs="仿宋_GB2312;仿宋" w:eastAsia="仿宋_GB2312;仿宋"/>
                <w:sz w:val="24"/>
              </w:rPr>
              <w:t>第六条</w:t>
            </w:r>
            <w:r>
              <w:rPr>
                <w:rFonts w:ascii="仿宋_GB2312;仿宋" w:hAnsi="仿宋_GB2312;仿宋" w:cs="仿宋_GB2312;仿宋" w:eastAsia="仿宋_GB2312;仿宋"/>
                <w:sz w:val="24"/>
              </w:rPr>
              <w:t>：</w:t>
            </w:r>
            <w:r>
              <w:rPr>
                <w:rFonts w:eastAsia="仿宋_GB2312;仿宋"/>
                <w:sz w:val="24"/>
              </w:rPr>
              <w:t> </w:t>
            </w:r>
            <w:r>
              <w:rPr>
                <w:rFonts w:ascii="仿宋_GB2312;仿宋" w:hAnsi="仿宋_GB2312;仿宋" w:cs="仿宋_GB2312;仿宋" w:eastAsia="仿宋_GB2312;仿宋"/>
                <w:sz w:val="24"/>
              </w:rPr>
              <w:t>销售者销售国家对计量偏差没有规定的商品，其实际量与贸易结算量之差，超过国家规定使用的计量器具极限误差的，市场监督管理部门责令改正，并处</w:t>
            </w:r>
            <w:r>
              <w:rPr>
                <w:rFonts w:eastAsia="仿宋_GB2312;仿宋" w:cs="仿宋_GB2312;仿宋" w:ascii="仿宋_GB2312;仿宋" w:hAnsi="仿宋_GB2312;仿宋"/>
                <w:sz w:val="24"/>
              </w:rPr>
              <w:t>20000</w:t>
            </w:r>
            <w:r>
              <w:rPr>
                <w:rFonts w:ascii="仿宋_GB2312;仿宋" w:hAnsi="仿宋_GB2312;仿宋" w:cs="仿宋_GB2312;仿宋" w:eastAsia="仿宋_GB2312;仿宋"/>
                <w:sz w:val="24"/>
              </w:rPr>
              <w:t>元以下罚款。</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9</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符合《定量包装商品计量监督管理办法》第十六条第一款，定量包装商品生产者按要求进行自我声明，使用计量保证能力合格标志，达不到定量包装商品生产企业计量保证能力要求的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主动消除或者减轻违法行为危害后果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定量包装商品计量监督管理办法》第十六条第一款：定量包装商品生产者按要求进行自我声明，使用计量保证能力合格标志，达不到定量包装商品生产企业计量保证能力要求的，由县级以上地方市场监督管理部门责令改正，处三万元以下罚款。</w:t>
            </w:r>
          </w:p>
        </w:tc>
      </w:tr>
      <w:tr>
        <w:trPr>
          <w:cantSplit w:val="true"/>
        </w:trPr>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（二）计量</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监管</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10</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违反《集贸市场计量监督管理办法》第九条第二项，集贸市场入场经营者未对配置和使用的计量器具进行维护和管理，定期接受法定计量检定机构对计量器具的强制检定的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积极配合调查，如实陈述违法事实并主动提供证据材料；</w:t>
            </w:r>
            <w:r>
              <w:rPr>
                <w:rFonts w:eastAsia="仿宋_GB2312;仿宋" w:ascii="仿宋_GB2312;仿宋" w:hAnsi="仿宋_GB2312;仿宋"/>
                <w:sz w:val="24"/>
              </w:rPr>
              <w:br/>
              <w:t>2.</w:t>
            </w:r>
            <w:r>
              <w:rPr>
                <w:rFonts w:ascii="仿宋_GB2312;仿宋" w:hAnsi="仿宋_GB2312;仿宋" w:eastAsia="仿宋_GB2312;仿宋"/>
                <w:sz w:val="24"/>
              </w:rPr>
              <w:t>主动消除或减轻违法行为危害后果。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集贸市场计量监督管理办法》第十四条第一款：经营者违反本办法第九条第二项规定，对属于强制检定范围的计量器具未按照规定申请检定或者经检定不合格继续使用的，按照《中华人民共和国计量法实施细则》第四十三条的规定处理。</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计量法实施细则》第四十三条：属于强制检定范围的计量器具，未按照规定申请检定和属于非强制检定范围的计量器具未自行定期检定或者送其他计量检定机构定期检定的，以及经检定不合格继续使用的，责令其停止使用，可并处</w:t>
            </w:r>
            <w:r>
              <w:rPr>
                <w:rFonts w:eastAsia="仿宋_GB2312;仿宋" w:cs="仿宋_GB2312;仿宋" w:ascii="仿宋_GB2312;仿宋" w:hAnsi="仿宋_GB2312;仿宋"/>
                <w:sz w:val="24"/>
              </w:rPr>
              <w:t>1000</w:t>
            </w:r>
            <w:r>
              <w:rPr>
                <w:rFonts w:ascii="仿宋_GB2312;仿宋" w:hAnsi="仿宋_GB2312;仿宋" w:cs="仿宋_GB2312;仿宋" w:eastAsia="仿宋_GB2312;仿宋"/>
                <w:sz w:val="24"/>
              </w:rPr>
              <w:t>元以下的罚款。</w:t>
            </w:r>
          </w:p>
        </w:tc>
      </w:tr>
      <w:tr>
        <w:trPr>
          <w:cantSplit w:val="true"/>
        </w:trPr>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（三）认证</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认可</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11</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违反《中华人民共和国认证认可条例》第二十六条，认证机构未实施有效的跟踪调查的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违法行为持续时间较短；</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主动消除或者减轻危害后果。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《中华人民共和国认证认可条例》第五十九条第三项：认证机构有下列情形之一的，责令改正，处</w:t>
            </w:r>
            <w:r>
              <w:rPr>
                <w:rFonts w:eastAsia="仿宋_GB2312;仿宋" w:cs="仿宋_GB2312;仿宋" w:ascii="仿宋_GB2312;仿宋" w:hAnsi="仿宋_GB2312;仿宋"/>
                <w:sz w:val="24"/>
              </w:rPr>
              <w:t>5</w:t>
            </w:r>
            <w:r>
              <w:rPr>
                <w:rFonts w:ascii="仿宋_GB2312;仿宋" w:hAnsi="仿宋_GB2312;仿宋" w:cs="仿宋_GB2312;仿宋" w:eastAsia="仿宋_GB2312;仿宋"/>
                <w:sz w:val="24"/>
              </w:rPr>
              <w:t>万元以上</w:t>
            </w:r>
            <w:r>
              <w:rPr>
                <w:rFonts w:eastAsia="仿宋_GB2312;仿宋" w:cs="仿宋_GB2312;仿宋" w:ascii="仿宋_GB2312;仿宋" w:hAnsi="仿宋_GB2312;仿宋"/>
                <w:sz w:val="24"/>
              </w:rPr>
              <w:t>20</w:t>
            </w:r>
            <w:r>
              <w:rPr>
                <w:rFonts w:ascii="仿宋_GB2312;仿宋" w:hAnsi="仿宋_GB2312;仿宋" w:cs="仿宋_GB2312;仿宋" w:eastAsia="仿宋_GB2312;仿宋"/>
                <w:sz w:val="24"/>
              </w:rPr>
              <w:t>万元以下的罚款，有违法所得的，没收违法所得；情节严重的，责令停业整顿，直至撤销批准文件，并予公布：</w:t>
            </w:r>
            <w:r>
              <w:rPr>
                <w:rFonts w:eastAsia="仿宋_GB2312;仿宋" w:cs="仿宋_GB2312;仿宋" w:ascii="仿宋_GB2312;仿宋" w:hAnsi="仿宋_GB2312;仿宋"/>
                <w:sz w:val="24"/>
              </w:rPr>
              <w:t>(</w:t>
            </w:r>
            <w:r>
              <w:rPr>
                <w:rFonts w:ascii="仿宋_GB2312;仿宋" w:hAnsi="仿宋_GB2312;仿宋" w:cs="仿宋_GB2312;仿宋" w:eastAsia="仿宋_GB2312;仿宋"/>
                <w:sz w:val="24"/>
              </w:rPr>
              <w:t>三</w:t>
            </w:r>
            <w:r>
              <w:rPr>
                <w:rFonts w:eastAsia="仿宋_GB2312;仿宋" w:cs="仿宋_GB2312;仿宋" w:ascii="仿宋_GB2312;仿宋" w:hAnsi="仿宋_GB2312;仿宋"/>
                <w:sz w:val="24"/>
              </w:rPr>
              <w:t>)</w:t>
            </w:r>
            <w:r>
              <w:rPr>
                <w:rFonts w:ascii="仿宋_GB2312;仿宋" w:hAnsi="仿宋_GB2312;仿宋" w:cs="仿宋_GB2312;仿宋" w:eastAsia="仿宋_GB2312;仿宋"/>
                <w:sz w:val="24"/>
              </w:rPr>
              <w:t>未对其认证的产品、服务、管理体系实施有效的跟踪调查，或者发现其认证的产品、服务、管理体系不能持续符合认证要求，不及时暂停其使用或者撤销认证证书并予公布的。</w:t>
            </w:r>
          </w:p>
        </w:tc>
      </w:tr>
      <w:tr>
        <w:trPr>
          <w:cantSplit w:val="true"/>
        </w:trPr>
        <w:tc>
          <w:tcPr>
            <w:tcW w:w="8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（四）市场</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规范</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12</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违反《中华人民共和国拍卖法》第二十二条，拍卖人及其工作人员以竞买人的身份参与自己组织的拍卖活动或者委托他人代为竞买的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未损害委托人或竞买人利益；</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主动消除或者减轻违法行为危害后果。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拍卖法》第六十二条：拍卖人及其工作人员违反本法第二十二条的规定，参与竞买或者委托他人代为竞买的，由工商行政管理部门对拍卖人给予警告，可以处拍卖佣金一倍以上五倍以下的罚款；情节严重的，吊销营业执照。</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13</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违反《中华人民共和国拍卖法》第三十条，委托人参与竞买或者委托他人代为竞买的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未竞得拍卖标的；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未造成其他竞买人等损害。</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《中华人民共和国拍卖法》第六十四条：违反本法第三十条的规定，委托人参与竞买或者委托他人代为竞买的，工商行政管理部门可以对委托人处拍卖成交价百分之三十以下的罚款。</w:t>
            </w:r>
          </w:p>
        </w:tc>
      </w:tr>
      <w:tr>
        <w:trPr>
          <w:cantSplit w:val="true"/>
        </w:trPr>
        <w:tc>
          <w:tcPr>
            <w:tcW w:w="8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（五）知识</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产权</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14</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符合《中华人民共和国商标法》第七十二条第二项，未经商标注册人的许可，在同一种商品上使用与其注册商标近似的商标，或者在类似商品上使用与其注册商标相同或者近似的商标的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有下列情形之一的：</w:t>
            </w: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经调解与权利人达成赔偿协议并及时履行；</w:t>
            </w: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主动消除或者减轻危害后果</w:t>
            </w:r>
          </w:p>
        </w:tc>
        <w:tc>
          <w:tcPr>
            <w:tcW w:w="55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w:t>
            </w:r>
            <w:r>
              <w:rPr>
                <w:rFonts w:ascii="仿宋_GB2312;仿宋" w:hAnsi="仿宋_GB2312;仿宋" w:cs="仿宋_GB2312;仿宋" w:eastAsia="仿宋_GB2312;仿宋"/>
                <w:sz w:val="24"/>
              </w:rPr>
              <w:t>中华人民共和国商标法》第七十四条第二款：负责商标执法的部门处理时，认定侵权行为成立的，责令立即停止侵权行为，没收侵权商品和主要用于制造侵权商品、伪造注册商标标识的工具，违法经营额五万元以上的，可以并处违法经营额五倍以下的罚款，没有违法经营额或者违法经营额不足五万元的，可以并处二十五万元以下的罚款。对五年内实施两次以上商标侵权行为或者有其他严重情节的，应当从重处罚。销售不知道是侵犯注册商标专用权的商品，能证明该商品是自己合法取得并说明提供者的，由负责商标执法的部门责令停止销售。</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15</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符合《中华人民共和国专利法实施细则》第一百零一条第一款第一项，专利权被宣告无效后或者终止后继续在产品或者其包装上标注专利标识的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主动消除或者减轻危害后果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专利法》第六十八条：假冒专利的，除依法承担民事责任外，由负责专利执法的部门责令改正并予公告，没收违法所得，可以处违法所得五倍以下的罚款；没有违法所得或者违法所得在五万元以下的，可以处二十五万元以下的罚款；构成犯罪的，依法追究刑事责任。</w:t>
            </w:r>
          </w:p>
        </w:tc>
      </w:tr>
      <w:tr>
        <w:trPr>
          <w:cantSplit w:val="true"/>
        </w:trPr>
        <w:tc>
          <w:tcPr>
            <w:tcW w:w="8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16</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符合《规范申请专利行为的规定》第八条第一款，单位或者个人实施非正常申请专利行为的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积极配合调查，如实陈述违法事实并主动提供证据材料；</w:t>
            </w:r>
            <w:r>
              <w:rPr>
                <w:rFonts w:eastAsia="仿宋_GB2312;仿宋" w:ascii="仿宋_GB2312;仿宋" w:hAnsi="仿宋_GB2312;仿宋"/>
                <w:sz w:val="24"/>
              </w:rPr>
              <w:br/>
              <w:t>2.</w:t>
            </w:r>
            <w:r>
              <w:rPr>
                <w:rFonts w:ascii="仿宋_GB2312;仿宋" w:hAnsi="仿宋_GB2312;仿宋" w:eastAsia="仿宋_GB2312;仿宋"/>
                <w:sz w:val="24"/>
              </w:rPr>
              <w:t>主动消除或减轻违法行为危害后果。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《规范申请专利行为的规定》第八条第一款：对实施非正常申请专利行为的单位或者个人，依据《中华人民共和国专利法》《中华人民共和国专利法实施细则》实施行政处罚。</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《中华人民共和国专利法实施细则》第十一条：申请专利应当遵循诚实信用原则。提出各类专利申请应当以真实发明创造活动为基础，不得弄虚作假。</w:t>
            </w:r>
            <w:r>
              <w:rPr>
                <w:rFonts w:eastAsia="仿宋_GB2312;仿宋" w:cs="仿宋_GB2312;仿宋" w:ascii="仿宋_GB2312;仿宋" w:hAnsi="仿宋_GB2312;仿宋"/>
                <w:sz w:val="24"/>
              </w:rPr>
              <w:br/>
            </w:r>
            <w:r>
              <w:rPr>
                <w:rFonts w:ascii="仿宋_GB2312;仿宋" w:hAnsi="仿宋_GB2312;仿宋" w:cs="仿宋_GB2312;仿宋" w:eastAsia="仿宋_GB2312;仿宋"/>
                <w:sz w:val="24"/>
              </w:rPr>
              <w:t>《中华人民共和国专利法实施细则》第一百条：申请人或者专利权人违反本细则第十一条、第八十八条规定的，由县级以上负责专利执法的部门予以警告，可以处</w:t>
            </w:r>
            <w:r>
              <w:rPr>
                <w:rFonts w:eastAsia="仿宋_GB2312;仿宋" w:cs="仿宋_GB2312;仿宋" w:ascii="仿宋_GB2312;仿宋" w:hAnsi="仿宋_GB2312;仿宋"/>
                <w:sz w:val="24"/>
              </w:rPr>
              <w:t>10</w:t>
            </w:r>
            <w:r>
              <w:rPr>
                <w:rFonts w:ascii="仿宋_GB2312;仿宋" w:hAnsi="仿宋_GB2312;仿宋" w:cs="仿宋_GB2312;仿宋" w:eastAsia="仿宋_GB2312;仿宋"/>
                <w:sz w:val="24"/>
              </w:rPr>
              <w:t xml:space="preserve">万元以下的罚款。 </w:t>
            </w:r>
          </w:p>
        </w:tc>
      </w:tr>
      <w:tr>
        <w:trPr>
          <w:cantSplit w:val="true"/>
        </w:trPr>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（六）药品</w:t>
            </w:r>
          </w:p>
          <w:p>
            <w:pPr>
              <w:pStyle w:val="Normal"/>
              <w:snapToGrid w:val="false"/>
              <w:spacing w:lineRule="atLeast" w:line="240" w:before="0" w:after="0"/>
              <w:textAlignment w:val="center"/>
              <w:rPr>
                <w:rFonts w:ascii="仿宋_GB2312;仿宋" w:hAnsi="仿宋_GB2312;仿宋" w:eastAsia="仿宋_GB2312;仿宋" w:cs="仿宋_GB2312;仿宋"/>
                <w:sz w:val="24"/>
                <w:lang w:bidi="ar"/>
              </w:rPr>
            </w:pPr>
            <w:r>
              <w:rPr>
                <w:rFonts w:ascii="仿宋_GB2312;仿宋" w:hAnsi="仿宋_GB2312;仿宋" w:cs="仿宋_GB2312;仿宋" w:eastAsia="仿宋_GB2312;仿宋"/>
                <w:color w:val="000000"/>
                <w:kern w:val="0"/>
                <w:sz w:val="24"/>
                <w:lang w:bidi="ar"/>
              </w:rPr>
              <w:t>监管</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color w:val="000000"/>
                <w:kern w:val="0"/>
                <w:sz w:val="24"/>
                <w:lang w:bidi="ar"/>
              </w:rPr>
              <w:t>17</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违反《中华人民共和国药品管理法》第五十五条，药品经营企业或者医疗机构未从药品上市许可持有人或者具有药品生产、经营资格的企业购进药品的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销售方通过伪造、变造、租借、买卖许可证、批件或者其他证明材料的方式销售涉案药品，有证据证明购进方不知情的；</w:t>
            </w:r>
          </w:p>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w:t>
            </w:r>
            <w:r>
              <w:rPr>
                <w:rFonts w:ascii="仿宋_GB2312;仿宋" w:hAnsi="仿宋_GB2312;仿宋" w:cs="仿宋_GB2312;仿宋" w:eastAsia="仿宋_GB2312;仿宋"/>
                <w:sz w:val="24"/>
              </w:rPr>
              <w:t>购进未执行批准文号管理的中药饮片</w:t>
            </w:r>
            <w:r>
              <w:rPr>
                <w:rFonts w:eastAsia="仿宋_GB2312;仿宋" w:cs="仿宋_GB2312;仿宋" w:ascii="仿宋_GB2312;仿宋" w:hAnsi="仿宋_GB2312;仿宋"/>
                <w:sz w:val="24"/>
              </w:rPr>
              <w:t>(</w:t>
            </w:r>
            <w:r>
              <w:rPr>
                <w:rFonts w:ascii="仿宋_GB2312;仿宋" w:hAnsi="仿宋_GB2312;仿宋" w:cs="仿宋_GB2312;仿宋" w:eastAsia="仿宋_GB2312;仿宋"/>
                <w:sz w:val="24"/>
              </w:rPr>
              <w:t>毒性中药饮片除外</w:t>
            </w:r>
            <w:r>
              <w:rPr>
                <w:rFonts w:eastAsia="仿宋_GB2312;仿宋" w:cs="仿宋_GB2312;仿宋" w:ascii="仿宋_GB2312;仿宋" w:hAnsi="仿宋_GB2312;仿宋"/>
                <w:sz w:val="24"/>
              </w:rPr>
              <w:t>)</w:t>
            </w:r>
            <w:r>
              <w:rPr>
                <w:rFonts w:ascii="仿宋_GB2312;仿宋" w:hAnsi="仿宋_GB2312;仿宋" w:cs="仿宋_GB2312;仿宋" w:eastAsia="仿宋_GB2312;仿宋"/>
                <w:sz w:val="24"/>
              </w:rPr>
              <w:t>。</w:t>
            </w:r>
          </w:p>
        </w:tc>
        <w:tc>
          <w:tcPr>
            <w:tcW w:w="55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药品管理法》第一百二十九条：违反本法规定，药品上市许可持有人、药品生产企业、药品经营企业或者医疗机构未从药品上市许可持有人或者具有药品生产、经营资格的企业购进药品的，责令改正，没收违法购进的药品和违法所得，并处违法购进药品货值金额二倍以上十倍以下的罚款；情节严重的，并处货值金额十倍以上三十倍以下的罚款，吊销药品批准证明文件、药品生产许可证、药品经营许可证或者医疗机构执业许可证；货值金额不足五万元的，按五万元计算。</w:t>
            </w:r>
          </w:p>
        </w:tc>
      </w:tr>
      <w:tr>
        <w:trPr>
          <w:cantSplit w:val="true"/>
        </w:trPr>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（六）药品</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监管</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color w:val="000000"/>
                <w:kern w:val="0"/>
                <w:sz w:val="24"/>
                <w:lang w:bidi="ar"/>
              </w:rPr>
            </w:pPr>
            <w:r>
              <w:rPr>
                <w:rFonts w:eastAsia="仿宋_GB2312;仿宋" w:cs="仿宋_GB2312;仿宋" w:ascii="仿宋_GB2312;仿宋" w:hAnsi="仿宋_GB2312;仿宋"/>
                <w:sz w:val="24"/>
              </w:rPr>
              <w:t>18</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违反《中华人民共和国药品管理法》第九十八条，销售劣药的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经营、使用单位能证明购进渠道合法。</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药品管理法》第一百一十七条第一款：生产、销售劣药的，没收违法生产、销售的药品和违法所得，并处违法生产、销售的药品货值金额十倍以上二十倍以下的罚款；违法生产、批发的药品货值金额不足十万元的，按十万元计算，违法零售的药品货值金额不足一万元的，按一万元计算；情节严重的，责令停产停业整顿直至吊销药品批准证明文件、药品生产许可证、药品经营许可证或者医疗机构制剂许可证。</w:t>
            </w:r>
          </w:p>
        </w:tc>
      </w:tr>
      <w:tr>
        <w:trPr>
          <w:cantSplit w:val="true"/>
        </w:trPr>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（七）电子</w:t>
            </w:r>
          </w:p>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商务</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19</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符合《中华人民共和国电子商务法》第七十六条第二款，电子商务平台经营者对违反《中华人民共和国电子商务法》第十五条、第十六条、第二十四条第一款规定的平台内经营者未采取必要措施的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积极配合调查，如实陈述违法事实并主动提供证据材料；</w:t>
            </w:r>
            <w:r>
              <w:rPr>
                <w:rFonts w:eastAsia="仿宋_GB2312;仿宋" w:ascii="仿宋_GB2312;仿宋" w:hAnsi="仿宋_GB2312;仿宋"/>
                <w:sz w:val="24"/>
              </w:rPr>
              <w:br/>
              <w:t>2.</w:t>
            </w:r>
            <w:r>
              <w:rPr>
                <w:rFonts w:ascii="仿宋_GB2312;仿宋" w:hAnsi="仿宋_GB2312;仿宋" w:eastAsia="仿宋_GB2312;仿宋"/>
                <w:sz w:val="24"/>
              </w:rPr>
              <w:t>主动消除或减轻违法行为危害后果。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中华人民共和国电子商务法》第七十六条：电子商务经营者违反本法规定，有下列行为之一的，由市场监督管理部门责令限期改正，可以处一万元以下的罚款，对其中的电子商务平台经营者，依照本法第八十一条第一款的规定处罚：（一）未在首页显著位置公示营业执照信息、行政许可信息、属于不需要办理市场主体登记情形等信息，或者上述信息的链接标识的；（二）未在首页显著位置持续公示终止电子商务的有关信息的；（三）未明示用户信息查询、更正、删除以及用户注销的方式、程序，或者对用户信息查询、更正、删除以及用户注销设置不合理条件的。</w:t>
            </w:r>
            <w:r>
              <w:rPr>
                <w:rFonts w:eastAsia="仿宋_GB2312;仿宋" w:cs="仿宋_GB2312;仿宋" w:ascii="仿宋_GB2312;仿宋" w:hAnsi="仿宋_GB2312;仿宋"/>
                <w:sz w:val="24"/>
              </w:rPr>
              <w:br/>
              <w:t xml:space="preserve">    </w:t>
            </w:r>
            <w:r>
              <w:rPr>
                <w:rFonts w:ascii="仿宋_GB2312;仿宋" w:hAnsi="仿宋_GB2312;仿宋" w:cs="仿宋_GB2312;仿宋" w:eastAsia="仿宋_GB2312;仿宋"/>
                <w:sz w:val="24"/>
              </w:rPr>
              <w:t>电子商务平台经营者对违反前款规定的平台内经营者未采取必要措施的，由市场监督管理部门责令限期改正，可以处二万元以上十万元以下的罚款。</w:t>
            </w:r>
          </w:p>
        </w:tc>
      </w:tr>
      <w:tr>
        <w:trPr>
          <w:cantSplit w:val="true"/>
        </w:trPr>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textAlignment w:val="center"/>
              <w:rPr>
                <w:rFonts w:ascii="仿宋_GB2312;仿宋" w:hAnsi="仿宋_GB2312;仿宋" w:eastAsia="仿宋_GB2312;仿宋" w:cs="仿宋_GB2312;仿宋"/>
                <w:color w:val="000000"/>
                <w:kern w:val="0"/>
                <w:sz w:val="24"/>
                <w:lang w:bidi="ar"/>
              </w:rPr>
            </w:pPr>
            <w:r>
              <w:rPr>
                <w:rFonts w:ascii="仿宋_GB2312;仿宋" w:hAnsi="仿宋_GB2312;仿宋" w:cs="仿宋_GB2312;仿宋" w:eastAsia="仿宋_GB2312;仿宋"/>
                <w:color w:val="000000"/>
                <w:kern w:val="0"/>
                <w:sz w:val="24"/>
                <w:lang w:bidi="ar"/>
              </w:rPr>
              <w:t>（八）消费者权益保护</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center"/>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20</w:t>
            </w:r>
          </w:p>
        </w:tc>
        <w:tc>
          <w:tcPr>
            <w:tcW w:w="35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违反《规范促销行为暂行规定》第十条第一款，经营者在促销活动中以侵权或者不合格产品、国家明令淘汰并停止销售的商品等作为奖品或者赠品的</w:t>
            </w:r>
          </w:p>
        </w:tc>
        <w:tc>
          <w:tcPr>
            <w:tcW w:w="24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积极配合调查，如实陈述违法事实并主动提供证据材料；</w:t>
            </w:r>
            <w:r>
              <w:rPr>
                <w:rFonts w:eastAsia="仿宋_GB2312;仿宋" w:cs="仿宋_GB2312;仿宋" w:ascii="仿宋_GB2312;仿宋" w:hAnsi="仿宋_GB2312;仿宋"/>
                <w:sz w:val="24"/>
              </w:rPr>
              <w:br/>
              <w:t>2.</w:t>
            </w:r>
            <w:r>
              <w:rPr>
                <w:rFonts w:ascii="仿宋_GB2312;仿宋" w:hAnsi="仿宋_GB2312;仿宋" w:cs="仿宋_GB2312;仿宋" w:eastAsia="仿宋_GB2312;仿宋"/>
                <w:sz w:val="24"/>
              </w:rPr>
              <w:t>主动消除或减轻违法行为危害后果。</w:t>
            </w:r>
          </w:p>
        </w:tc>
        <w:tc>
          <w:tcPr>
            <w:tcW w:w="55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0" w:after="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规范促销行为暂行规定》第二十四条：违反本规定第六条、第八条、第十条，法律法规有规定的，从其规定；法律法规没有规定的，由县级以上市场监督管理部门责令改正；可处违法所得三倍以下罚款，但最高不超过三万元；没有违法所得的，可处一万元以下罚款。</w:t>
            </w:r>
          </w:p>
        </w:tc>
      </w:tr>
    </w:tbl>
    <w:p>
      <w:pPr>
        <w:pStyle w:val="Normal"/>
        <w:snapToGrid w:val="false"/>
        <w:spacing w:lineRule="atLeast" w:line="240" w:before="0" w:after="0"/>
        <w:ind w:firstLine="480"/>
        <w:jc w:val="left"/>
        <w:textAlignment w:val="top"/>
        <w:rPr>
          <w:rFonts w:ascii="仿宋_GB2312;仿宋" w:hAnsi="仿宋_GB2312;仿宋" w:eastAsia="仿宋_GB2312;仿宋" w:cs="仿宋_GB2312;仿宋"/>
          <w:sz w:val="24"/>
        </w:rPr>
      </w:pPr>
      <w:r>
        <w:rPr>
          <w:rFonts w:ascii="仿宋_GB2312;仿宋" w:hAnsi="仿宋_GB2312;仿宋" w:cs="仿宋_GB2312;仿宋" w:eastAsia="仿宋_GB2312;仿宋"/>
          <w:sz w:val="24"/>
        </w:rPr>
        <w:t>备注：本清单所列违法行为对应的适用情形有两个或者两个以上的，除特殊说明只需符合任意一项条件的，其他均须满足全部适用条件才可实施不予处罚、减轻处罚或从轻处罚。因新修订《中华人民共和国商标法》于</w:t>
      </w:r>
      <w:r>
        <w:rPr>
          <w:rFonts w:eastAsia="仿宋_GB2312;仿宋" w:cs="仿宋_GB2312;仿宋" w:ascii="仿宋_GB2312;仿宋" w:hAnsi="仿宋_GB2312;仿宋"/>
          <w:sz w:val="24"/>
        </w:rPr>
        <w:t>2027</w:t>
      </w:r>
      <w:r>
        <w:rPr>
          <w:rFonts w:ascii="仿宋_GB2312;仿宋" w:hAnsi="仿宋_GB2312;仿宋" w:cs="仿宋_GB2312;仿宋" w:eastAsia="仿宋_GB2312;仿宋"/>
          <w:sz w:val="24"/>
        </w:rPr>
        <w:t>年</w:t>
      </w: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月</w:t>
      </w: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日生效，本清单中相应事项待</w:t>
      </w:r>
      <w:r>
        <w:rPr>
          <w:rFonts w:eastAsia="仿宋_GB2312;仿宋" w:cs="仿宋_GB2312;仿宋" w:ascii="仿宋_GB2312;仿宋" w:hAnsi="仿宋_GB2312;仿宋"/>
          <w:sz w:val="24"/>
        </w:rPr>
        <w:t>2027</w:t>
      </w:r>
      <w:r>
        <w:rPr>
          <w:rFonts w:ascii="仿宋_GB2312;仿宋" w:hAnsi="仿宋_GB2312;仿宋" w:cs="仿宋_GB2312;仿宋" w:eastAsia="仿宋_GB2312;仿宋"/>
          <w:sz w:val="24"/>
        </w:rPr>
        <w:t>年</w:t>
      </w: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月</w:t>
      </w:r>
      <w:r>
        <w:rPr>
          <w:rFonts w:eastAsia="仿宋_GB2312;仿宋" w:cs="仿宋_GB2312;仿宋" w:ascii="仿宋_GB2312;仿宋" w:hAnsi="仿宋_GB2312;仿宋"/>
          <w:sz w:val="24"/>
        </w:rPr>
        <w:t>1</w:t>
      </w:r>
      <w:r>
        <w:rPr>
          <w:rFonts w:ascii="仿宋_GB2312;仿宋" w:hAnsi="仿宋_GB2312;仿宋" w:cs="仿宋_GB2312;仿宋" w:eastAsia="仿宋_GB2312;仿宋"/>
          <w:sz w:val="24"/>
        </w:rPr>
        <w:t>日起生效执行。</w:t>
      </w:r>
    </w:p>
    <w:p>
      <w:pPr>
        <w:pStyle w:val="Style12"/>
        <w:rPr>
          <w:rFonts w:ascii="仿宋_GB2312;仿宋" w:hAnsi="仿宋_GB2312;仿宋" w:eastAsia="仿宋_GB2312;仿宋" w:cs="仿宋_GB2312;仿宋"/>
          <w:b w:val="false"/>
          <w:b w:val="false"/>
          <w:bCs w:val="false"/>
          <w:sz w:val="32"/>
          <w:szCs w:val="32"/>
          <w:lang w:val="en-US" w:eastAsia="zh-CN"/>
        </w:rPr>
      </w:pPr>
      <w:r>
        <w:rPr>
          <w:rFonts w:eastAsia="仿宋_GB2312;仿宋" w:cs="仿宋_GB2312;仿宋" w:ascii="仿宋_GB2312;仿宋" w:hAnsi="仿宋_GB2312;仿宋"/>
          <w:b w:val="false"/>
          <w:bCs w:val="false"/>
          <w:sz w:val="32"/>
          <w:szCs w:val="32"/>
          <w:lang w:val="en-US" w:eastAsia="zh-CN"/>
        </w:rPr>
      </w:r>
    </w:p>
    <w:p>
      <w:pPr>
        <w:pStyle w:val="Style12"/>
        <w:rPr>
          <w:rFonts w:ascii="仿宋_GB2312;仿宋" w:hAnsi="仿宋_GB2312;仿宋" w:eastAsia="仿宋_GB2312;仿宋" w:cs="仿宋_GB2312;仿宋"/>
          <w:b w:val="false"/>
          <w:b w:val="false"/>
          <w:bCs w:val="false"/>
          <w:sz w:val="32"/>
          <w:szCs w:val="32"/>
          <w:lang w:val="en-US" w:eastAsia="zh-CN"/>
        </w:rPr>
      </w:pPr>
      <w:r>
        <w:rPr>
          <w:rFonts w:eastAsia="仿宋_GB2312;仿宋" w:cs="仿宋_GB2312;仿宋" w:ascii="仿宋_GB2312;仿宋" w:hAnsi="仿宋_GB2312;仿宋"/>
          <w:b w:val="false"/>
          <w:bCs w:val="false"/>
          <w:sz w:val="32"/>
          <w:szCs w:val="32"/>
          <w:lang w:val="en-US" w:eastAsia="zh-CN"/>
        </w:rPr>
      </w:r>
    </w:p>
    <w:p>
      <w:pPr>
        <w:pStyle w:val="Style12"/>
        <w:rPr>
          <w:rFonts w:ascii="仿宋_GB2312;仿宋" w:hAnsi="仿宋_GB2312;仿宋" w:eastAsia="仿宋_GB2312;仿宋" w:cs="仿宋_GB2312;仿宋"/>
          <w:b w:val="false"/>
          <w:b w:val="false"/>
          <w:bCs w:val="false"/>
          <w:sz w:val="32"/>
          <w:szCs w:val="32"/>
          <w:lang w:val="en-US" w:eastAsia="zh-CN"/>
        </w:rPr>
      </w:pPr>
      <w:r>
        <w:rPr>
          <w:rFonts w:eastAsia="仿宋_GB2312;仿宋" w:cs="仿宋_GB2312;仿宋" w:ascii="仿宋_GB2312;仿宋" w:hAnsi="仿宋_GB2312;仿宋"/>
          <w:b w:val="false"/>
          <w:bCs w:val="false"/>
          <w:sz w:val="32"/>
          <w:szCs w:val="32"/>
          <w:lang w:val="en-US" w:eastAsia="zh-CN"/>
        </w:rPr>
      </w:r>
    </w:p>
    <w:sectPr>
      <w:footerReference w:type="default" r:id="rId2"/>
      <w:type w:val="nextPage"/>
      <w:pgSz w:orient="landscape" w:w="16838" w:h="11906"/>
      <w:pgMar w:left="1984" w:right="2098" w:gutter="0" w:header="0" w:top="1587" w:footer="1701" w:bottom="1757"/>
      <w:pgNumType w:fmt="decimal"/>
      <w:formProt w:val="false"/>
      <w:textDirection w:val="lrTb"/>
      <w:docGrid w:type="default" w:linePitch="327"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default"/>
  </w:font>
  <w:font w:name="宋体">
    <w:charset w:val="86"/>
    <w:family w:val="auto"/>
    <w:pitch w:val="default"/>
  </w:font>
  <w:font w:name="Liberation Sans">
    <w:altName w:val="Arial"/>
    <w:charset w:val="01"/>
    <w:family w:val="swiss"/>
    <w:pitch w:val="variable"/>
  </w:font>
  <w:font w:name="黑体">
    <w:charset w:val="86"/>
    <w:family w:val="auto"/>
    <w:pitch w:val="default"/>
  </w:font>
  <w:font w:name="仿宋_GB2312">
    <w:altName w:val="仿宋"/>
    <w:charset w:val="86"/>
    <w:family w:val="auto"/>
    <w:pitch w:val="default"/>
  </w:font>
  <w:font w:name="方正小标宋简体">
    <w:altName w:val="黑体"/>
    <w:charset w:val="86"/>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rPr>
    </w:pPr>
    <w:r>
      <w:rPr>
        <w:sz w:val="18"/>
      </w:rPr>
    </w:r>
    <w:r>
      <mc:AlternateContent>
        <mc:Choice Requires="wps">
          <w:drawing>
            <wp:anchor behindDoc="1" distT="0" distB="0" distL="114935" distR="0" simplePos="0" locked="0" layoutInCell="0" allowOverlap="1" relativeHeight="11">
              <wp:simplePos x="0" y="0"/>
              <wp:positionH relativeFrom="margin">
                <wp:align>right</wp:align>
              </wp:positionH>
              <wp:positionV relativeFrom="paragraph">
                <wp:posOffset>635</wp:posOffset>
              </wp:positionV>
              <wp:extent cx="227965" cy="208280"/>
              <wp:effectExtent l="0" t="0" r="0" b="0"/>
              <wp:wrapNone/>
              <wp:docPr id="1" name="Frame1"/>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10</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10</w:t>
                    </w:r>
                    <w:r>
                      <w:rPr>
                        <w:sz w:val="28"/>
                        <w:szCs w:val="28"/>
                        <w:rFonts w:eastAsia="宋体" w:cs="宋体" w:ascii="宋体" w:hAnsi="宋体"/>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10"/>
  <w:defaultTabStop w:val="420"/>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next w:val="TextBody"/>
    <w:qFormat/>
    <w:pPr>
      <w:widowControl w:val="false"/>
      <w:bidi w:val="0"/>
      <w:jc w:val="both"/>
    </w:pPr>
    <w:rPr>
      <w:rFonts w:ascii="Calibri" w:hAnsi="Calibri" w:eastAsia="宋体" w:cs="Times New Roman"/>
      <w:color w:val="auto"/>
      <w:kern w:val="2"/>
      <w:sz w:val="21"/>
      <w:szCs w:val="24"/>
      <w:lang w:val="en-US" w:eastAsia="zh-CN" w:bidi="ar-SA"/>
    </w:rPr>
  </w:style>
  <w:style w:type="paragraph" w:styleId="Heading1">
    <w:name w:val="Heading 1"/>
    <w:basedOn w:val="Normal"/>
    <w:next w:val="Normal"/>
    <w:qFormat/>
    <w:pPr>
      <w:numPr>
        <w:ilvl w:val="0"/>
        <w:numId w:val="1"/>
      </w:numPr>
      <w:spacing w:before="280" w:after="280"/>
      <w:jc w:val="left"/>
      <w:outlineLvl w:val="0"/>
    </w:pPr>
    <w:rPr>
      <w:rFonts w:ascii="宋体" w:hAnsi="宋体" w:cs="宋体"/>
      <w:b/>
      <w:kern w:val="2"/>
      <w:sz w:val="48"/>
      <w:szCs w:val="48"/>
    </w:rPr>
  </w:style>
  <w:style w:type="paragraph" w:styleId="Heading2">
    <w:name w:val="Heading 2"/>
    <w:basedOn w:val="Normal"/>
    <w:next w:val="Normal"/>
    <w:qFormat/>
    <w:pPr>
      <w:numPr>
        <w:ilvl w:val="1"/>
        <w:numId w:val="1"/>
      </w:numPr>
      <w:spacing w:before="280" w:after="280"/>
      <w:jc w:val="left"/>
      <w:outlineLvl w:val="1"/>
    </w:pPr>
    <w:rPr>
      <w:rFonts w:ascii="宋体" w:hAnsi="宋体" w:eastAsia="宋体" w:cs="宋体"/>
      <w:b/>
      <w:kern w:val="0"/>
      <w:sz w:val="36"/>
      <w:szCs w:val="36"/>
      <w:lang w:val="en-US" w:eastAsia="zh-CN" w:bidi="ar"/>
    </w:rPr>
  </w:style>
  <w:style w:type="paragraph" w:styleId="Heading3">
    <w:name w:val="Heading 3"/>
    <w:basedOn w:val="Normal"/>
    <w:next w:val="Normal"/>
    <w:qFormat/>
    <w:pPr>
      <w:numPr>
        <w:ilvl w:val="2"/>
        <w:numId w:val="1"/>
      </w:numPr>
      <w:spacing w:before="280" w:after="280"/>
      <w:jc w:val="left"/>
      <w:outlineLvl w:val="2"/>
    </w:pPr>
    <w:rPr>
      <w:rFonts w:ascii="宋体" w:hAnsi="宋体" w:cs="宋体"/>
      <w:b/>
      <w:kern w:val="0"/>
      <w:sz w:val="27"/>
      <w:szCs w:val="27"/>
    </w:rPr>
  </w:style>
  <w:style w:type="character" w:styleId="Style11">
    <w:name w:val="默认段落字体"/>
    <w:qFormat/>
    <w:rPr/>
  </w:style>
  <w:style w:type="character" w:styleId="PageNumber">
    <w:name w:val="Page Number"/>
    <w:basedOn w:val="Style11"/>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next w:val="Style14"/>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Header">
    <w:name w:val="Header"/>
    <w:basedOn w:val="Normal"/>
    <w:pPr>
      <w:pBdr/>
      <w:tabs>
        <w:tab w:val="clear" w:pos="420"/>
        <w:tab w:val="center" w:pos="4153" w:leader="none"/>
        <w:tab w:val="right" w:pos="8306" w:leader="none"/>
      </w:tabs>
      <w:snapToGrid w:val="false"/>
      <w:spacing w:lineRule="auto" w:line="240"/>
      <w:jc w:val="both"/>
    </w:pPr>
    <w:rPr>
      <w:sz w:val="18"/>
    </w:rPr>
  </w:style>
  <w:style w:type="paragraph" w:styleId="Footer">
    <w:name w:val="Footer"/>
    <w:basedOn w:val="Normal"/>
    <w:next w:val="Normal"/>
    <w:pPr>
      <w:tabs>
        <w:tab w:val="clear" w:pos="420"/>
        <w:tab w:val="center" w:pos="4153" w:leader="none"/>
        <w:tab w:val="right" w:pos="8306" w:leader="none"/>
      </w:tabs>
      <w:snapToGrid w:val="false"/>
      <w:jc w:val="left"/>
    </w:pPr>
    <w:rPr>
      <w:sz w:val="18"/>
    </w:rPr>
  </w:style>
  <w:style w:type="paragraph" w:styleId="Style12">
    <w:name w:val="纯文本"/>
    <w:basedOn w:val="Normal"/>
    <w:qFormat/>
    <w:pPr/>
    <w:rPr>
      <w:rFonts w:ascii="宋体" w:hAnsi="宋体" w:cs="Courier;Courier New"/>
      <w:sz w:val="24"/>
    </w:rPr>
  </w:style>
  <w:style w:type="paragraph" w:styleId="Style13">
    <w:name w:val="普通(网站)"/>
    <w:basedOn w:val="Normal"/>
    <w:qFormat/>
    <w:pPr>
      <w:spacing w:before="280" w:after="280"/>
      <w:jc w:val="left"/>
    </w:pPr>
    <w:rPr>
      <w:rFonts w:eastAsia="仿宋_GB2312;仿宋"/>
      <w:kern w:val="0"/>
      <w:sz w:val="24"/>
    </w:rPr>
  </w:style>
  <w:style w:type="paragraph" w:styleId="ListParagraph">
    <w:name w:val="List Paragraph"/>
    <w:basedOn w:val="Normal"/>
    <w:qFormat/>
    <w:pPr>
      <w:keepNext w:val="false"/>
      <w:keepLines w:val="false"/>
      <w:widowControl w:val="false"/>
      <w:spacing w:before="0" w:after="0"/>
      <w:ind w:left="0" w:right="0" w:firstLine="420"/>
      <w:jc w:val="both"/>
    </w:pPr>
    <w:rPr>
      <w:rFonts w:ascii="Times New Roman" w:hAnsi="Times New Roman" w:eastAsia="仿宋_GB2312;仿宋" w:cs="Times New Roman"/>
      <w:kern w:val="2"/>
      <w:sz w:val="32"/>
      <w:szCs w:val="32"/>
      <w:lang w:val="en-US" w:eastAsia="zh-CN" w:bidi="ar"/>
    </w:rPr>
  </w:style>
  <w:style w:type="paragraph" w:styleId="Style14">
    <w:name w:val="正文首行缩进"/>
    <w:basedOn w:val="TextBody"/>
    <w:next w:val="TextBody"/>
    <w:qFormat/>
    <w:pPr>
      <w:ind w:firstLine="720"/>
    </w:pPr>
    <w:rPr/>
  </w:style>
  <w:style w:type="paragraph" w:styleId="2">
    <w:name w:val="样式2"/>
    <w:basedOn w:val="Normal"/>
    <w:qFormat/>
    <w:pPr>
      <w:snapToGrid w:val="false"/>
      <w:spacing w:lineRule="exact" w:line="260"/>
    </w:pPr>
    <w:rPr>
      <w:rFonts w:ascii="黑体" w:hAnsi="黑体" w:eastAsia="黑体" w:cs="仿宋"/>
      <w:szCs w:val="21"/>
    </w:rPr>
  </w:style>
  <w:style w:type="paragraph" w:styleId="1">
    <w:name w:val="正文文本首行缩进1"/>
    <w:basedOn w:val="TextBody"/>
    <w:qFormat/>
    <w:pPr>
      <w:ind w:firstLine="420"/>
    </w:pPr>
    <w:rPr/>
  </w:style>
  <w:style w:type="paragraph" w:styleId="Char">
    <w:name w:val="普通(网站) Char"/>
    <w:basedOn w:val="Normal"/>
    <w:qFormat/>
    <w:pPr>
      <w:spacing w:before="280" w:after="28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7200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dc:description/>
  <dc:language>en-US</dc:language>
  <cp:lastModifiedBy>陈文</cp:lastModifiedBy>
  <cp:lastPrinted>2026-08-11T00:31:00Z</cp:lastPrinted>
  <dcterms:modified xsi:type="dcterms:W3CDTF">2026-08-25T10:15:44Z</dcterms:modified>
  <cp:revision>1</cp:revision>
  <dc:subject/>
  <dc:title>市市场监管局办公室关于8-9月全系统政务</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ies>
</file>