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70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2"/>
        <w:gridCol w:w="1886"/>
      </w:tblGrid>
      <w:tr>
        <w:trPr>
          <w:trHeight w:val="853" w:hRule="atLeast"/>
        </w:trPr>
        <w:tc>
          <w:tcPr>
            <w:tcW w:w="6822" w:type="dxa"/>
            <w:tcBorders/>
            <w:vAlign w:val="center"/>
          </w:tcPr>
          <w:p>
            <w:pPr>
              <w:pStyle w:val="Normal"/>
              <w:snapToGrid w:val="false"/>
              <w:spacing w:lineRule="exact" w:line="840"/>
              <w:jc w:val="distribute"/>
              <w:textAlignment w:val="baseline"/>
              <w:rPr>
                <w:rFonts w:ascii="Times New Roman" w:hAnsi="Times New Roman" w:eastAsia="方正小标宋_GBK" w:cs="方正小标宋_GBK"/>
                <w:color w:val="FF0000"/>
                <w:spacing w:val="-40"/>
                <w:w w:val="80"/>
                <w:kern w:val="0"/>
                <w:sz w:val="78"/>
                <w:szCs w:val="78"/>
              </w:rPr>
            </w:pPr>
            <w:r>
              <w:rPr>
                <w:rFonts w:ascii="Times New Roman" w:hAnsi="Times New Roman" w:cs="方正小标宋_GBK" w:eastAsia="方正小标宋_GBK"/>
                <w:color w:val="FF0000"/>
                <w:spacing w:val="-40"/>
                <w:w w:val="80"/>
                <w:kern w:val="0"/>
                <w:sz w:val="78"/>
                <w:szCs w:val="78"/>
                <w:lang w:bidi="ar"/>
              </w:rPr>
              <w:t>重庆市生态环境局</w:t>
            </w:r>
          </w:p>
        </w:tc>
        <w:tc>
          <w:tcPr>
            <w:tcW w:w="1886" w:type="dxa"/>
            <w:vMerge w:val="restart"/>
            <w:tcBorders/>
            <w:vAlign w:val="center"/>
          </w:tcPr>
          <w:p>
            <w:pPr>
              <w:pStyle w:val="Normal"/>
              <w:snapToGrid w:val="false"/>
              <w:jc w:val="left"/>
              <w:textAlignment w:val="baseline"/>
              <w:rPr>
                <w:rFonts w:ascii="Times New Roman" w:hAnsi="Times New Roman" w:eastAsia="方正小标宋_GBK" w:cs="方正小标宋_GBK"/>
                <w:color w:val="FF0000"/>
                <w:spacing w:val="-40"/>
                <w:w w:val="90"/>
                <w:kern w:val="0"/>
                <w:sz w:val="64"/>
                <w:szCs w:val="70"/>
              </w:rPr>
            </w:pPr>
            <w:r>
              <w:rPr>
                <w:rFonts w:ascii="Times New Roman" w:hAnsi="Times New Roman" w:cs="方正小标宋_GBK" w:eastAsia="方正小标宋_GBK"/>
                <w:color w:val="FF0000"/>
                <w:spacing w:val="-23"/>
                <w:w w:val="96"/>
                <w:kern w:val="0"/>
                <w:sz w:val="90"/>
                <w:szCs w:val="90"/>
                <w:lang w:bidi="ar"/>
              </w:rPr>
              <w:t>文件</w:t>
            </w:r>
          </w:p>
        </w:tc>
      </w:tr>
      <w:tr>
        <w:trPr>
          <w:trHeight w:val="853" w:hRule="atLeast"/>
        </w:trPr>
        <w:tc>
          <w:tcPr>
            <w:tcW w:w="6822" w:type="dxa"/>
            <w:tcBorders/>
            <w:vAlign w:val="center"/>
          </w:tcPr>
          <w:p>
            <w:pPr>
              <w:pStyle w:val="Normal"/>
              <w:snapToGrid w:val="false"/>
              <w:spacing w:lineRule="exact" w:line="840"/>
              <w:jc w:val="distribute"/>
              <w:textAlignment w:val="baseline"/>
              <w:rPr>
                <w:rFonts w:ascii="Times New Roman" w:hAnsi="Times New Roman" w:eastAsia="方正小标宋_GBK" w:cs="方正小标宋_GBK"/>
                <w:color w:val="FF0000"/>
                <w:spacing w:val="-40"/>
                <w:w w:val="80"/>
                <w:kern w:val="0"/>
                <w:sz w:val="78"/>
                <w:szCs w:val="78"/>
              </w:rPr>
            </w:pPr>
            <w:r>
              <w:rPr>
                <w:rFonts w:ascii="Times New Roman" w:hAnsi="Times New Roman" w:cs="方正小标宋_GBK" w:eastAsia="方正小标宋_GBK"/>
                <w:color w:val="FF0000"/>
                <w:spacing w:val="-40"/>
                <w:w w:val="80"/>
                <w:kern w:val="0"/>
                <w:sz w:val="78"/>
                <w:szCs w:val="78"/>
                <w:lang w:val="en-US" w:eastAsia="zh-CN"/>
              </w:rPr>
              <w:t>中共重庆市委宣传部</w:t>
            </w:r>
          </w:p>
        </w:tc>
        <w:tc>
          <w:tcPr>
            <w:tcW w:w="1886" w:type="dxa"/>
            <w:vMerge w:val="continue"/>
            <w:tcBorders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方正小标宋_GBK" w:cs="Times New Roman"/>
                <w:color w:val="FF0000"/>
                <w:spacing w:val="-40"/>
                <w:w w:val="80"/>
                <w:kern w:val="0"/>
                <w:sz w:val="20"/>
                <w:szCs w:val="20"/>
              </w:rPr>
            </w:pPr>
            <w:r>
              <w:rPr>
                <w:rFonts w:eastAsia="方正小标宋_GBK" w:cs="Times New Roman"/>
                <w:color w:val="FF0000"/>
                <w:spacing w:val="-40"/>
                <w:w w:val="80"/>
                <w:kern w:val="0"/>
                <w:sz w:val="20"/>
                <w:szCs w:val="20"/>
              </w:rPr>
            </w:r>
          </w:p>
        </w:tc>
      </w:tr>
      <w:tr>
        <w:trPr>
          <w:trHeight w:val="995" w:hRule="atLeast"/>
        </w:trPr>
        <w:tc>
          <w:tcPr>
            <w:tcW w:w="6822" w:type="dxa"/>
            <w:tcBorders/>
            <w:vAlign w:val="center"/>
          </w:tcPr>
          <w:p>
            <w:pPr>
              <w:pStyle w:val="Normal"/>
              <w:snapToGrid w:val="false"/>
              <w:spacing w:lineRule="exact" w:line="840"/>
              <w:jc w:val="distribute"/>
              <w:textAlignment w:val="baseline"/>
              <w:rPr>
                <w:rFonts w:ascii="Times New Roman" w:hAnsi="Times New Roman" w:eastAsia="方正小标宋_GBK" w:cs="方正小标宋_GBK"/>
                <w:color w:val="FF0000"/>
                <w:spacing w:val="-40"/>
                <w:w w:val="80"/>
                <w:kern w:val="0"/>
                <w:sz w:val="78"/>
                <w:szCs w:val="78"/>
                <w:lang w:bidi="ar"/>
              </w:rPr>
            </w:pPr>
            <w:r>
              <w:rPr>
                <w:rFonts w:ascii="Times New Roman" w:hAnsi="Times New Roman" w:cs="方正小标宋_GBK" w:eastAsia="方正小标宋_GBK"/>
                <w:color w:val="FF0000"/>
                <w:spacing w:val="-40"/>
                <w:w w:val="80"/>
                <w:kern w:val="0"/>
                <w:sz w:val="78"/>
                <w:szCs w:val="78"/>
                <w:lang w:val="en-US" w:eastAsia="zh-CN" w:bidi="ar"/>
              </w:rPr>
              <w:t>中共重庆市委社会工作部</w:t>
            </w:r>
          </w:p>
        </w:tc>
        <w:tc>
          <w:tcPr>
            <w:tcW w:w="1886" w:type="dxa"/>
            <w:vMerge w:val="continue"/>
            <w:tcBorders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方正小标宋_GBK" w:cs="Times New Roman"/>
                <w:color w:val="FF0000"/>
                <w:spacing w:val="-40"/>
                <w:w w:val="80"/>
                <w:kern w:val="0"/>
                <w:sz w:val="20"/>
                <w:szCs w:val="20"/>
                <w:lang w:bidi="ar"/>
              </w:rPr>
            </w:pPr>
            <w:r>
              <w:rPr>
                <w:rFonts w:eastAsia="方正小标宋_GBK" w:cs="Times New Roman"/>
                <w:color w:val="FF0000"/>
                <w:spacing w:val="-40"/>
                <w:w w:val="80"/>
                <w:kern w:val="0"/>
                <w:sz w:val="20"/>
                <w:szCs w:val="20"/>
                <w:lang w:bidi="ar"/>
              </w:rPr>
            </w:r>
          </w:p>
        </w:tc>
      </w:tr>
      <w:tr>
        <w:trPr>
          <w:trHeight w:val="995" w:hRule="atLeast"/>
        </w:trPr>
        <w:tc>
          <w:tcPr>
            <w:tcW w:w="6822" w:type="dxa"/>
            <w:tcBorders/>
            <w:vAlign w:val="center"/>
          </w:tcPr>
          <w:p>
            <w:pPr>
              <w:pStyle w:val="Normal"/>
              <w:snapToGrid w:val="false"/>
              <w:spacing w:lineRule="exact" w:line="840"/>
              <w:jc w:val="distribute"/>
              <w:textAlignment w:val="baseline"/>
              <w:rPr>
                <w:rFonts w:ascii="Times New Roman" w:hAnsi="Times New Roman" w:eastAsia="方正小标宋_GBK" w:cs="方正小标宋_GBK"/>
                <w:color w:val="FF0000"/>
                <w:spacing w:val="-40"/>
                <w:w w:val="80"/>
                <w:kern w:val="0"/>
                <w:sz w:val="78"/>
                <w:szCs w:val="78"/>
                <w:lang w:bidi="ar"/>
              </w:rPr>
            </w:pPr>
            <w:r>
              <w:rPr>
                <w:rFonts w:ascii="Times New Roman" w:hAnsi="Times New Roman" w:cs="方正小标宋_GBK" w:eastAsia="方正小标宋_GBK"/>
                <w:color w:val="FF0000"/>
                <w:spacing w:val="-40"/>
                <w:w w:val="80"/>
                <w:kern w:val="0"/>
                <w:sz w:val="78"/>
                <w:szCs w:val="78"/>
                <w:lang w:val="en-US" w:eastAsia="zh-CN" w:bidi="ar"/>
              </w:rPr>
              <w:t>重庆市教育委员会</w:t>
            </w:r>
          </w:p>
        </w:tc>
        <w:tc>
          <w:tcPr>
            <w:tcW w:w="1886" w:type="dxa"/>
            <w:vMerge w:val="continue"/>
            <w:tcBorders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方正小标宋_GBK" w:cs="Times New Roman"/>
                <w:color w:val="FF0000"/>
                <w:spacing w:val="-40"/>
                <w:w w:val="80"/>
                <w:kern w:val="0"/>
                <w:sz w:val="20"/>
                <w:szCs w:val="20"/>
                <w:lang w:bidi="ar"/>
              </w:rPr>
            </w:pPr>
            <w:r>
              <w:rPr>
                <w:rFonts w:eastAsia="方正小标宋_GBK" w:cs="Times New Roman"/>
                <w:color w:val="FF0000"/>
                <w:spacing w:val="-40"/>
                <w:w w:val="80"/>
                <w:kern w:val="0"/>
                <w:sz w:val="20"/>
                <w:szCs w:val="20"/>
                <w:lang w:bidi="ar"/>
              </w:rPr>
            </w:r>
          </w:p>
        </w:tc>
      </w:tr>
      <w:tr>
        <w:trPr>
          <w:trHeight w:val="995" w:hRule="atLeast"/>
        </w:trPr>
        <w:tc>
          <w:tcPr>
            <w:tcW w:w="6822" w:type="dxa"/>
            <w:tcBorders/>
            <w:vAlign w:val="center"/>
          </w:tcPr>
          <w:p>
            <w:pPr>
              <w:pStyle w:val="Normal"/>
              <w:snapToGrid w:val="false"/>
              <w:spacing w:lineRule="exact" w:line="840"/>
              <w:jc w:val="distribute"/>
              <w:textAlignment w:val="baseline"/>
              <w:rPr>
                <w:rFonts w:ascii="Times New Roman" w:hAnsi="Times New Roman" w:eastAsia="方正小标宋_GBK" w:cs="方正小标宋_GBK"/>
                <w:color w:val="FF0000"/>
                <w:spacing w:val="-40"/>
                <w:w w:val="80"/>
                <w:kern w:val="0"/>
                <w:sz w:val="78"/>
                <w:szCs w:val="78"/>
                <w:lang w:bidi="ar"/>
              </w:rPr>
            </w:pPr>
            <w:r>
              <w:rPr>
                <w:rFonts w:ascii="Times New Roman" w:hAnsi="Times New Roman" w:cs="方正小标宋_GBK" w:eastAsia="方正小标宋_GBK"/>
                <w:color w:val="FF0000"/>
                <w:spacing w:val="-40"/>
                <w:w w:val="80"/>
                <w:kern w:val="0"/>
                <w:sz w:val="78"/>
                <w:szCs w:val="78"/>
                <w:lang w:val="en-US" w:eastAsia="zh-CN" w:bidi="ar"/>
              </w:rPr>
              <w:t>共青团重庆市委员会</w:t>
            </w:r>
          </w:p>
        </w:tc>
        <w:tc>
          <w:tcPr>
            <w:tcW w:w="1886" w:type="dxa"/>
            <w:vMerge w:val="continue"/>
            <w:tcBorders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方正小标宋_GBK" w:cs="Times New Roman"/>
                <w:color w:val="FF0000"/>
                <w:spacing w:val="-40"/>
                <w:w w:val="80"/>
                <w:kern w:val="0"/>
                <w:sz w:val="20"/>
                <w:szCs w:val="20"/>
                <w:lang w:bidi="ar"/>
              </w:rPr>
            </w:pPr>
            <w:r>
              <w:rPr>
                <w:rFonts w:eastAsia="方正小标宋_GBK" w:cs="Times New Roman"/>
                <w:color w:val="FF0000"/>
                <w:spacing w:val="-40"/>
                <w:w w:val="80"/>
                <w:kern w:val="0"/>
                <w:sz w:val="20"/>
                <w:szCs w:val="20"/>
                <w:lang w:bidi="ar"/>
              </w:rPr>
            </w:r>
          </w:p>
        </w:tc>
      </w:tr>
      <w:tr>
        <w:trPr>
          <w:trHeight w:val="995" w:hRule="atLeast"/>
        </w:trPr>
        <w:tc>
          <w:tcPr>
            <w:tcW w:w="6822" w:type="dxa"/>
            <w:tcBorders/>
            <w:vAlign w:val="center"/>
          </w:tcPr>
          <w:p>
            <w:pPr>
              <w:pStyle w:val="Normal"/>
              <w:snapToGrid w:val="false"/>
              <w:spacing w:lineRule="exact" w:line="840"/>
              <w:jc w:val="distribute"/>
              <w:textAlignment w:val="baseline"/>
              <w:rPr>
                <w:rFonts w:ascii="Times New Roman" w:hAnsi="Times New Roman" w:eastAsia="方正小标宋_GBK" w:cs="方正小标宋_GBK"/>
                <w:color w:val="FF0000"/>
                <w:spacing w:val="-40"/>
                <w:w w:val="80"/>
                <w:kern w:val="0"/>
                <w:sz w:val="78"/>
                <w:szCs w:val="78"/>
                <w:lang w:val="en-US" w:eastAsia="zh-CN" w:bidi="ar"/>
              </w:rPr>
            </w:pPr>
            <w:r>
              <w:rPr>
                <w:rFonts w:ascii="Times New Roman" w:hAnsi="Times New Roman" w:cs="方正小标宋_GBK" w:eastAsia="方正小标宋_GBK"/>
                <w:color w:val="FF0000"/>
                <w:spacing w:val="-40"/>
                <w:w w:val="80"/>
                <w:kern w:val="0"/>
                <w:sz w:val="78"/>
                <w:szCs w:val="78"/>
                <w:lang w:val="en-US" w:eastAsia="zh-CN" w:bidi="ar"/>
              </w:rPr>
              <w:t>重庆市妇女联合会</w:t>
            </w:r>
          </w:p>
        </w:tc>
        <w:tc>
          <w:tcPr>
            <w:tcW w:w="1886" w:type="dxa"/>
            <w:vMerge w:val="continue"/>
            <w:tcBorders/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方正小标宋_GBK" w:cs="Times New Roman"/>
                <w:color w:val="FF0000"/>
                <w:spacing w:val="-40"/>
                <w:w w:val="8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eastAsia="方正小标宋_GBK" w:cs="Times New Roman"/>
                <w:color w:val="FF0000"/>
                <w:spacing w:val="-40"/>
                <w:w w:val="80"/>
                <w:kern w:val="0"/>
                <w:sz w:val="20"/>
                <w:szCs w:val="20"/>
                <w:lang w:val="en-US" w:eastAsia="zh-CN" w:bidi="ar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bCs/>
        </w:rPr>
      </w:pPr>
      <w:r>
        <w:rPr>
          <w:rFonts w:cs="Times New Roman"/>
          <w:bCs/>
        </w:rPr>
      </w:r>
    </w:p>
    <w:p>
      <w:pPr>
        <w:pStyle w:val="Normal"/>
        <w:ind w:left="0" w:hanging="0"/>
        <w:jc w:val="center"/>
        <w:rPr>
          <w:rFonts w:ascii="Times New Roman" w:hAnsi="Times New Roman" w:eastAsia="方正仿宋_GBK" w:cs="Times New Roman"/>
          <w:bCs/>
        </w:rPr>
      </w:pPr>
      <w:r>
        <w:rPr>
          <w:rFonts w:ascii="Times New Roman" w:hAnsi="Times New Roman" w:cs="Times New Roman" w:eastAsia="方正仿宋_GBK"/>
          <w:bCs/>
        </w:rPr>
        <w:t>渝环〔</w:t>
      </w:r>
      <w:bookmarkStart w:id="0" w:name="gwnh"/>
      <w:r>
        <w:rPr>
          <w:rFonts w:eastAsia="方正仿宋_GBK" w:cs="Times New Roman"/>
          <w:bCs/>
          <w:lang w:eastAsia="zh-CN"/>
        </w:rPr>
        <w:t>2026</w:t>
      </w:r>
      <w:bookmarkEnd w:id="0"/>
      <w:r>
        <w:rPr>
          <w:rFonts w:ascii="Times New Roman" w:hAnsi="Times New Roman" w:cs="Times New Roman" w:eastAsia="方正仿宋_GBK"/>
          <w:bCs/>
        </w:rPr>
        <w:t>〕</w:t>
      </w:r>
      <w:bookmarkStart w:id="1" w:name="gwqh"/>
      <w:r>
        <w:rPr>
          <w:rFonts w:eastAsia="方正仿宋_GBK" w:cs="Times New Roman"/>
          <w:bCs/>
          <w:lang w:val="en-US" w:eastAsia="zh-CN"/>
        </w:rPr>
        <w:t>99</w:t>
      </w:r>
      <w:bookmarkEnd w:id="1"/>
      <w:r>
        <w:rPr>
          <w:rFonts w:ascii="Times New Roman" w:hAnsi="Times New Roman" w:cs="Times New Roman" w:eastAsia="方正仿宋_GBK"/>
          <w:bCs/>
        </w:rPr>
        <w:t>号</w:t>
      </w:r>
    </w:p>
    <w:p>
      <w:pPr>
        <w:pStyle w:val="Normal"/>
        <w:ind w:left="787" w:hanging="784"/>
        <w:rPr>
          <w:rFonts w:ascii="Times New Roman" w:hAnsi="Times New Roman" w:eastAsia="方正仿宋_GBK" w:cs="Times New Roman"/>
          <w:b/>
          <w:b/>
          <w:bCs/>
          <w:sz w:val="20"/>
        </w:rPr>
      </w:pPr>
      <w:r>
        <w:rPr>
          <w:rFonts w:eastAsia="方正仿宋_GBK" w:cs="Times New Roman"/>
          <w:b/>
          <w:bCs/>
          <w:sz w:val="20"/>
        </w:rPr>
        <mc:AlternateContent>
          <mc:Choice Requires="wps">
            <w:drawing>
              <wp:anchor behindDoc="0" distT="0" distB="0" distL="114935" distR="114935" simplePos="0" locked="0" layoutInCell="0" allowOverlap="1" relativeHeight="2">
                <wp:simplePos x="0" y="0"/>
                <wp:positionH relativeFrom="column">
                  <wp:posOffset>-13970</wp:posOffset>
                </wp:positionH>
                <wp:positionV relativeFrom="paragraph">
                  <wp:posOffset>136525</wp:posOffset>
                </wp:positionV>
                <wp:extent cx="5618480" cy="0"/>
                <wp:effectExtent l="0" t="6350" r="0" b="6350"/>
                <wp:wrapNone/>
                <wp:docPr id="1" name="直线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8520" cy="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ff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.1pt,10.75pt" to="441.25pt,10.75pt" ID="直线 4" stroked="t" o:allowincell="f" style="position:absolute">
                <v:stroke color="red" weight="1260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left="0" w:right="0" w:hanging="0"/>
        <w:jc w:val="center"/>
        <w:textAlignment w:val="auto"/>
        <w:rPr>
          <w:rFonts w:ascii="Times New Roman" w:hAnsi="Times New Roman" w:eastAsia="方正小标宋_GBK" w:cs="方正小标宋_GBK"/>
          <w:b/>
          <w:b/>
          <w:sz w:val="44"/>
          <w:szCs w:val="44"/>
          <w:lang w:val="en-US" w:eastAsia="zh-CN"/>
        </w:rPr>
      </w:pPr>
      <w:r>
        <w:rPr>
          <w:rFonts w:eastAsia="方正小标宋_GBK" w:cs="方正小标宋_GBK"/>
          <w:b/>
          <w:sz w:val="44"/>
          <w:szCs w:val="44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left="0" w:right="0" w:hanging="0"/>
        <w:jc w:val="center"/>
        <w:textAlignment w:val="auto"/>
        <w:rPr>
          <w:rFonts w:ascii="Times New Roman" w:hAnsi="Times New Roman" w:eastAsia="方正小标宋_GBK" w:cs="方正小标宋_GBK"/>
          <w:sz w:val="44"/>
          <w:szCs w:val="44"/>
          <w:lang w:val="en-US" w:eastAsia="zh-CN"/>
        </w:rPr>
      </w:pPr>
      <w:r>
        <w:rPr>
          <w:rFonts w:ascii="Times New Roman" w:hAnsi="Times New Roman" w:cs="方正小标宋_GBK" w:eastAsia="方正小标宋_GBK"/>
          <w:sz w:val="44"/>
          <w:szCs w:val="44"/>
          <w:lang w:val="en-US" w:eastAsia="zh-CN"/>
        </w:rPr>
        <w:t>关于印发</w:t>
      </w:r>
      <w:r>
        <w:rPr>
          <w:rFonts w:ascii="Times New Roman" w:hAnsi="Times New Roman" w:cs="方正小标宋_GBK" w:eastAsia="方正小标宋_GBK"/>
          <w:sz w:val="44"/>
          <w:szCs w:val="44"/>
        </w:rPr>
        <w:t>《美丽</w:t>
      </w:r>
      <w:r>
        <w:rPr>
          <w:rFonts w:ascii="Times New Roman" w:hAnsi="Times New Roman" w:cs="方正小标宋_GBK" w:eastAsia="方正小标宋_GBK"/>
          <w:sz w:val="44"/>
          <w:szCs w:val="44"/>
          <w:lang w:val="en-US" w:eastAsia="zh-CN"/>
        </w:rPr>
        <w:t>重庆</w:t>
      </w:r>
      <w:r>
        <w:rPr>
          <w:rFonts w:ascii="Times New Roman" w:hAnsi="Times New Roman" w:cs="方正小标宋_GBK" w:eastAsia="方正小标宋_GBK"/>
          <w:sz w:val="44"/>
          <w:szCs w:val="44"/>
        </w:rPr>
        <w:t>建设全民行动促进计划（</w:t>
      </w:r>
      <w:r>
        <w:rPr>
          <w:rFonts w:eastAsia="方正小标宋_GBK" w:cs="Times New Roman"/>
          <w:sz w:val="44"/>
          <w:szCs w:val="44"/>
        </w:rPr>
        <w:t>2026—2030</w:t>
      </w:r>
      <w:r>
        <w:rPr>
          <w:rFonts w:ascii="Times New Roman" w:hAnsi="Times New Roman" w:cs="方正小标宋_GBK" w:eastAsia="方正小标宋_GBK"/>
          <w:sz w:val="44"/>
          <w:szCs w:val="44"/>
        </w:rPr>
        <w:t>年）》</w:t>
      </w:r>
      <w:r>
        <w:rPr>
          <w:rFonts w:ascii="Times New Roman" w:hAnsi="Times New Roman" w:cs="方正小标宋_GBK" w:eastAsia="方正小标宋_GBK"/>
          <w:sz w:val="44"/>
          <w:szCs w:val="44"/>
          <w:lang w:val="en-US" w:eastAsia="zh-CN"/>
        </w:rPr>
        <w:t>的通知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jc w:val="center"/>
        <w:textAlignment w:val="auto"/>
        <w:rPr>
          <w:rFonts w:ascii="Times New Roman" w:hAnsi="Times New Roman" w:eastAsia="方正楷体_GBK" w:cs="方正楷体_GBK"/>
          <w:i w:val="false"/>
          <w:i w:val="false"/>
          <w:iCs w:val="false"/>
          <w:caps w:val="false"/>
          <w:smallCaps w:val="false"/>
          <w:color w:val="171A1D"/>
          <w:spacing w:val="0"/>
          <w:sz w:val="32"/>
          <w:szCs w:val="32"/>
          <w:shd w:fill="FFFFFF" w:val="clear"/>
          <w:lang w:val="en-US" w:eastAsia="zh-CN"/>
        </w:rPr>
      </w:pPr>
      <w:r>
        <w:rPr>
          <w:rFonts w:eastAsia="方正楷体_GBK" w:cs="方正楷体_GBK"/>
          <w:i w:val="false"/>
          <w:iCs w:val="false"/>
          <w:caps w:val="false"/>
          <w:smallCaps w:val="false"/>
          <w:color w:val="171A1D"/>
          <w:spacing w:val="0"/>
          <w:sz w:val="32"/>
          <w:szCs w:val="32"/>
          <w:shd w:fill="FFFFFF" w:val="clear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jc w:val="both"/>
        <w:textAlignment w:val="auto"/>
        <w:rPr>
          <w:rFonts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ascii="Times New Roman" w:hAnsi="Times New Roman" w:cs="方正仿宋_GBK" w:eastAsia="方正仿宋_GBK"/>
          <w:sz w:val="32"/>
          <w:szCs w:val="32"/>
          <w:lang w:val="en-US" w:eastAsia="zh-CN"/>
        </w:rPr>
        <w:t>各区县（自治县，含西部科学城重庆高新区、万盛经开区）生态环境局、党（工）委宣传部、党（工）委社会工作部、教委、团委、妇联：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仿宋_GBK" w:eastAsia="方正仿宋_GBK"/>
          <w:sz w:val="32"/>
          <w:szCs w:val="32"/>
        </w:rPr>
        <w:t>为深入宣传贯彻习近平生态文明思想，</w:t>
      </w:r>
      <w:r>
        <w:rPr>
          <w:rFonts w:ascii="Times New Roman" w:hAnsi="Times New Roman" w:cs="Times New Roman" w:eastAsia="方正仿宋_GBK"/>
          <w:color w:val="000000"/>
          <w:sz w:val="32"/>
          <w:szCs w:val="32"/>
          <w:lang w:val="en-US" w:eastAsia="zh-CN"/>
        </w:rPr>
        <w:t>引导全市上下牢固树立社会主义生态文明观，广泛动员社会各界积极参与和推动美丽重庆建设，依据党中央、国务院关于全面推进美丽中国建设的要求和“十五五”时期生态环境保护工作任务部署，根据</w:t>
      </w:r>
      <w:r>
        <w:rPr>
          <w:rFonts w:ascii="Times New Roman" w:hAnsi="Times New Roman" w:cs="方正仿宋_GBK" w:eastAsia="方正仿宋_GBK"/>
          <w:sz w:val="32"/>
          <w:szCs w:val="32"/>
          <w:lang w:val="en-US" w:eastAsia="zh-CN"/>
        </w:rPr>
        <w:t>生态环境部、中央宣传部、中央社会工作部、教育部、共青团中央、全国妇联等六</w:t>
      </w:r>
      <w:r>
        <w:rPr>
          <w:rFonts w:ascii="Times New Roman" w:hAnsi="Times New Roman" w:cs="方正仿宋_GBK" w:eastAsia="方正仿宋_GBK"/>
          <w:spacing w:val="6"/>
          <w:sz w:val="32"/>
          <w:szCs w:val="32"/>
          <w:lang w:val="en-US" w:eastAsia="zh-CN"/>
        </w:rPr>
        <w:t>部门联合印发的《美丽中国建设全民行动促进计</w:t>
      </w:r>
      <w:r>
        <w:rPr>
          <w:rFonts w:ascii="Times New Roman" w:hAnsi="Times New Roman" w:cs="方正仿宋_GBK" w:eastAsia="方正仿宋_GBK"/>
          <w:sz w:val="32"/>
          <w:szCs w:val="32"/>
          <w:lang w:val="en-US" w:eastAsia="zh-CN"/>
        </w:rPr>
        <w:t>划（</w:t>
      </w:r>
      <w:r>
        <w:rPr>
          <w:rFonts w:eastAsia="方正仿宋_GBK" w:cs="方正仿宋_GBK"/>
          <w:sz w:val="32"/>
          <w:szCs w:val="32"/>
          <w:lang w:val="en-US" w:eastAsia="zh-CN"/>
        </w:rPr>
        <w:t>2026</w:t>
      </w:r>
      <w:r>
        <w:rPr>
          <w:rFonts w:eastAsia="方正仿宋_GBK" w:cs="方正仿宋_GBK" w:ascii="方正仿宋_GBK" w:hAnsi="方正仿宋_GBK"/>
          <w:sz w:val="32"/>
          <w:szCs w:val="32"/>
          <w:lang w:val="en-US" w:eastAsia="zh-CN"/>
        </w:rPr>
        <w:t>—</w:t>
      </w:r>
      <w:r>
        <w:rPr>
          <w:rFonts w:eastAsia="方正仿宋_GBK" w:cs="方正仿宋_GBK"/>
          <w:sz w:val="32"/>
          <w:szCs w:val="32"/>
          <w:lang w:val="en-US" w:eastAsia="zh-CN"/>
        </w:rPr>
        <w:t>2030</w:t>
      </w:r>
      <w:r>
        <w:rPr>
          <w:rFonts w:ascii="Times New Roman" w:hAnsi="Times New Roman" w:cs="方正仿宋_GBK" w:eastAsia="方正仿宋_GBK"/>
          <w:sz w:val="32"/>
          <w:szCs w:val="32"/>
          <w:lang w:val="en-US" w:eastAsia="zh-CN"/>
        </w:rPr>
        <w:t>年）》要求，结合重庆实际，</w:t>
      </w:r>
      <w:r>
        <w:rPr>
          <w:rFonts w:ascii="Times New Roman" w:hAnsi="Times New Roman" w:cs="Times New Roman" w:eastAsia="方正仿宋_GBK"/>
          <w:color w:val="000000"/>
          <w:sz w:val="32"/>
          <w:szCs w:val="32"/>
          <w:lang w:val="en-US" w:eastAsia="zh-CN"/>
        </w:rPr>
        <w:t>制定本计划。现印发给你们，请结合实际认真贯彻执行。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eastAsia="方正仿宋_GBK" w:cs="Times New Roman"/>
          <w:color w:val="000000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eastAsia="Times New Roman" w:cs="Times New Roman"/>
          <w:sz w:val="32"/>
          <w:szCs w:val="32"/>
        </w:rPr>
        <w:t xml:space="preserve">  </w:t>
      </w:r>
      <w:r>
        <w:rPr>
          <w:rFonts w:eastAsia="Times New Roman" w:cs="Times New Roman"/>
          <w:color w:val="000000"/>
          <w:sz w:val="32"/>
          <w:szCs w:val="32"/>
          <w:lang w:val="en-US" w:eastAsia="zh-CN"/>
        </w:rPr>
        <w:t xml:space="preserve"> 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Times New Roman" w:eastAsia="方正仿宋_GBK"/>
          <w:color w:val="000000"/>
          <w:sz w:val="32"/>
          <w:szCs w:val="32"/>
          <w:lang w:val="en-US" w:eastAsia="zh-CN"/>
        </w:rPr>
        <w:t>重庆市生态环境局</w:t>
      </w:r>
      <w:r>
        <w:rPr>
          <w:rFonts w:ascii="Times New Roman" w:hAnsi="Times New Roman" w:cs="Times New Roman" w:eastAsia="Times New Roman"/>
          <w:color w:val="000000"/>
          <w:sz w:val="32"/>
          <w:szCs w:val="32"/>
          <w:lang w:val="en-US" w:eastAsia="zh-CN"/>
        </w:rPr>
        <w:t xml:space="preserve">            </w:t>
      </w:r>
      <w:r>
        <w:rPr>
          <w:rFonts w:ascii="Times New Roman" w:hAnsi="Times New Roman" w:cs="Times New Roman" w:eastAsia="方正仿宋_GBK"/>
          <w:color w:val="000000"/>
          <w:sz w:val="32"/>
          <w:szCs w:val="32"/>
          <w:lang w:val="en-US" w:eastAsia="zh-CN"/>
        </w:rPr>
        <w:t>中共重庆市委宣传部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eastAsia="方正仿宋_GBK" w:cs="Times New Roman"/>
          <w:color w:val="000000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eastAsia="方正仿宋_GBK" w:cs="Times New Roman"/>
          <w:color w:val="000000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eastAsia="方正仿宋_GBK" w:cs="Times New Roman"/>
          <w:color w:val="000000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eastAsia="方正仿宋_GBK" w:cs="Times New Roman"/>
          <w:color w:val="000000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Times New Roman" w:eastAsia="方正仿宋_GBK"/>
          <w:color w:val="000000"/>
          <w:sz w:val="32"/>
          <w:szCs w:val="32"/>
          <w:lang w:val="en-US" w:eastAsia="zh-CN"/>
        </w:rPr>
        <w:t>中共重庆市委社会工作部</w:t>
      </w:r>
      <w:r>
        <w:rPr>
          <w:rFonts w:ascii="Times New Roman" w:hAnsi="Times New Roman" w:cs="Times New Roman" w:eastAsia="Times New Roman"/>
          <w:color w:val="000000"/>
          <w:sz w:val="32"/>
          <w:szCs w:val="32"/>
          <w:lang w:val="en-US" w:eastAsia="zh-CN"/>
        </w:rPr>
        <w:t xml:space="preserve">       </w:t>
      </w:r>
      <w:r>
        <w:rPr>
          <w:rFonts w:ascii="Times New Roman" w:hAnsi="Times New Roman" w:cs="Times New Roman" w:eastAsia="方正仿宋_GBK"/>
          <w:color w:val="000000"/>
          <w:sz w:val="32"/>
          <w:szCs w:val="32"/>
          <w:lang w:val="en-US" w:eastAsia="zh-CN"/>
        </w:rPr>
        <w:t>重庆市教育委员会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eastAsia="方正仿宋_GBK" w:cs="Times New Roman"/>
          <w:color w:val="000000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eastAsia="方正仿宋_GBK" w:cs="Times New Roman"/>
          <w:color w:val="000000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eastAsia="方正仿宋_GBK" w:cs="Times New Roman"/>
          <w:color w:val="000000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eastAsia="方正仿宋_GBK" w:cs="方正仿宋_GBK"/>
          <w:color w:val="000000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0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</w:rPr>
      </w:pP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共青团重庆市委员会</w:t>
      </w:r>
      <w:r>
        <w:rPr>
          <w:rFonts w:ascii="Times New Roman" w:hAnsi="Times New Roman" w:cs="Times New Roman" w:eastAsia="Times New Roman"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重庆市妇女联合会</w:t>
      </w:r>
      <w:r>
        <w:rPr>
          <w:rFonts w:ascii="Times New Roman" w:hAnsi="Times New Roman" w:cs="Times New Roman" w:eastAsia="Times New Roman"/>
          <w:color w:val="000000"/>
          <w:sz w:val="32"/>
          <w:szCs w:val="32"/>
        </w:rPr>
        <w:t xml:space="preserve">  </w:t>
      </w:r>
    </w:p>
    <w:p>
      <w:pPr>
        <w:pStyle w:val="Normal"/>
        <w:keepNext w:val="false"/>
        <w:keepLines w:val="false"/>
        <w:pageBreakBefore w:val="false"/>
        <w:widowControl w:val="false"/>
        <w:tabs>
          <w:tab w:val="clear" w:pos="420"/>
          <w:tab w:val="left" w:pos="7560" w:leader="none"/>
        </w:tabs>
        <w:kinsoku w:val="true"/>
        <w:overflowPunct w:val="true"/>
        <w:autoSpaceDE w:val="true"/>
        <w:bidi w:val="0"/>
        <w:snapToGrid w:val="true"/>
        <w:spacing w:lineRule="exact" w:line="570"/>
        <w:jc w:val="right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eastAsia="Times New Roman" w:cs="Times New Roman"/>
          <w:color w:val="000000"/>
          <w:sz w:val="32"/>
          <w:szCs w:val="32"/>
          <w:lang w:val="en-US" w:eastAsia="zh-CN"/>
        </w:rPr>
        <w:t xml:space="preserve">                        </w:t>
      </w:r>
      <w:r>
        <w:rPr>
          <w:rFonts w:eastAsia="Times New Roman" w:cs="Times New Roman"/>
          <w:color w:val="000000"/>
          <w:sz w:val="32"/>
          <w:szCs w:val="32"/>
        </w:rPr>
        <w:t xml:space="preserve"> </w:t>
      </w:r>
      <w:r>
        <w:rPr>
          <w:rFonts w:eastAsia="方正仿宋_GBK" w:cs="方正仿宋_GBK"/>
          <w:color w:val="000000"/>
          <w:sz w:val="32"/>
          <w:szCs w:val="32"/>
        </w:rPr>
        <w:t>202</w:t>
      </w: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6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</w:rPr>
        <w:t>年</w:t>
      </w: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9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</w:rPr>
        <w:t>月</w:t>
      </w: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4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</w:rPr>
        <w:t>日</w:t>
      </w:r>
      <w:r>
        <w:rPr>
          <w:rFonts w:ascii="Times New Roman" w:hAnsi="Times New Roman" w:cs="Times New Roman" w:eastAsia="Times New Roman"/>
          <w:color w:val="000000"/>
          <w:sz w:val="32"/>
          <w:szCs w:val="32"/>
          <w:lang w:val="en-US" w:eastAsia="zh-CN"/>
        </w:rPr>
        <w:t xml:space="preserve">        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600"/>
        <w:ind w:left="0" w:hanging="0"/>
        <w:jc w:val="both"/>
        <w:textAlignment w:val="auto"/>
        <w:rPr>
          <w:rFonts w:ascii="Times New Roman" w:hAnsi="Times New Roman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eastAsia="方正黑体_GBK" w:cs="方正黑体_GBK"/>
          <w:color w:val="000000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ascii="Times New Roman" w:hAnsi="Times New Roman" w:cs="方正仿宋_GBK" w:eastAsia="方正仿宋_GBK"/>
          <w:sz w:val="32"/>
          <w:szCs w:val="32"/>
          <w:lang w:eastAsia="zh-CN"/>
        </w:rPr>
        <w:t>（此件公开发布）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eastAsia="方正仿宋_GBK" w:cs="方正仿宋_GBK"/>
          <w:sz w:val="32"/>
          <w:szCs w:val="32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right="0" w:hanging="0"/>
        <w:jc w:val="center"/>
        <w:textAlignment w:val="auto"/>
        <w:rPr>
          <w:rFonts w:ascii="Times New Roman" w:hAnsi="Times New Roman" w:eastAsia="方正小标宋_GBK" w:cs="方正小标宋_GBK"/>
          <w:sz w:val="44"/>
          <w:szCs w:val="44"/>
        </w:rPr>
      </w:pPr>
      <w:r>
        <w:rPr>
          <w:rFonts w:ascii="Times New Roman" w:hAnsi="Times New Roman" w:cs="方正小标宋_GBK" w:eastAsia="方正小标宋_GBK"/>
          <w:sz w:val="44"/>
          <w:szCs w:val="44"/>
        </w:rPr>
        <w:t>美丽</w:t>
      </w:r>
      <w:r>
        <w:rPr>
          <w:rFonts w:ascii="Times New Roman" w:hAnsi="Times New Roman" w:cs="方正小标宋_GBK" w:eastAsia="方正小标宋_GBK"/>
          <w:sz w:val="44"/>
          <w:szCs w:val="44"/>
          <w:lang w:val="en-US" w:eastAsia="zh-CN"/>
        </w:rPr>
        <w:t>重庆</w:t>
      </w:r>
      <w:r>
        <w:rPr>
          <w:rFonts w:ascii="Times New Roman" w:hAnsi="Times New Roman" w:cs="方正小标宋_GBK" w:eastAsia="方正小标宋_GBK"/>
          <w:sz w:val="44"/>
          <w:szCs w:val="44"/>
        </w:rPr>
        <w:t>建设全民行动促进计划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right="0" w:hanging="0"/>
        <w:jc w:val="center"/>
        <w:textAlignment w:val="auto"/>
        <w:rPr>
          <w:rFonts w:ascii="Times New Roman" w:hAnsi="Times New Roman" w:eastAsia="方正楷体_GBK" w:cs="方正楷体_GBK"/>
          <w:sz w:val="32"/>
          <w:szCs w:val="32"/>
        </w:rPr>
      </w:pPr>
      <w:r>
        <w:rPr>
          <w:rFonts w:ascii="Times New Roman" w:hAnsi="Times New Roman" w:cs="方正楷体_GBK" w:eastAsia="方正楷体_GBK"/>
          <w:sz w:val="32"/>
          <w:szCs w:val="32"/>
        </w:rPr>
        <w:t>（</w:t>
      </w:r>
      <w:r>
        <w:rPr>
          <w:rFonts w:eastAsia="方正楷体_GBK" w:cs="方正楷体_GBK"/>
          <w:sz w:val="32"/>
          <w:szCs w:val="32"/>
        </w:rPr>
        <w:t>2026</w:t>
      </w:r>
      <w:r>
        <w:rPr>
          <w:rFonts w:eastAsia="方正楷体_GBK" w:cs="方正楷体_GBK" w:ascii="方正楷体_GBK" w:hAnsi="方正楷体_GBK"/>
          <w:sz w:val="32"/>
          <w:szCs w:val="32"/>
        </w:rPr>
        <w:t>—</w:t>
      </w:r>
      <w:r>
        <w:rPr>
          <w:rFonts w:eastAsia="方正楷体_GBK" w:cs="方正楷体_GBK"/>
          <w:sz w:val="32"/>
          <w:szCs w:val="32"/>
        </w:rPr>
        <w:t>2030</w:t>
      </w:r>
      <w:r>
        <w:rPr>
          <w:rFonts w:ascii="Times New Roman" w:hAnsi="Times New Roman" w:cs="方正楷体_GBK" w:eastAsia="方正楷体_GBK"/>
          <w:sz w:val="32"/>
          <w:szCs w:val="32"/>
        </w:rPr>
        <w:t>年）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hanging="0"/>
        <w:jc w:val="center"/>
        <w:textAlignment w:val="auto"/>
        <w:rPr>
          <w:rFonts w:ascii="Times New Roman" w:hAnsi="Times New Roman" w:eastAsia="方正楷体_GBK" w:cs="方正楷体_GBK"/>
          <w:sz w:val="32"/>
          <w:szCs w:val="32"/>
        </w:rPr>
      </w:pPr>
      <w:r>
        <w:rPr>
          <w:rFonts w:eastAsia="方正楷体_GBK" w:cs="方正楷体_GBK"/>
          <w:sz w:val="32"/>
          <w:szCs w:val="32"/>
        </w:rPr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cs="方正仿宋_GBK" w:eastAsia="方正仿宋_GBK"/>
          <w:kern w:val="0"/>
          <w:sz w:val="32"/>
          <w:szCs w:val="32"/>
        </w:rPr>
        <w:t>为深入宣传贯彻习近平生态文明思想，</w:t>
      </w:r>
      <w:r>
        <w:rPr>
          <w:rFonts w:ascii="Times New Roman" w:hAnsi="Times New Roman" w:cs="方正仿宋_GBK" w:eastAsia="方正仿宋_GBK"/>
          <w:color w:val="000000"/>
          <w:kern w:val="0"/>
          <w:sz w:val="32"/>
          <w:szCs w:val="32"/>
          <w:lang w:val="en-US" w:eastAsia="zh-CN"/>
        </w:rPr>
        <w:t>引导全市上下牢固树立社会主义生态文明观，广泛动员社会各界积极参与和推动美丽重庆建设，依据党中央、国务院关于全面推进美丽中国建设的要求和“十五五”时期生态环境保护工作任务部署，以及</w:t>
      </w:r>
      <w:r>
        <w:rPr>
          <w:rFonts w:ascii="Times New Roman" w:hAnsi="Times New Roman" w:cs="方正仿宋_GBK" w:eastAsia="方正仿宋_GBK"/>
          <w:kern w:val="0"/>
          <w:sz w:val="32"/>
          <w:szCs w:val="32"/>
          <w:lang w:val="en-US" w:eastAsia="zh-CN"/>
        </w:rPr>
        <w:t>生态环境部、中央宣传部、中央社会工作部、教育部、共青团中央、全国妇联</w:t>
      </w:r>
      <w:r>
        <w:rPr>
          <w:rFonts w:ascii="Times New Roman" w:hAnsi="Times New Roman" w:cs="方正仿宋_GBK" w:eastAsia="方正仿宋_GBK"/>
          <w:spacing w:val="6"/>
          <w:kern w:val="0"/>
          <w:sz w:val="32"/>
          <w:szCs w:val="32"/>
          <w:lang w:val="en-US" w:eastAsia="zh-CN"/>
        </w:rPr>
        <w:t>《关于印发〈美丽中国建设全民行动促进计划（</w:t>
      </w:r>
      <w:r>
        <w:rPr>
          <w:rFonts w:eastAsia="方正仿宋_GBK" w:cs="方正仿宋_GBK"/>
          <w:spacing w:val="6"/>
          <w:kern w:val="0"/>
          <w:sz w:val="32"/>
          <w:szCs w:val="32"/>
          <w:lang w:val="en-US" w:eastAsia="zh-CN"/>
        </w:rPr>
        <w:t>2026</w:t>
      </w:r>
      <w:r>
        <w:rPr>
          <w:rFonts w:eastAsia="方正仿宋_GBK" w:cs="方正仿宋_GBK" w:ascii="方正仿宋_GBK" w:hAnsi="方正仿宋_GBK"/>
          <w:spacing w:val="6"/>
          <w:kern w:val="0"/>
          <w:sz w:val="32"/>
          <w:szCs w:val="32"/>
          <w:lang w:val="en-US" w:eastAsia="zh-CN"/>
        </w:rPr>
        <w:t>—</w:t>
      </w:r>
      <w:r>
        <w:rPr>
          <w:rFonts w:eastAsia="方正仿宋_GBK" w:cs="方正仿宋_GBK"/>
          <w:spacing w:val="6"/>
          <w:kern w:val="0"/>
          <w:sz w:val="32"/>
          <w:szCs w:val="32"/>
          <w:lang w:val="en-US" w:eastAsia="zh-CN"/>
        </w:rPr>
        <w:t>2030</w:t>
      </w:r>
      <w:r>
        <w:rPr>
          <w:rFonts w:ascii="Times New Roman" w:hAnsi="Times New Roman" w:cs="方正仿宋_GBK" w:eastAsia="方正仿宋_GBK"/>
          <w:spacing w:val="6"/>
          <w:kern w:val="0"/>
          <w:sz w:val="32"/>
          <w:szCs w:val="32"/>
          <w:lang w:val="en-US" w:eastAsia="zh-CN"/>
        </w:rPr>
        <w:t>年）〉</w:t>
      </w:r>
      <w:r>
        <w:rPr>
          <w:rFonts w:ascii="Times New Roman" w:hAnsi="Times New Roman" w:cs="方正仿宋_GBK" w:eastAsia="方正仿宋_GBK"/>
          <w:kern w:val="0"/>
          <w:sz w:val="32"/>
          <w:szCs w:val="32"/>
          <w:lang w:val="en-US" w:eastAsia="zh-CN"/>
        </w:rPr>
        <w:t>的</w:t>
      </w:r>
      <w:r>
        <w:rPr>
          <w:rFonts w:ascii="Times New Roman" w:hAnsi="Times New Roman" w:cs="方正仿宋_GBK" w:eastAsia="方正仿宋_GBK"/>
          <w:spacing w:val="6"/>
          <w:kern w:val="0"/>
          <w:sz w:val="32"/>
          <w:szCs w:val="32"/>
          <w:lang w:val="en-US" w:eastAsia="zh-CN"/>
        </w:rPr>
        <w:t>通知》（环宣教〔</w:t>
      </w:r>
      <w:r>
        <w:rPr>
          <w:rFonts w:eastAsia="方正仿宋_GBK" w:cs="方正仿宋_GBK"/>
          <w:spacing w:val="6"/>
          <w:kern w:val="0"/>
          <w:sz w:val="32"/>
          <w:szCs w:val="32"/>
          <w:lang w:val="en-US" w:eastAsia="zh-CN"/>
        </w:rPr>
        <w:t>2026</w:t>
      </w:r>
      <w:r>
        <w:rPr>
          <w:rFonts w:ascii="Times New Roman" w:hAnsi="Times New Roman" w:cs="方正仿宋_GBK" w:eastAsia="方正仿宋_GBK"/>
          <w:spacing w:val="6"/>
          <w:kern w:val="0"/>
          <w:sz w:val="32"/>
          <w:szCs w:val="32"/>
          <w:lang w:val="en-US" w:eastAsia="zh-CN"/>
        </w:rPr>
        <w:t>〕</w:t>
      </w:r>
      <w:r>
        <w:rPr>
          <w:rFonts w:eastAsia="方正仿宋_GBK" w:cs="方正仿宋_GBK"/>
          <w:spacing w:val="6"/>
          <w:kern w:val="0"/>
          <w:sz w:val="32"/>
          <w:szCs w:val="32"/>
          <w:lang w:val="en-US" w:eastAsia="zh-CN"/>
        </w:rPr>
        <w:t>35</w:t>
      </w:r>
      <w:r>
        <w:rPr>
          <w:rFonts w:ascii="Times New Roman" w:hAnsi="Times New Roman" w:cs="方正仿宋_GBK" w:eastAsia="方正仿宋_GBK"/>
          <w:spacing w:val="6"/>
          <w:kern w:val="0"/>
          <w:sz w:val="32"/>
          <w:szCs w:val="32"/>
          <w:lang w:val="en-US" w:eastAsia="zh-CN"/>
        </w:rPr>
        <w:t>号）要求，结合重庆实际，</w:t>
      </w:r>
      <w:r>
        <w:rPr>
          <w:rFonts w:ascii="Times New Roman" w:hAnsi="Times New Roman" w:cs="方正仿宋_GBK" w:eastAsia="方正仿宋_GBK"/>
          <w:color w:val="000000"/>
          <w:spacing w:val="6"/>
          <w:kern w:val="0"/>
          <w:sz w:val="32"/>
          <w:szCs w:val="32"/>
          <w:lang w:val="en-US" w:eastAsia="zh-CN"/>
        </w:rPr>
        <w:t>制定本计划。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黑体_GBK" w:eastAsia="方正黑体_GBK"/>
          <w:color w:val="000000"/>
          <w:sz w:val="32"/>
          <w:szCs w:val="32"/>
          <w:lang w:val="en-US" w:eastAsia="zh-CN"/>
        </w:rPr>
        <w:t>一、总体要求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坚持以习近平新时代中国特色社会主义思想为指导，深入贯彻党的二十大和二十届历次全会精神，全面贯彻习近平生态文明思想和习近平文化思想，落实全国生态环境保护大会精神，坚持以人民为中心的发展思想，深化生态文明研究、宣传、教育与传播，大力培育弘扬巴山渝水生态文化，健全完善美丽重庆建设全民行动体系，激发全社会共同呵护生态环境的内生动力，引导全社会践行绿色低碳生活方式，为加快推进省域美丽中国先行区建设提供坚强思想保证、坚实文化根基和深厚社会基础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到</w:t>
      </w: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2030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年，习近平生态文明思想更加深入人心，生态文明主流价值观牢固树立，美丽重庆建设文化支撑更加坚实，公众生态文明素养显著提升，建设美丽重庆成为全体市民的自觉行动，</w:t>
      </w:r>
      <w:r>
        <w:rPr>
          <w:rFonts w:ascii="Times New Roman" w:hAnsi="Times New Roman" w:cs="方正仿宋_GBK" w:eastAsia="方正仿宋_GBK"/>
          <w:color w:val="000000"/>
          <w:spacing w:val="6"/>
          <w:sz w:val="32"/>
          <w:szCs w:val="32"/>
          <w:lang w:val="en-US" w:eastAsia="zh-CN"/>
        </w:rPr>
        <w:t>绿</w:t>
      </w:r>
      <w:r>
        <w:rPr>
          <w:rFonts w:ascii="Times New Roman" w:hAnsi="Times New Roman" w:cs="方正仿宋_GBK" w:eastAsia="方正仿宋_GBK"/>
          <w:color w:val="000000"/>
          <w:spacing w:val="0"/>
          <w:sz w:val="32"/>
          <w:szCs w:val="32"/>
          <w:lang w:val="en-US" w:eastAsia="zh-CN"/>
        </w:rPr>
        <w:t>色低碳生活方式蔚然成风，美丽重庆建设全民行动体系基本形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成。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黑体_GBK" w:cs="方正黑体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黑体_GBK" w:eastAsia="方正黑体_GBK"/>
          <w:color w:val="000000"/>
          <w:sz w:val="32"/>
          <w:szCs w:val="32"/>
          <w:lang w:val="en-US" w:eastAsia="zh-CN"/>
        </w:rPr>
        <w:t>二、主要任务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2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楷体_GBK" w:cs="方正楷体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楷体_GBK" w:eastAsia="方正楷体_GBK"/>
          <w:color w:val="000000"/>
          <w:sz w:val="32"/>
          <w:szCs w:val="32"/>
          <w:lang w:val="en-US" w:eastAsia="zh-CN"/>
        </w:rPr>
        <w:t>深化习近平生态文明思想研究宣传，筑牢全民行动思想根基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将学习宣传贯彻习近平生态文明思想作为长期首要政治任务，深化理论研究、学习宣传、实践推广、国际传播，把学习贯彻习近平生态文明思想不断引向深入。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1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．加强习近平生态文明思想理论研究。深化习近平生态文明思想的学理化阐释和大众化传播研究，进一步建好用好生态文明传播研究中心。积极开展习近平生态文明思想与习近平文化思想贯通研究，围绕长江大保护与长江文明等课题，形成一批研究成果。积极参与习近平生态文明思想交流研讨，加强践行习近平生态文明思想、增加民生福祉等方面的典型实践案例总结推广，凝炼形成一批践行习近平生态文明思想优秀案例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2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．强化习近平生态文明思想学习宣传。推动习近平生态文明思想纳入各级党委（党组）理论学习中心组学习内容，纳入各级党校（行政学院）、干部学院、社会主义学院干部教育培训课程，依托“绿水青山就是金山银山”实践创新基地开展实景案例教学；纳入学校教育相关课程，按照国家统一要求，在高校推广使用专题教学讲义；依托共青团组织“三会两制一课”和少先队队会队课队日开展学习教育。深化美丽重庆宣讲队伍建设，广泛开展宣讲活动。发挥党报党刊、广播电视等阵地作用，推出更多优秀理论文章、理论宣讲节目，策划推出大型理论电视节目《思想的力量》第五季“学思践悟习近平生态文明思想”。挖掘践行习近平生态文明思想、推进美丽重庆建设的生动实践和鲜活案例，加强生态文明政策举措和进展成效的宣传报道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．强化习近平生态文明思想国际传播。加强美丽重庆国际传播阵地建设，积极承接国家层面生态文明国际传播任务，依托应对气候变化、生物多样性保护等方面国际活动，推介重庆超大城市生态治理，分享重庆推进绿色低碳转型经验。加强中央驻渝外宣媒体和市内外宣媒体合作，策划推出优秀外宣产品，加强长江大保护、重庆崖柏等国际</w:t>
      </w: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IP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形象传播。深化重庆“鹰飞之城”等国际传播品牌建设，支持社会组织、网络博主对外讲好美丽重庆故事。支持外籍友人、海外网络名人、在渝留学生来渝体验生态变化，用亲身感受对外传播重庆生态文明建设成效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楷体_GBK" w:cs="方正楷体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楷体_GBK" w:eastAsia="方正楷体_GBK"/>
          <w:color w:val="000000"/>
          <w:sz w:val="32"/>
          <w:szCs w:val="32"/>
          <w:lang w:val="en-US" w:eastAsia="zh-CN"/>
        </w:rPr>
        <w:t>（二）推动生态文化传承发展，强化全民行动价值引领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健全以生态价值观念为准则的生态文化体系，推进生态文化的研究传承，丰富生态文化产品和服务供给，促进“生态文化</w:t>
      </w: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+</w:t>
      </w:r>
      <w:r>
        <w:rPr>
          <w:rFonts w:eastAsia="方正仿宋_GBK" w:cs="方正仿宋_GBK" w:ascii="方正仿宋_GBK" w:hAnsi="方正仿宋_GBK"/>
          <w:color w:val="000000"/>
          <w:sz w:val="32"/>
          <w:szCs w:val="32"/>
          <w:lang w:val="en-US" w:eastAsia="zh-CN"/>
        </w:rPr>
        <w:t>”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产业发展，推动生态文明成为主流价值观。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1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．丰富巴山渝水生态文化产品供给。传承中华优秀传统文化，开展优秀传统生态文化资源征集，开展全市红色生态文化资源调查整理。加大对生态文学和艺术创作的支持力度，持续组织开展生态文学采风等活动，探索推动网络生态文艺，推出更多反映长江大保护、美丽重庆建设和一体推进“九治”攻坚的生态文化作品。积极参加生态文学精品创作计划，深化“川渝生态文学”采风活动品牌，开展重庆“生态文学周”活动，产出更多高质量的生态文学精品。加强跨界合作，引导公众参与生态文艺创作展演、生态文创产品开发，推出更多群众喜闻乐见的优质生态文化产品。鼓励各区县结合本地实际，打造具有重庆辨识度的生态文化品牌，全面提升大足石刻、武隆喀斯特、南川金佛山等生态文化品牌的美誉度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eastAsia="方正仿宋_GBK" w:cs="方正仿宋_GBK"/>
          <w:sz w:val="32"/>
          <w:szCs w:val="32"/>
          <w:lang w:val="en-US" w:eastAsia="zh-CN"/>
        </w:rPr>
        <w:t>2</w:t>
      </w:r>
      <w:r>
        <w:rPr>
          <w:rFonts w:ascii="Times New Roman" w:hAnsi="Times New Roman" w:cs="方正仿宋_GBK" w:eastAsia="方正仿宋_GBK"/>
          <w:sz w:val="32"/>
          <w:szCs w:val="32"/>
          <w:lang w:val="en-US" w:eastAsia="zh-CN"/>
        </w:rPr>
        <w:t>．拓展生态文化公共服务空间。推动生态文化元素深度融入“美丽系列”建设、生态文明建设示范区、“绿水青山就是金山银山”实践创新基地、自然保护地等，丰富生态文化内涵，推出美丽重庆打卡点，打造长江滨江休闲带、渝西千年生态成渝古道生态文化景观带、渝东北壮美长江生态文化景观带、渝东南武陵山区多彩风情生态文化景观带。充分利用博物馆、展览馆、科教馆、科研院所等，</w:t>
      </w:r>
      <w:r>
        <w:rPr>
          <w:rFonts w:ascii="Times New Roman" w:hAnsi="Times New Roman" w:cs="方正仿宋_GBK" w:eastAsia="方正仿宋_GBK"/>
          <w:sz w:val="32"/>
          <w:szCs w:val="32"/>
          <w:lang w:eastAsia="zh-CN"/>
        </w:rPr>
        <w:t>打造群众可感知、可体验的生态文化场景，</w:t>
      </w:r>
      <w:r>
        <w:rPr>
          <w:rFonts w:eastAsia="方正仿宋_GBK" w:cs="方正仿宋_GBK"/>
          <w:sz w:val="32"/>
          <w:szCs w:val="32"/>
          <w:lang w:eastAsia="zh-CN"/>
        </w:rPr>
        <w:t>20</w:t>
      </w:r>
      <w:r>
        <w:rPr>
          <w:rFonts w:eastAsia="方正仿宋_GBK" w:cs="方正仿宋_GBK"/>
          <w:sz w:val="32"/>
          <w:szCs w:val="32"/>
          <w:lang w:val="en-US" w:eastAsia="zh-CN"/>
        </w:rPr>
        <w:t>30</w:t>
      </w:r>
      <w:r>
        <w:rPr>
          <w:rFonts w:ascii="Times New Roman" w:hAnsi="Times New Roman" w:cs="方正仿宋_GBK" w:eastAsia="方正仿宋_GBK"/>
          <w:sz w:val="32"/>
          <w:szCs w:val="32"/>
          <w:lang w:eastAsia="zh-CN"/>
        </w:rPr>
        <w:t>年前建成</w:t>
      </w:r>
      <w:r>
        <w:rPr>
          <w:rFonts w:eastAsia="方正仿宋_GBK" w:cs="方正仿宋_GBK"/>
          <w:sz w:val="32"/>
          <w:szCs w:val="32"/>
          <w:lang w:eastAsia="zh-CN"/>
        </w:rPr>
        <w:t>10</w:t>
      </w:r>
      <w:r>
        <w:rPr>
          <w:rFonts w:eastAsia="方正仿宋_GBK" w:cs="方正仿宋_GBK"/>
          <w:sz w:val="32"/>
          <w:szCs w:val="32"/>
          <w:lang w:val="en-US" w:eastAsia="zh-CN"/>
        </w:rPr>
        <w:t>0</w:t>
      </w:r>
      <w:r>
        <w:rPr>
          <w:rFonts w:ascii="Times New Roman" w:hAnsi="Times New Roman" w:cs="方正仿宋_GBK" w:eastAsia="方正仿宋_GBK"/>
          <w:sz w:val="32"/>
          <w:szCs w:val="32"/>
          <w:lang w:eastAsia="zh-CN"/>
        </w:rPr>
        <w:t>个生态文化综合阵地。依托社区、商圈、公园等人员密集场所，</w:t>
      </w:r>
      <w:r>
        <w:rPr>
          <w:rFonts w:ascii="Times New Roman" w:hAnsi="Times New Roman" w:cs="方正仿宋_GBK" w:eastAsia="方正仿宋_GBK"/>
          <w:sz w:val="32"/>
          <w:szCs w:val="32"/>
          <w:lang w:val="en-US" w:eastAsia="zh-CN"/>
        </w:rPr>
        <w:t>做优做强“生态书香”全民阅读、</w:t>
      </w:r>
      <w:r>
        <w:rPr>
          <w:rFonts w:ascii="Times New Roman" w:hAnsi="Times New Roman" w:cs="方正仿宋_GBK" w:eastAsia="方正仿宋_GBK"/>
          <w:sz w:val="32"/>
          <w:szCs w:val="32"/>
          <w:lang w:eastAsia="zh-CN"/>
        </w:rPr>
        <w:t>“青山书角”</w:t>
      </w:r>
      <w:r>
        <w:rPr>
          <w:rFonts w:ascii="Times New Roman" w:hAnsi="Times New Roman" w:cs="方正仿宋_GBK" w:eastAsia="方正仿宋_GBK"/>
          <w:sz w:val="32"/>
          <w:szCs w:val="32"/>
          <w:lang w:val="en-US" w:eastAsia="zh-CN"/>
        </w:rPr>
        <w:t>等品牌，为公众提供更便捷的生态文化服务</w:t>
      </w:r>
      <w:r>
        <w:rPr>
          <w:rFonts w:ascii="Times New Roman" w:hAnsi="Times New Roman" w:cs="方正仿宋_GBK" w:eastAsia="方正仿宋_GBK"/>
          <w:sz w:val="32"/>
          <w:szCs w:val="32"/>
          <w:lang w:eastAsia="zh-CN"/>
        </w:rPr>
        <w:t>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eastAsia="方正仿宋_GBK" w:cs="方正仿宋_GBK"/>
          <w:sz w:val="32"/>
          <w:szCs w:val="32"/>
          <w:lang w:val="en-US" w:eastAsia="zh-CN"/>
        </w:rPr>
        <w:t>3</w:t>
      </w:r>
      <w:r>
        <w:rPr>
          <w:rFonts w:ascii="Times New Roman" w:hAnsi="Times New Roman" w:cs="方正仿宋_GBK" w:eastAsia="方正仿宋_GBK"/>
          <w:sz w:val="32"/>
          <w:szCs w:val="32"/>
          <w:lang w:val="en-US" w:eastAsia="zh-CN"/>
        </w:rPr>
        <w:t>．促进“生态文化</w:t>
      </w:r>
      <w:r>
        <w:rPr>
          <w:rFonts w:eastAsia="方正仿宋_GBK" w:cs="方正仿宋_GBK"/>
          <w:sz w:val="32"/>
          <w:szCs w:val="32"/>
          <w:lang w:val="en-US" w:eastAsia="zh-CN"/>
        </w:rPr>
        <w:t>+</w:t>
      </w:r>
      <w:r>
        <w:rPr>
          <w:rFonts w:eastAsia="方正仿宋_GBK" w:cs="方正仿宋_GBK" w:ascii="方正仿宋_GBK" w:hAnsi="方正仿宋_GBK"/>
          <w:sz w:val="32"/>
          <w:szCs w:val="32"/>
          <w:lang w:val="en-US" w:eastAsia="zh-CN"/>
        </w:rPr>
        <w:t>”</w:t>
      </w:r>
      <w:r>
        <w:rPr>
          <w:rFonts w:ascii="Times New Roman" w:hAnsi="Times New Roman" w:cs="方正仿宋_GBK" w:eastAsia="方正仿宋_GBK"/>
          <w:sz w:val="32"/>
          <w:szCs w:val="32"/>
          <w:lang w:val="en-US" w:eastAsia="zh-CN"/>
        </w:rPr>
        <w:t>产业发展。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鼓励生态环境优良、生态产品优质的地区，挖掘生态文化底蕴，创新生态文化“解码—激活—融合”全链条路径，串联红色、工业、移民、考古、生态等文化标识，集合推进生态文化精品旅游线路，以生态文化赋能生态价值转化为经济价值。加强本市生态环境图书出版，支持生态文明主题影视、美术、摄影等生态文化产业高质量发展，探索生态文化与科技融合，培育新型生态文化产业，支持生态文化与乡村旅游融合发展，支持打造一批具有生态文化底蕴和乡愁记忆的直播室、网络博主、生态文化非遗工坊，支持企业参与国家级绿色饭店评选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楷体_GBK" w:cs="方正楷体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楷体_GBK" w:eastAsia="方正楷体_GBK"/>
          <w:color w:val="000000"/>
          <w:sz w:val="32"/>
          <w:szCs w:val="32"/>
          <w:lang w:val="en-US" w:eastAsia="zh-CN"/>
        </w:rPr>
        <w:t>（三）加强生态环境宣传教育，提升全民行动素养能力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构建新闻宣传、社会宣传、国民教育协同推进的生态环境宣传教育体系，创新方式方法，全面提升公众生态文明认知水平、科学素养与实践能力。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1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．优化生态环境新闻宣传。聚焦美丽重庆建设重点任务，精心策划新闻发布内容，加强政策解读和典型案例传播，深化完善新闻发布机制，联合市级相关部门在市政府新闻办、市生态环境局召开新闻发布，各区县开展好美丽重庆新闻发布，做好正面宣传。创新新闻发布形式，用好“发言人来了”平台，推动发布工作向基层下沉，探索场景式新闻发布和多场景、多部门、跨区域联合发布模式，吸纳多方力量参与。常态化开展主题采访和媒体采风活动，讲好美丽重庆故事。加强舆情监测与分析研判，深化舆情应对处置闭环管控机制和部门协同协作，及时回应社会关切，推动解决群众关心的突出生态环境问题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b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2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．做强生态环境社会宣传。聚焦全国生态日，集中展示全市生态文明建设成效，充分展现筑牢长江上游重要生态屏障，主动融入长江经济带建设的亮点举措。利用六五世界环境日、国际生物多样性日、全国低碳日、全国放鱼日等开展社会宣传活动，打造年度主题</w:t>
      </w: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IP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。以巴渝大地生态蝶变故事讲述，推动绿色低碳理念融入百姓日常生产生活，着力构建全民共建共治共享的社会治理格局。结合巴山渝水人文特色，创新社会宣传方式方法，用群众新闻乐见的方式，线上与线下相结合，联动开展社会宣传，共同讲好美丽重庆建设故事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3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．夯实生态文明国民教育。贯彻落实《重庆市生态文明宣传教育条例》，推动生态文明理念进教材、进课堂、进头脑。分年龄阶段开发生态文明教育科普读物，推进环境保护职业教育发展，开展生态文明教育实践活动，加强“生态文明开学第一课”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"/>
        </w:rPr>
        <w:t>、生态文明思政课等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品牌建设。举办中学生水科技发明比赛、青少年生物多样性探究大赛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"/>
        </w:rPr>
        <w:t>等赛事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。依托环保设施开放点位、自然教育基地等常态化开展生态文明研学实践活动。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"/>
        </w:rPr>
        <w:t>加强生态健康理念、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核安全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"/>
        </w:rPr>
        <w:t>等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科普知识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"/>
        </w:rPr>
        <w:t>宣传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-CN"/>
        </w:rPr>
      </w:pPr>
      <w:r>
        <w:rPr>
          <w:rFonts w:eastAsia="方正仿宋_GBK" w:cs="方正仿宋_GBK"/>
          <w:color w:val="000000"/>
          <w:sz w:val="32"/>
          <w:szCs w:val="32"/>
          <w:lang w:val="en-US" w:eastAsia="zh-CN"/>
        </w:rPr>
        <w:t>4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．做大美丽重庆融媒体矩阵。优化</w:t>
      </w:r>
      <w:r>
        <w:rPr>
          <w:rFonts w:ascii="Times New Roman" w:hAnsi="Times New Roman" w:cs="方正仿宋_GBK" w:eastAsia="方正仿宋_GBK"/>
          <w:sz w:val="32"/>
          <w:szCs w:val="32"/>
          <w:lang w:val="en-US" w:eastAsia="zh-CN"/>
        </w:rPr>
        <w:t>美丽重庆融媒体矩阵，全市统一打造“美丽”系列宣传矩阵，做大做强微信公众号、视频号、微博号，优化整合抖音、小红书账号内容。建立区县优质新闻线索报送、精品宣传产品供给、矩阵联动转发传播工作机制。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开设民生留言板块，答疑回访，打通线上互动渠道。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"/>
        </w:rPr>
        <w:t>结合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环保设施云开放、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"/>
        </w:rPr>
        <w:t>美丽重庆打卡点</w:t>
      </w:r>
      <w:r>
        <w:rPr>
          <w:rFonts w:ascii="Times New Roman" w:hAnsi="Times New Roman" w:cs="方正仿宋_GBK" w:eastAsia="方正仿宋_GBK"/>
          <w:color w:val="000000"/>
          <w:kern w:val="2"/>
          <w:sz w:val="32"/>
          <w:szCs w:val="32"/>
          <w:lang w:val="en-US" w:eastAsia="zh-CN" w:bidi="ar-SA"/>
        </w:rPr>
        <w:t>等主题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开展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"/>
        </w:rPr>
        <w:t>生态环境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主题直播</w:t>
      </w:r>
      <w:r>
        <w:rPr>
          <w:rFonts w:ascii="Times New Roman" w:hAnsi="Times New Roman" w:cs="方正仿宋_GBK" w:eastAsia="方正仿宋_GBK"/>
          <w:color w:val="000000"/>
          <w:kern w:val="2"/>
          <w:sz w:val="32"/>
          <w:szCs w:val="32"/>
          <w:lang w:val="en-US" w:eastAsia="zh-CN" w:bidi="ar-SA"/>
        </w:rPr>
        <w:t>。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实施优质短视频生产计划，推出环保精品影视作品，开发类型多样的新媒体传播产品。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"/>
        </w:rPr>
        <w:t>加强与媒体、网络平台、环保达人自媒体的内容共创，</w:t>
      </w: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实现矩阵联通。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楷体_GBK" w:cs="方正楷体_GBK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cs="方正楷体_GBK" w:eastAsia="方正楷体_GBK"/>
          <w:color w:val="000000"/>
          <w:sz w:val="32"/>
          <w:szCs w:val="32"/>
          <w:lang w:val="en-US" w:eastAsia="zh-CN"/>
        </w:rPr>
        <w:t>（四）促进社会各界广泛参与，构建全民行动协同体系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74"/>
        <w:ind w:firstLine="632"/>
        <w:jc w:val="both"/>
        <w:textAlignment w:val="auto"/>
        <w:rPr>
          <w:rFonts w:ascii="Times New Roman" w:hAnsi="Times New Roman" w:eastAsia="方正仿宋_GBK" w:cs="方正仿宋_GBK"/>
          <w:color w:val="000000"/>
          <w:sz w:val="32"/>
          <w:szCs w:val="32"/>
          <w:lang w:val="en-US" w:eastAsia="zh"/>
        </w:rPr>
      </w:pPr>
      <w:r>
        <w:rPr>
          <w:rFonts w:ascii="Times New Roman" w:hAnsi="Times New Roman" w:cs="方正仿宋_GBK" w:eastAsia="方正仿宋_GBK"/>
          <w:color w:val="000000"/>
          <w:sz w:val="32"/>
          <w:szCs w:val="32"/>
          <w:lang w:val="en-US" w:eastAsia="zh-CN"/>
        </w:rPr>
        <w:t>持续开展“美丽中国，我是行动者”系列活动，强化对各类社会主体的引导，激发园区、企业、社会组织、公众等多方共建合力。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仿宋_GBK" w:cs="方正仿宋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1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．深化园区企业宣传教育功能。加强园区减污降碳宣传教育引导，鼓励打造特色宣传品牌，开展生态工业、节能减排、循环经济、低碳环保、核与辐射安全等主题宣传教育活动，搭建园区内企业互动平台，组织推进公众走进园区，了解园区、企业生态环境治理工作。深化环保设施向公众开放工作，支持有条件、有能力、有意愿的企业应开尽开，创新线上沉浸式参观、线下体验式参与模式，探索“参观</w:t>
      </w: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+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研学</w:t>
      </w: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+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文旅</w:t>
      </w: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+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消费”融合路径，提升开放质效和安全管理水平。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仿宋_GBK" w:cs="方正仿宋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2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．发挥社会力量动员效能。发挥群团组织优势，深化“美丽中国</w:t>
      </w: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·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青春行动”“保护母亲河”等品牌，组织开展青少年生态环保实践活动。引导广大家庭自觉践行节能降碳行为，开展“美丽庭院”建设。广泛凝聚科技工作者力量，积极参与生态环境保护、高水平科技咨询与学术交流以及生态环境科普宣传。发挥行业协会、商会桥梁纽带作用，推动建立健全有关行业自律规范，强化正向激励引导。加强环保社会组织建设，提升参与基层生态环境治理能力。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仿宋_GBK" w:cs="方正仿宋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3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．拓宽公众参与渠道。组织开展更多形式多样、贴近群众的实践体验活动，深化美丽重庆进机关、进企业、进学校、进社区、进乡村、进网络“六进”宣传活动，常态化开展沿江亲子徒步活动、全民摄影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" w:bidi="ar-SA"/>
        </w:rPr>
        <w:t>、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短视频征集、环保知识趣味游园会等活动，为公众参与生态环境保护事务创造条件。深化全市生态环境志愿服务体系建设，提升志愿服务水平、拓宽公众参与志愿服务渠道、丰富志愿服务内容，宣传推广“志愿重庆”数字应用，全流程赋能志愿服务，培育管理规范、素质过硬的志愿服务队伍。持续打造“美丽重庆，志愿有我”“渝你共美”“共护美丽长江”等志愿服务品牌项目。统筹生态文化阵地和志愿服务阵地建设，积极推进“生态惠民服务角”“院坝环保茶话会”等志愿服务阵地建设。加大优秀生态环境志愿者培育、推广、选树力度，发挥志愿服务典型引领示范作用。贯彻落实“文明实践</w:t>
      </w: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+</w:t>
      </w:r>
      <w:r>
        <w:rPr>
          <w:rFonts w:eastAsia="方正仿宋_GBK" w:cs="方正仿宋_GBK" w:ascii="方正仿宋_GBK" w:hAnsi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”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工程，常态化开展“文明实践我行动”。完善生态环境监督和举报反馈机制，鼓励公众依法监督举报生态环境违法行为。</w:t>
      </w:r>
    </w:p>
    <w:p>
      <w:pPr>
        <w:pStyle w:val="Heading3"/>
        <w:keepNext w:val="false"/>
        <w:keepLines w:val="false"/>
        <w:pageBreakBefore w:val="false"/>
        <w:widowControl w:val="false"/>
        <w:numPr>
          <w:ilvl w:val="0"/>
          <w:numId w:val="3"/>
        </w:numPr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楷体_GBK" w:cs="方正楷体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cs="方正楷体_GBK" w:eastAsia="方正楷体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引导生活方式绿色转型，营造全民行动社会风尚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仿宋_GBK" w:cs="方正仿宋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通过理念推广、行为引导、激励评价，推动简约适度、绿色低碳、文明健康的生活方式和消费模式融入社会生活各场景，让绿色生活成为社会共识和自觉行动。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仿宋_GBK" w:cs="方正仿宋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1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．加强绿色低碳理念普及推广。深入宣传引导公众践行《公民生态环境行为规范十条》，开展青少年“公民十条”暑假实践、低碳达人寻访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" w:bidi="ar-SA"/>
        </w:rPr>
        <w:t>等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活动。鼓励村社普及节水节电、垃圾分类、减塑降噪等绿色生活常识。利用商圈、公交场站、城市公园等社会公共空间和生活服务平台，加大公益广告投放力度，宣传绿色低碳理论，展示绿色生活典型实践。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仿宋_GBK" w:cs="方正仿宋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2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．聚焦重点领域绿色行为养成。深入推进“光盘行动”，积极参与“青春守护中国粮”全国青少年粮食节约行动，大力倡导轨道交通、公交、步行等绿色出行。结合爱国卫生运动，推动文明健康生活方式养成。结合全域“无废城市”建设，深化垃圾分类科普宣传。倡导绿色旅游理念，引导游客减少一次性用品使用，自觉保护景区生态环境。加大绿色产品认证、标识科普宣传，提升公众辨识能力和绿色消费意愿。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仿宋_GBK" w:cs="方正仿宋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3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．构建科学的激励评价机制。开展重庆市公民生态环境行为调查，科学评估绿色行为转变情况，为精准施策提供数据支撑。用好“碳惠通”平台，聚焦公众吃、穿、住、行、用、游等各领域，健全完善多元激励机制，强化正向引导，激发全民践行绿色低碳行为的内生动力。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黑体_GBK" w:cs="方正黑体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cs="方正黑体_GBK" w:eastAsia="方正黑体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三、保障措施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楷体_GBK" w:cs="方正楷体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cs="方正楷体_GBK" w:eastAsia="方正楷体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（一）加强组织领导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仿宋_GBK" w:cs="方正仿宋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建立多部门协同配合的工作机制，明确职责分工，强化统筹协调。鼓励各区县结合实际统筹资源平台，优化工作布局，构建美丽重庆建设全民行动促进工作大格局。建立以政府投入为主、社会力量参与的多元筹资机制，落实必要经费支持和政策保障，推动各项任务落地见效。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楷体_GBK" w:cs="方正楷体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cs="方正楷体_GBK" w:eastAsia="方正楷体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（二）强化能力建设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仿宋_GBK" w:cs="方正仿宋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加强生态环境宣传教育队伍建设，提升专业素养与业务能力，打造政治过硬、本领高强、求实创新、能打胜仗的宣传队伍。建立“宣传</w:t>
      </w:r>
      <w:r>
        <w:rPr>
          <w:rFonts w:eastAsia="方正仿宋_GBK" w:cs="方正仿宋_GBK" w:ascii="Times New Roman" w:hAnsi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+</w:t>
      </w: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业务”联动机制，实现业务出素材、宣传讲故事。强化科技赋能，运用数字化、智能化技术提升工作精准度和高效性。建立健全培训体系，组建覆盖宣传、文化、教育、公众参与等领域的专家库，为工作开展提供智力支撑。</w:t>
      </w:r>
    </w:p>
    <w:p>
      <w:pPr>
        <w:pStyle w:val="Heading3"/>
        <w:keepNext w:val="false"/>
        <w:keepLines w:val="false"/>
        <w:pageBreakBefore w:val="false"/>
        <w:widowControl w:val="false"/>
        <w:pBdr/>
        <w:kinsoku w:val="true"/>
        <w:overflowPunct w:val="true"/>
        <w:autoSpaceDE w:val="true"/>
        <w:bidi w:val="0"/>
        <w:snapToGrid w:val="true"/>
        <w:spacing w:lineRule="exact" w:line="574" w:before="0" w:after="0"/>
        <w:ind w:left="0" w:right="0" w:firstLine="632"/>
        <w:jc w:val="both"/>
        <w:textAlignment w:val="auto"/>
        <w:rPr>
          <w:rFonts w:ascii="Times New Roman" w:hAnsi="Times New Roman" w:eastAsia="方正楷体_GBK" w:cs="方正楷体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cs="方正楷体_GBK" w:eastAsia="方正楷体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（三）开展评估交流</w:t>
      </w:r>
    </w:p>
    <w:p>
      <w:pPr>
        <w:pStyle w:val="Normal"/>
        <w:keepNext w:val="false"/>
        <w:keepLines w:val="false"/>
        <w:pageBreakBefore w:val="false"/>
        <w:widowControl w:val="false"/>
        <w:numPr>
          <w:ilvl w:val="0"/>
          <w:numId w:val="0"/>
        </w:numPr>
        <w:kinsoku w:val="true"/>
        <w:overflowPunct w:val="true"/>
        <w:autoSpaceDE w:val="true"/>
        <w:bidi w:val="0"/>
        <w:snapToGrid w:val="true"/>
        <w:spacing w:lineRule="exact" w:line="574"/>
        <w:ind w:left="0" w:firstLine="632"/>
        <w:jc w:val="both"/>
        <w:textAlignment w:val="auto"/>
        <w:rPr>
          <w:rFonts w:ascii="Times New Roman" w:hAnsi="Times New Roman" w:eastAsia="方正仿宋_GBK" w:cs="方正仿宋_GBK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Times New Roman" w:hAnsi="Times New Roman" w:cs="方正仿宋_GBK" w:eastAsia="方正仿宋_GBK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  <w:t>建立调研评估工作机制，定期开展工作动态评估，跟踪任务推进情况，及时发现问题、解决问题，强化基层工作的帮扶指导。加强工作总结交流，分享先进经验，推广典型做法，提升生态环境宣传教育整体水平。</w:t>
      </w:r>
    </w:p>
    <w:p>
      <w:pPr>
        <w:pStyle w:val="Normal"/>
        <w:rPr>
          <w:rFonts w:ascii="Times New Roman" w:hAnsi="Times New Roman" w:eastAsia="方正仿宋_GBK" w:cs="Times New Roman"/>
          <w:b w:val="false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eastAsia="方正仿宋_GBK" w:cs="Times New Roman"/>
          <w:b w:val="false"/>
          <w:bCs w:val="false"/>
          <w:color w:val="000000"/>
          <w:kern w:val="2"/>
          <w:sz w:val="32"/>
          <w:szCs w:val="32"/>
          <w:lang w:val="en-US" w:eastAsia="zh-CN" w:bidi="ar-SA"/>
        </w:rPr>
      </w:r>
    </w:p>
    <w:p>
      <w:pPr>
        <w:pStyle w:val="Normal"/>
        <w:rPr>
          <w:rFonts w:ascii="Times New Roman" w:hAnsi="Times New Roman" w:eastAsia="方正仿宋_GBK" w:cs="Times New Roman"/>
          <w:color w:val="000000"/>
        </w:rPr>
      </w:pPr>
      <w:r>
        <w:rPr>
          <w:rFonts w:eastAsia="方正仿宋_GBK" w:cs="Times New Roman"/>
          <w:color w:val="000000"/>
        </w:rPr>
      </w:r>
    </w:p>
    <w:p>
      <w:pPr>
        <w:pStyle w:val="Normal"/>
        <w:rPr>
          <w:rFonts w:ascii="Times New Roman" w:hAnsi="Times New Roman" w:eastAsia="方正仿宋_GBK" w:cs="Times New Roman"/>
          <w:color w:val="000000"/>
        </w:rPr>
      </w:pPr>
      <w:r>
        <w:rPr>
          <w:rFonts w:eastAsia="方正仿宋_GBK" w:cs="Times New Roman"/>
          <w:color w:val="000000"/>
        </w:rPr>
      </w:r>
    </w:p>
    <w:p>
      <w:pPr>
        <w:pStyle w:val="Normal"/>
        <w:rPr>
          <w:rFonts w:ascii="Times New Roman" w:hAnsi="Times New Roman" w:eastAsia="方正仿宋_GBK" w:cs="Times New Roman"/>
          <w:color w:val="000000"/>
        </w:rPr>
      </w:pPr>
      <w:r>
        <w:rPr>
          <w:rFonts w:eastAsia="方正仿宋_GBK" w:cs="Times New Roman"/>
          <w:color w:val="000000"/>
        </w:rPr>
      </w:r>
    </w:p>
    <w:p>
      <w:pPr>
        <w:pStyle w:val="Normal"/>
        <w:snapToGrid w:val="false"/>
        <w:rPr>
          <w:rFonts w:ascii="Times New Roman" w:hAnsi="Times New Roman" w:eastAsia="方正仿宋_GBK" w:cs="Times New Roman"/>
          <w:color w:val="000000"/>
        </w:rPr>
      </w:pPr>
      <w:r>
        <w:rPr>
          <w:rFonts w:eastAsia="方正仿宋_GBK" w:cs="Times New Roman"/>
          <w:color w:val="000000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false"/>
        <w:textAlignment w:val="auto"/>
        <w:rPr>
          <w:rFonts w:ascii="Times New Roman" w:hAnsi="Times New Roman" w:eastAsia="方正仿宋_GBK" w:cs="Times New Roman"/>
          <w:color w:val="000000"/>
        </w:rPr>
      </w:pPr>
      <w:r>
        <w:rPr>
          <w:rFonts w:eastAsia="方正仿宋_GBK" w:cs="Times New Roman"/>
          <w:color w:val="000000"/>
        </w:rPr>
      </w:r>
    </w:p>
    <w:p>
      <w:pPr>
        <w:pStyle w:val="Normal"/>
        <w:rPr>
          <w:rFonts w:ascii="Times New Roman" w:hAnsi="Times New Roman" w:eastAsia="方正仿宋_GBK" w:cs="Times New Roman"/>
          <w:color w:val="000000"/>
        </w:rPr>
      </w:pPr>
      <w:r>
        <w:rPr>
          <w:rFonts w:eastAsia="方正仿宋_GBK" w:cs="Times New Roman"/>
          <w:color w:val="000000"/>
        </w:rPr>
      </w:r>
    </w:p>
    <w:p>
      <w:pPr>
        <w:pStyle w:val="Normal"/>
        <w:rPr>
          <w:rFonts w:ascii="Times New Roman" w:hAnsi="Times New Roman" w:eastAsia="方正仿宋_GBK" w:cs="Times New Roman"/>
          <w:color w:val="000000"/>
        </w:rPr>
      </w:pPr>
      <w:r>
        <w:rPr>
          <w:rFonts w:eastAsia="方正仿宋_GBK" w:cs="Times New Roman"/>
          <w:color w:val="000000"/>
        </w:rPr>
      </w:r>
    </w:p>
    <w:p>
      <w:pPr>
        <w:pStyle w:val="Normal"/>
        <w:pBdr>
          <w:top w:val="single" w:sz="8" w:space="1" w:color="000000"/>
          <w:bottom w:val="single" w:sz="8" w:space="1" w:color="000000"/>
        </w:pBdr>
        <w:spacing w:lineRule="auto" w:line="240"/>
        <w:ind w:left="1264" w:right="-3" w:hanging="1104"/>
        <w:jc w:val="left"/>
        <w:rPr/>
      </w:pPr>
      <w:r>
        <w:rPr>
          <w:rFonts w:eastAsia="Times New Roman" w:cs="Times New Roman"/>
          <w:spacing w:val="0"/>
          <w:sz w:val="28"/>
          <w:szCs w:val="28"/>
        </w:rPr>
        <w:t xml:space="preserve">  </w:t>
      </w:r>
      <w:r>
        <w:rPr>
          <w:rFonts w:ascii="Times New Roman" w:hAnsi="Times New Roman" w:cs="Times New Roman" w:eastAsia="方正仿宋_GBK"/>
          <w:spacing w:val="10"/>
          <w:kern w:val="2"/>
          <w:sz w:val="28"/>
          <w:szCs w:val="28"/>
        </w:rPr>
        <w:t>重庆市生态环境局办公室</w:t>
      </w:r>
      <w:r>
        <w:rPr>
          <w:rFonts w:ascii="Times New Roman" w:hAnsi="Times New Roman" w:cs="Times New Roman" w:eastAsia="Times New Roman"/>
          <w:spacing w:val="10"/>
          <w:kern w:val="2"/>
          <w:sz w:val="28"/>
          <w:szCs w:val="28"/>
        </w:rPr>
        <w:t xml:space="preserve">         </w:t>
      </w:r>
      <w:r>
        <w:rPr>
          <w:rFonts w:ascii="Times New Roman" w:hAnsi="Times New Roman" w:cs="Times New Roman" w:eastAsia="Times New Roman"/>
          <w:spacing w:val="10"/>
          <w:kern w:val="2"/>
          <w:sz w:val="28"/>
          <w:szCs w:val="28"/>
          <w:lang w:val="en-US" w:eastAsia="zh-CN"/>
        </w:rPr>
        <w:t xml:space="preserve">   </w:t>
      </w:r>
      <w:r>
        <w:rPr>
          <w:rFonts w:ascii="Times New Roman" w:hAnsi="Times New Roman" w:cs="Times New Roman" w:eastAsia="Times New Roman"/>
          <w:spacing w:val="10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spacing w:val="10"/>
          <w:kern w:val="2"/>
          <w:sz w:val="28"/>
          <w:szCs w:val="28"/>
          <w:lang w:val="en-US" w:eastAsia="zh-CN"/>
        </w:rPr>
        <w:t xml:space="preserve"> </w:t>
      </w:r>
      <w:r>
        <w:rPr>
          <w:rFonts w:eastAsia="方正仿宋_GBK" w:cs="Times New Roman"/>
          <w:spacing w:val="10"/>
          <w:kern w:val="2"/>
          <w:sz w:val="28"/>
          <w:szCs w:val="28"/>
          <w:lang w:val="en-US" w:eastAsia="zh-CN"/>
        </w:rPr>
        <w:t>2026</w:t>
      </w:r>
      <w:r>
        <w:rPr>
          <w:rFonts w:ascii="Times New Roman" w:hAnsi="Times New Roman" w:cs="Times New Roman" w:eastAsia="方正仿宋_GBK"/>
          <w:spacing w:val="10"/>
          <w:kern w:val="2"/>
          <w:sz w:val="28"/>
          <w:szCs w:val="28"/>
        </w:rPr>
        <w:t>年</w:t>
      </w:r>
      <w:r>
        <w:rPr>
          <w:rFonts w:eastAsia="方正仿宋_GBK" w:cs="Times New Roman"/>
          <w:spacing w:val="10"/>
          <w:kern w:val="2"/>
          <w:sz w:val="28"/>
          <w:szCs w:val="28"/>
          <w:lang w:val="en-US" w:eastAsia="zh-CN"/>
        </w:rPr>
        <w:t>9</w:t>
      </w:r>
      <w:r>
        <w:rPr>
          <w:rFonts w:ascii="Times New Roman" w:hAnsi="Times New Roman" w:cs="Times New Roman" w:eastAsia="方正仿宋_GBK"/>
          <w:spacing w:val="10"/>
          <w:kern w:val="2"/>
          <w:sz w:val="28"/>
          <w:szCs w:val="28"/>
        </w:rPr>
        <w:t>月</w:t>
      </w:r>
      <w:r>
        <w:rPr>
          <w:rFonts w:eastAsia="方正仿宋_GBK" w:cs="Times New Roman"/>
          <w:spacing w:val="10"/>
          <w:kern w:val="2"/>
          <w:sz w:val="28"/>
          <w:szCs w:val="28"/>
          <w:lang w:val="en-US" w:eastAsia="zh-CN"/>
        </w:rPr>
        <w:t>4</w:t>
      </w:r>
      <w:r>
        <w:rPr>
          <w:rFonts w:ascii="Times New Roman" w:hAnsi="Times New Roman" w:cs="Times New Roman" w:eastAsia="方正仿宋_GBK"/>
          <w:spacing w:val="10"/>
          <w:kern w:val="2"/>
          <w:sz w:val="28"/>
          <w:szCs w:val="28"/>
        </w:rPr>
        <w:t>日印发</w:t>
      </w:r>
      <w:r>
        <w:rPr>
          <w:rFonts w:ascii="Times New Roman" w:hAnsi="Times New Roman" w:cs="Times New Roman" w:eastAsia="Times New Roman"/>
          <w:spacing w:val="10"/>
          <w:kern w:val="2"/>
          <w:sz w:val="28"/>
          <w:szCs w:val="28"/>
          <w:lang w:val="en-US" w:eastAsia="zh-CN"/>
        </w:rPr>
        <w:t xml:space="preserve">  </w:t>
      </w:r>
    </w:p>
    <w:sectPr>
      <w:footerReference w:type="even" r:id="rId2"/>
      <w:footerReference w:type="default" r:id="rId3"/>
      <w:type w:val="nextPage"/>
      <w:pgSz w:w="11906" w:h="16838"/>
      <w:pgMar w:left="1588" w:right="1474" w:gutter="0" w:header="0" w:top="2098" w:footer="1474" w:bottom="1985"/>
      <w:pgNumType w:fmt="decimal"/>
      <w:formProt w:val="false"/>
      <w:textDirection w:val="lrTb"/>
      <w:docGrid w:type="linesAndChars" w:linePitch="579" w:charSpace="429496627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宋体">
    <w:charset w:val="86"/>
    <w:family w:val="auto"/>
    <w:pitch w:val="default"/>
  </w:font>
  <w:font w:name="Liberation Sans">
    <w:altName w:val="Arial"/>
    <w:charset w:val="01"/>
    <w:family w:val="swiss"/>
    <w:pitch w:val="variable"/>
  </w:font>
  <w:font w:name="方正仿宋_GBK">
    <w:charset w:val="86"/>
    <w:family w:val="auto"/>
    <w:pitch w:val="default"/>
  </w:font>
  <w:font w:name="方正楷体_GBK">
    <w:charset w:val="86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firstLine="280"/>
      <w:rPr/>
    </w:pPr>
    <w:r>
      <w:rPr>
        <w:rFonts w:eastAsia="宋体" w:cs="宋体" w:ascii="宋体" w:hAnsi="宋体"/>
        <w:sz w:val="28"/>
      </w:rPr>
      <w:t>—</w:t>
    </w:r>
    <w:r>
      <w:rPr>
        <w:rFonts w:eastAsia="宋体" w:cs="宋体" w:ascii="宋体" w:hAnsi="宋体"/>
        <w:sz w:val="28"/>
        <w:lang w:val="en-US" w:eastAsia="zh-CN"/>
      </w:rPr>
      <w:t xml:space="preserve"> </w:t>
    </w:r>
    <w:r>
      <w:rPr>
        <w:rFonts w:eastAsia="宋体" w:cs="宋体" w:ascii="宋体" w:hAnsi="宋体"/>
        <w:sz w:val="28"/>
      </w:rPr>
      <w:fldChar w:fldCharType="begin"/>
    </w:r>
    <w:r>
      <w:rPr>
        <w:sz w:val="28"/>
        <w:rFonts w:eastAsia="宋体" w:cs="宋体" w:ascii="宋体" w:hAnsi="宋体"/>
      </w:rPr>
      <w:instrText xml:space="preserve"> PAGE </w:instrText>
    </w:r>
    <w:r>
      <w:rPr>
        <w:sz w:val="28"/>
        <w:rFonts w:eastAsia="宋体" w:cs="宋体" w:ascii="宋体" w:hAnsi="宋体"/>
      </w:rPr>
      <w:fldChar w:fldCharType="separate"/>
    </w:r>
    <w:r>
      <w:rPr>
        <w:sz w:val="28"/>
        <w:rFonts w:eastAsia="宋体" w:cs="宋体" w:ascii="宋体" w:hAnsi="宋体"/>
      </w:rPr>
      <w:t>12</w:t>
    </w:r>
    <w:r>
      <w:rPr>
        <w:sz w:val="28"/>
        <w:rFonts w:eastAsia="宋体" w:cs="宋体" w:ascii="宋体" w:hAnsi="宋体"/>
      </w:rPr>
      <w:fldChar w:fldCharType="end"/>
    </w:r>
    <w:r>
      <w:rPr>
        <w:rFonts w:eastAsia="宋体" w:cs="宋体" w:ascii="宋体" w:hAnsi="宋体"/>
        <w:sz w:val="28"/>
        <w:lang w:val="en-US" w:eastAsia="zh-CN"/>
      </w:rPr>
      <w:t xml:space="preserve"> </w:t>
    </w:r>
    <w:r>
      <w:rPr>
        <w:rFonts w:eastAsia="宋体" w:cs="宋体" w:ascii="宋体" w:hAnsi="宋体"/>
        <w:sz w:val="28"/>
      </w:rPr>
      <w:t>—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rFonts w:eastAsia="宋体" w:cs="宋体" w:ascii="宋体" w:hAnsi="宋体"/>
        <w:sz w:val="28"/>
      </w:rPr>
      <w:t xml:space="preserve">                                                     —</w:t>
    </w:r>
    <w:r>
      <w:rPr>
        <w:rFonts w:eastAsia="宋体" w:cs="宋体" w:ascii="宋体" w:hAnsi="宋体"/>
        <w:sz w:val="28"/>
        <w:lang w:val="en-US" w:eastAsia="zh-CN"/>
      </w:rPr>
      <w:t xml:space="preserve"> </w:t>
    </w:r>
    <w:r>
      <w:rPr>
        <w:rFonts w:eastAsia="宋体" w:cs="宋体" w:ascii="宋体" w:hAnsi="宋体"/>
        <w:sz w:val="28"/>
      </w:rPr>
      <w:fldChar w:fldCharType="begin"/>
    </w:r>
    <w:r>
      <w:rPr>
        <w:sz w:val="28"/>
        <w:rFonts w:eastAsia="宋体" w:cs="宋体" w:ascii="宋体" w:hAnsi="宋体"/>
      </w:rPr>
      <w:instrText xml:space="preserve"> PAGE </w:instrText>
    </w:r>
    <w:r>
      <w:rPr>
        <w:sz w:val="28"/>
        <w:rFonts w:eastAsia="宋体" w:cs="宋体" w:ascii="宋体" w:hAnsi="宋体"/>
      </w:rPr>
      <w:fldChar w:fldCharType="separate"/>
    </w:r>
    <w:r>
      <w:rPr>
        <w:sz w:val="28"/>
        <w:rFonts w:eastAsia="宋体" w:cs="宋体" w:ascii="宋体" w:hAnsi="宋体"/>
      </w:rPr>
      <w:t>13</w:t>
    </w:r>
    <w:r>
      <w:rPr>
        <w:sz w:val="28"/>
        <w:rFonts w:eastAsia="宋体" w:cs="宋体" w:ascii="宋体" w:hAnsi="宋体"/>
      </w:rPr>
      <w:fldChar w:fldCharType="end"/>
    </w:r>
    <w:r>
      <w:rPr>
        <w:rFonts w:eastAsia="宋体" w:cs="宋体" w:ascii="宋体" w:hAnsi="宋体"/>
        <w:sz w:val="28"/>
        <w:lang w:val="en-US" w:eastAsia="zh-CN"/>
      </w:rPr>
      <w:t xml:space="preserve"> </w:t>
    </w:r>
    <w:r>
      <w:rPr>
        <w:rFonts w:eastAsia="宋体" w:cs="宋体" w:ascii="宋体" w:hAnsi="宋体"/>
        <w:sz w:val="28"/>
      </w:rPr>
      <w:t>—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chineseCountingThousand"/>
      <w:suff w:val="nothing"/>
      <w:lvlText w:val="（%1）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5"/>
      <w:numFmt w:val="chineseCountingThousand"/>
      <w:suff w:val="nothing"/>
      <w:lvlText w:val="（%1）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2"/>
      <w:numFmt w:val="chineseCountingThousand"/>
      <w:lvlText w:val="%1、"/>
      <w:lvlJc w:val="left"/>
      <w:pPr>
        <w:tabs>
          <w:tab w:val="num" w:pos="0"/>
        </w:tabs>
        <w:ind w:left="1352" w:hanging="72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1472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92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2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732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152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572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992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412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evenAndOddHeaders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仿宋_GB2312" w:cs="Times New Roman"/>
      <w:color w:val="auto"/>
      <w:kern w:val="2"/>
      <w:sz w:val="32"/>
      <w:szCs w:val="24"/>
      <w:lang w:val="en-US" w:eastAsia="zh-CN" w:bidi="ar-SA"/>
    </w:r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spacing w:before="280" w:after="280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Style13">
    <w:name w:val="默认段落字体"/>
    <w:qFormat/>
    <w:rPr>
      <w:rFonts w:eastAsia="宋体"/>
      <w:sz w:val="24"/>
    </w:rPr>
  </w:style>
  <w:style w:type="character" w:styleId="PageNumber">
    <w:name w:val="Page Number"/>
    <w:basedOn w:val="Style13"/>
    <w:rPr/>
  </w:style>
  <w:style w:type="character" w:styleId="Style14">
    <w:name w:val="文档结构图 字符"/>
    <w:qFormat/>
    <w:rPr>
      <w:rFonts w:ascii="宋体" w:hAnsi="宋体"/>
      <w:kern w:val="2"/>
      <w:sz w:val="18"/>
      <w:szCs w:val="18"/>
    </w:rPr>
  </w:style>
  <w:style w:type="character" w:styleId="Style15">
    <w:name w:val="批注框文本 字符"/>
    <w:qFormat/>
    <w:rPr>
      <w:rFonts w:eastAsia="仿宋_GB2312"/>
      <w:kern w:val="2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Style16">
    <w:name w:val="文档结构图"/>
    <w:basedOn w:val="Normal"/>
    <w:qFormat/>
    <w:pPr/>
    <w:rPr>
      <w:rFonts w:ascii="宋体" w:hAnsi="宋体" w:eastAsia="宋体"/>
      <w:sz w:val="18"/>
      <w:szCs w:val="18"/>
    </w:rPr>
  </w:style>
  <w:style w:type="paragraph" w:styleId="Style17">
    <w:name w:val="批注框文本"/>
    <w:basedOn w:val="Normal"/>
    <w:qFormat/>
    <w:pPr/>
    <w:rPr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Char">
    <w:name w:val=" Char"/>
    <w:basedOn w:val="Normal"/>
    <w:qFormat/>
    <w:pPr>
      <w:numPr>
        <w:ilvl w:val="0"/>
        <w:numId w:val="4"/>
      </w:numPr>
      <w:tabs>
        <w:tab w:val="clear" w:pos="420"/>
        <w:tab w:val="left" w:pos="1352" w:leader="none"/>
      </w:tabs>
    </w:pPr>
    <w:rPr>
      <w:rFonts w:eastAsia="宋体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渝环发</Template>
  <TotalTime>9120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2017-01-29T11:17:00Z</dcterms:created>
  <dc:creator>番茄花园</dc:creator>
  <dc:description/>
  <dc:language>en-US</dc:language>
  <cp:lastModifiedBy>重庆市生态环境局_办公室_发文秘书</cp:lastModifiedBy>
  <cp:lastPrinted>2026-09-07T11:07:00Z</cp:lastPrinted>
  <dcterms:modified xsi:type="dcterms:W3CDTF">2026-09-08T02:23:40Z</dcterms:modified>
  <cp:revision>2</cp:revision>
  <dc:subject/>
  <dc:title>重庆市环境保护局文件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A60C3191A3557735B5869A6A3AE81ED9</vt:lpwstr>
  </property>
  <property fmtid="{D5CDD505-2E9C-101B-9397-08002B2CF9AE}" pid="3" name="KSOProductBuildVer">
    <vt:lpwstr>2052-10.8.2.6726</vt:lpwstr>
  </property>
</Properties>
</file>