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600"/>
        <w:jc w:val="left"/>
        <w:textAlignment w:val="auto"/>
        <w:rPr>
          <w:rFonts w:ascii="黑体" w:hAnsi="黑体" w:eastAsia="黑体" w:cs="黑体"/>
          <w:sz w:val="32"/>
          <w:szCs w:val="32"/>
          <w:lang w:val="en-US" w:eastAsia="zh"/>
        </w:rPr>
      </w:pPr>
      <w:r>
        <w:rPr>
          <w:rFonts w:ascii="黑体" w:hAnsi="黑体" w:cs="黑体" w:eastAsia="黑体"/>
          <w:sz w:val="32"/>
          <w:szCs w:val="32"/>
          <w:lang w:val="en-US" w:eastAsia="zh"/>
        </w:rPr>
        <w:t>附件</w:t>
      </w:r>
      <w:r>
        <w:rPr>
          <w:rFonts w:eastAsia="黑体" w:cs="黑体" w:ascii="黑体" w:hAnsi="黑体"/>
          <w:sz w:val="32"/>
          <w:szCs w:val="32"/>
          <w:lang w:val="en-US" w:eastAsia="zh"/>
        </w:rPr>
        <w:t>4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600"/>
        <w:jc w:val="center"/>
        <w:textAlignment w:val="auto"/>
        <w:rPr>
          <w:rFonts w:ascii="楷体_GB2312;楷体" w:hAnsi="楷体_GB2312;楷体" w:eastAsia="楷体_GB2312;楷体" w:cs="楷体_GB2312;楷体"/>
          <w:b/>
          <w:b/>
          <w:bCs/>
          <w:sz w:val="32"/>
          <w:szCs w:val="32"/>
          <w:lang w:eastAsia="zh-CN"/>
        </w:rPr>
      </w:pPr>
      <w:r>
        <w:rPr>
          <w:rFonts w:ascii="方正小标宋简体;黑体" w:hAnsi="方正小标宋简体;黑体" w:cs="方正小标宋简体;黑体" w:eastAsia="方正小标宋简体;黑体"/>
          <w:sz w:val="44"/>
          <w:szCs w:val="44"/>
          <w:lang w:val="en-US" w:eastAsia="zh-CN"/>
        </w:rPr>
        <w:t>上海市渔业高质量发展行动方案</w:t>
      </w:r>
      <w:r>
        <w:rPr>
          <w:rFonts w:eastAsia="方正小标宋简体;黑体" w:cs="方正小标宋简体;黑体" w:ascii="方正小标宋简体;黑体" w:hAnsi="方正小标宋简体;黑体"/>
          <w:sz w:val="36"/>
          <w:szCs w:val="36"/>
          <w:lang w:val="en-US" w:eastAsia="zh-CN"/>
        </w:rPr>
        <w:br/>
      </w:r>
      <w:r>
        <w:rPr>
          <w:rFonts w:ascii="楷体_GB2312;楷体" w:hAnsi="楷体_GB2312;楷体" w:cs="楷体_GB2312;楷体" w:eastAsia="楷体_GB2312;楷体"/>
          <w:b/>
          <w:bCs/>
          <w:sz w:val="32"/>
          <w:szCs w:val="32"/>
          <w:lang w:val="en-US" w:eastAsia="zh-CN"/>
        </w:rPr>
        <w:t>（</w:t>
      </w:r>
      <w:r>
        <w:rPr>
          <w:rFonts w:eastAsia="楷体_GB2312;楷体" w:cs="楷体_GB2312;楷体" w:ascii="楷体_GB2312;楷体" w:hAnsi="楷体_GB2312;楷体"/>
          <w:b/>
          <w:bCs/>
          <w:sz w:val="32"/>
          <w:szCs w:val="32"/>
          <w:lang w:val="en-US" w:eastAsia="zh-CN"/>
        </w:rPr>
        <w:t>2026</w:t>
      </w:r>
      <w:r>
        <w:rPr>
          <w:rFonts w:eastAsia="楷体_GB2312;楷体" w:cs="楷体_GB2312;楷体" w:ascii="楷体_GB2312;楷体" w:hAnsi="楷体_GB2312;楷体"/>
          <w:b/>
          <w:bCs/>
          <w:sz w:val="32"/>
          <w:szCs w:val="32"/>
          <w:lang w:val="en-US" w:eastAsia="zh"/>
        </w:rPr>
        <w:t>—</w:t>
      </w:r>
      <w:r>
        <w:rPr>
          <w:rFonts w:eastAsia="楷体_GB2312;楷体" w:cs="楷体_GB2312;楷体" w:ascii="楷体_GB2312;楷体" w:hAnsi="楷体_GB2312;楷体"/>
          <w:b/>
          <w:bCs/>
          <w:sz w:val="32"/>
          <w:szCs w:val="32"/>
          <w:lang w:val="en-US" w:eastAsia="zh-CN"/>
        </w:rPr>
        <w:t>2030</w:t>
      </w:r>
      <w:r>
        <w:rPr>
          <w:rFonts w:ascii="楷体_GB2312;楷体" w:hAnsi="楷体_GB2312;楷体" w:cs="楷体_GB2312;楷体" w:eastAsia="楷体_GB2312;楷体"/>
          <w:b/>
          <w:bCs/>
          <w:sz w:val="32"/>
          <w:szCs w:val="32"/>
          <w:lang w:val="en-US" w:eastAsia="zh-CN"/>
        </w:rPr>
        <w:t>年）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600"/>
        <w:jc w:val="both"/>
        <w:textAlignment w:val="auto"/>
        <w:rPr>
          <w:rFonts w:ascii="方正小标宋简体;黑体" w:hAnsi="方正小标宋简体;黑体" w:eastAsia="方正小标宋简体;黑体" w:cs="方正小标宋简体;黑体"/>
          <w:b/>
          <w:b/>
          <w:bCs/>
          <w:sz w:val="36"/>
          <w:szCs w:val="36"/>
          <w:lang w:eastAsia="zh-CN"/>
        </w:rPr>
      </w:pPr>
      <w:r>
        <w:rPr>
          <w:rFonts w:eastAsia="方正小标宋简体;黑体" w:cs="方正小标宋简体;黑体" w:ascii="方正小标宋简体;黑体" w:hAnsi="方正小标宋简体;黑体"/>
          <w:b/>
          <w:bCs/>
          <w:sz w:val="36"/>
          <w:szCs w:val="36"/>
          <w:lang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600"/>
        <w:ind w:firstLine="640"/>
        <w:jc w:val="both"/>
        <w:textAlignment w:val="auto"/>
        <w:rPr>
          <w:rFonts w:ascii="Times New Roman" w:hAnsi="Times New Roman" w:eastAsia="黑体" w:cs="Times New Roman"/>
          <w:b/>
          <w:b/>
          <w:bCs/>
          <w:kern w:val="2"/>
          <w:sz w:val="32"/>
          <w:szCs w:val="24"/>
          <w:lang w:val="en-US" w:eastAsia="zh-CN" w:bidi="ar-SA"/>
        </w:rPr>
      </w:pPr>
      <w:r>
        <w:rPr>
          <w:rFonts w:ascii="仿宋_GB2312;仿宋" w:hAnsi="仿宋_GB2312;仿宋" w:cs="仿宋_GB2312;仿宋" w:eastAsia="仿宋_GB2312;仿宋"/>
          <w:sz w:val="32"/>
          <w:szCs w:val="32"/>
          <w:lang w:val="en-US" w:eastAsia="zh-CN"/>
        </w:rPr>
        <w:t>为深入贯彻落实</w:t>
      </w:r>
      <w:r>
        <w:rPr>
          <w:rFonts w:ascii="Times New Roman" w:hAnsi="Times New Roman" w:cs="仿宋_GB2312;仿宋" w:eastAsia="仿宋_GB2312;仿宋"/>
          <w:sz w:val="32"/>
          <w:szCs w:val="32"/>
          <w:lang w:eastAsia="zh-CN" w:bidi="ar"/>
        </w:rPr>
        <w:t>《加快农业农村现代化“十五五”规划》《加快建设农业强国规划（</w:t>
      </w:r>
      <w:r>
        <w:rPr>
          <w:rFonts w:eastAsia="仿宋_GB2312;仿宋" w:cs="仿宋_GB2312;仿宋" w:ascii="Times New Roman" w:hAnsi="Times New Roman"/>
          <w:sz w:val="32"/>
          <w:szCs w:val="32"/>
          <w:lang w:val="en-US" w:eastAsia="zh-CN" w:bidi="ar"/>
        </w:rPr>
        <w:t>2024</w:t>
      </w:r>
      <w:r>
        <w:rPr>
          <w:rFonts w:eastAsia="仿宋_GB2312;仿宋" w:cs="仿宋_GB2312;仿宋" w:ascii="仿宋_GB2312;仿宋" w:hAnsi="仿宋_GB2312;仿宋"/>
          <w:sz w:val="32"/>
          <w:szCs w:val="32"/>
          <w:lang w:val="en-US" w:eastAsia="zh" w:bidi="ar"/>
        </w:rPr>
        <w:t>—</w:t>
      </w:r>
      <w:r>
        <w:rPr>
          <w:rFonts w:eastAsia="仿宋_GB2312;仿宋" w:cs="仿宋_GB2312;仿宋" w:ascii="Times New Roman" w:hAnsi="Times New Roman"/>
          <w:sz w:val="32"/>
          <w:szCs w:val="32"/>
          <w:lang w:val="en-US" w:eastAsia="zh-CN" w:bidi="ar"/>
        </w:rPr>
        <w:t>2035</w:t>
      </w:r>
      <w:r>
        <w:rPr>
          <w:rFonts w:ascii="Times New Roman" w:hAnsi="Times New Roman" w:cs="仿宋_GB2312;仿宋" w:eastAsia="仿宋_GB2312;仿宋"/>
          <w:sz w:val="32"/>
          <w:szCs w:val="32"/>
          <w:lang w:val="en-US" w:eastAsia="zh-CN" w:bidi="ar"/>
        </w:rPr>
        <w:t>年</w:t>
      </w:r>
      <w:r>
        <w:rPr>
          <w:rFonts w:ascii="Times New Roman" w:hAnsi="Times New Roman" w:cs="仿宋_GB2312;仿宋" w:eastAsia="仿宋_GB2312;仿宋"/>
          <w:sz w:val="32"/>
          <w:szCs w:val="32"/>
          <w:lang w:eastAsia="zh-CN" w:bidi="ar"/>
        </w:rPr>
        <w:t>）》</w:t>
      </w:r>
      <w:r>
        <w:rPr>
          <w:rFonts w:ascii="Times New Roman" w:hAnsi="Times New Roman" w:cs="仿宋_GB2312;仿宋" w:eastAsia="仿宋_GB2312;仿宋"/>
          <w:sz w:val="32"/>
          <w:szCs w:val="32"/>
          <w:lang w:bidi="ar"/>
        </w:rPr>
        <w:t>等</w:t>
      </w:r>
      <w:r>
        <w:rPr>
          <w:rFonts w:ascii="Times New Roman" w:hAnsi="Times New Roman" w:cs="仿宋_GB2312;仿宋" w:eastAsia="仿宋_GB2312;仿宋"/>
          <w:sz w:val="32"/>
          <w:szCs w:val="32"/>
          <w:lang w:eastAsia="zh-CN" w:bidi="ar"/>
        </w:rPr>
        <w:t>国家</w:t>
      </w:r>
      <w:r>
        <w:rPr>
          <w:rFonts w:ascii="Times New Roman" w:hAnsi="Times New Roman" w:cs="仿宋_GB2312;仿宋" w:eastAsia="仿宋_GB2312;仿宋"/>
          <w:sz w:val="32"/>
          <w:szCs w:val="32"/>
          <w:lang w:bidi="ar"/>
        </w:rPr>
        <w:t>规划要求，全面落实</w:t>
      </w:r>
      <w:r>
        <w:rPr>
          <w:rFonts w:ascii="仿宋_GB2312;仿宋" w:hAnsi="仿宋_GB2312;仿宋" w:cs="仿宋_GB2312;仿宋" w:eastAsia="仿宋_GB2312;仿宋"/>
          <w:sz w:val="32"/>
          <w:szCs w:val="32"/>
          <w:lang w:val="en-US" w:eastAsia="zh-CN"/>
        </w:rPr>
        <w:t>《上海市推进乡村全面振兴“十五五”规划》相关</w:t>
      </w:r>
      <w:r>
        <w:rPr>
          <w:rFonts w:ascii="仿宋_GB2312;仿宋" w:hAnsi="仿宋_GB2312;仿宋" w:cs="仿宋"/>
          <w:sz w:val="32"/>
          <w:szCs w:val="32"/>
          <w:lang w:eastAsia="zh"/>
        </w:rPr>
        <w:t>部署</w:t>
      </w:r>
      <w:r>
        <w:rPr>
          <w:rFonts w:ascii="仿宋_GB2312;仿宋" w:hAnsi="仿宋_GB2312;仿宋" w:cs="仿宋_GB2312;仿宋" w:eastAsia="仿宋_GB2312;仿宋"/>
          <w:sz w:val="32"/>
          <w:szCs w:val="32"/>
          <w:lang w:val="en-US" w:eastAsia="zh-CN"/>
        </w:rPr>
        <w:t>，进一步推动上海市渔业高质量发展，制定本行动方案</w:t>
      </w:r>
      <w:r>
        <w:rPr>
          <w:rFonts w:ascii="仿宋_GB2312;仿宋" w:hAnsi="仿宋_GB2312;仿宋" w:cs="仿宋_GB2312;仿宋" w:eastAsia="仿宋_GB2312;仿宋"/>
          <w:sz w:val="32"/>
          <w:szCs w:val="32"/>
          <w:lang w:eastAsia="zh-CN"/>
        </w:rPr>
        <w:t>。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pBdr/>
        <w:kinsoku w:val="true"/>
        <w:overflowPunct w:val="true"/>
        <w:autoSpaceDE w:val="true"/>
        <w:bidi w:val="0"/>
        <w:snapToGrid w:val="false"/>
        <w:spacing w:lineRule="exact" w:line="600"/>
        <w:ind w:left="0" w:firstLine="643"/>
        <w:textAlignment w:val="auto"/>
        <w:outlineLvl w:val="0"/>
        <w:rPr>
          <w:rFonts w:ascii="Times New Roman" w:hAnsi="Times New Roman" w:eastAsia="黑体" w:cs="Times New Roman"/>
          <w:b/>
          <w:b/>
          <w:bCs/>
          <w:kern w:val="2"/>
          <w:sz w:val="32"/>
          <w:szCs w:val="24"/>
          <w:lang w:val="en-US" w:eastAsia="zh-CN" w:bidi="ar-SA"/>
        </w:rPr>
      </w:pPr>
      <w:r>
        <w:rPr>
          <w:rFonts w:ascii="Times New Roman" w:hAnsi="Times New Roman" w:cs="Times New Roman" w:eastAsia="黑体"/>
          <w:b/>
          <w:bCs/>
          <w:kern w:val="2"/>
          <w:sz w:val="32"/>
          <w:szCs w:val="24"/>
          <w:lang w:val="en-US" w:eastAsia="zh-CN" w:bidi="ar-SA"/>
        </w:rPr>
        <w:t>一、主要目标</w:t>
      </w:r>
    </w:p>
    <w:p>
      <w:pPr>
        <w:pStyle w:val="Normal"/>
        <w:keepNext w:val="false"/>
        <w:keepLines w:val="false"/>
        <w:pageBreakBefore w:val="false"/>
        <w:widowControl w:val="false"/>
        <w:pBdr/>
        <w:kinsoku w:val="true"/>
        <w:overflowPunct w:val="true"/>
        <w:autoSpaceDE w:val="true"/>
        <w:bidi w:val="0"/>
        <w:snapToGrid w:val="false"/>
        <w:spacing w:lineRule="exact" w:line="600"/>
        <w:ind w:left="0" w:firstLine="640"/>
        <w:textAlignment w:val="auto"/>
        <w:rPr>
          <w:rFonts w:ascii="仿宋_GB2312;仿宋" w:hAnsi="仿宋_GB2312;仿宋" w:eastAsia="仿宋_GB2312;仿宋" w:cs="仿宋_GB2312;仿宋"/>
          <w:color w:val="000000"/>
          <w:sz w:val="32"/>
          <w:szCs w:val="32"/>
        </w:rPr>
      </w:pP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深入贯彻落实习近平总书记关于长江大保护系列重要指示批示精神，继续打好长江十年禁渔攻坚战持久战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。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统筹科技、绿色、质量、品牌渔业发展，统筹发展与安全，推动渔业由产量主导向产量品质并重转变。注重综合生产能力与质量效益，提升渔业产值和渔业二三产业产值比重。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推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动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构建环境友好型渔业模式，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坚持产量产能、生产生态、增产增收、科研科普、保护利用一起抓，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实现生态与产业协调发展。推动设施渔业智能化升级，提升水产种业创新能力，提高渔业现代化水平。保障水产品稳定供给，满足多元化市场需求。</w:t>
      </w:r>
    </w:p>
    <w:p>
      <w:pPr>
        <w:pStyle w:val="Normal"/>
        <w:keepNext w:val="false"/>
        <w:keepLines w:val="false"/>
        <w:pageBreakBefore w:val="false"/>
        <w:widowControl w:val="false"/>
        <w:pBdr/>
        <w:kinsoku w:val="true"/>
        <w:overflowPunct w:val="true"/>
        <w:autoSpaceDE w:val="true"/>
        <w:bidi w:val="0"/>
        <w:snapToGrid w:val="false"/>
        <w:spacing w:lineRule="exact" w:line="600"/>
        <w:ind w:left="0" w:firstLine="640"/>
        <w:textAlignment w:val="auto"/>
        <w:rPr>
          <w:rFonts w:ascii="仿宋_GB2312;仿宋" w:hAnsi="仿宋_GB2312;仿宋" w:eastAsia="仿宋_GB2312;仿宋" w:cs="仿宋_GB2312;仿宋"/>
          <w:color w:val="000000"/>
          <w:sz w:val="32"/>
          <w:szCs w:val="32"/>
        </w:rPr>
      </w:pP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到</w:t>
      </w:r>
      <w:r>
        <w:rPr>
          <w:rFonts w:eastAsia="仿宋_GB2312;仿宋" w:cs="仿宋_GB2312;仿宋" w:ascii="仿宋_GB2312;仿宋" w:hAnsi="仿宋_GB2312;仿宋"/>
          <w:color w:val="000000"/>
          <w:sz w:val="32"/>
          <w:szCs w:val="32"/>
        </w:rPr>
        <w:t>2030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年，全市水产养殖面积稳定在</w:t>
      </w:r>
      <w:r>
        <w:rPr>
          <w:rFonts w:eastAsia="仿宋_GB2312;仿宋" w:cs="仿宋_GB2312;仿宋" w:ascii="仿宋_GB2312;仿宋" w:hAnsi="仿宋_GB2312;仿宋"/>
          <w:color w:val="000000"/>
          <w:sz w:val="32"/>
          <w:szCs w:val="32"/>
        </w:rPr>
        <w:t>13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万亩，水产绿色养殖比重达</w:t>
      </w:r>
      <w:r>
        <w:rPr>
          <w:rFonts w:eastAsia="仿宋_GB2312;仿宋" w:cs="仿宋_GB2312;仿宋" w:ascii="仿宋_GB2312;仿宋" w:hAnsi="仿宋_GB2312;仿宋"/>
          <w:color w:val="000000"/>
          <w:sz w:val="32"/>
          <w:szCs w:val="32"/>
        </w:rPr>
        <w:t>85%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。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优化捕捞结构，近海捕捞渔船控制在</w:t>
      </w:r>
      <w:r>
        <w:rPr>
          <w:rFonts w:eastAsia="仿宋_GB2312;仿宋" w:cs="仿宋_GB2312;仿宋" w:ascii="仿宋_GB2312;仿宋" w:hAnsi="仿宋_GB2312;仿宋"/>
          <w:color w:val="000000"/>
          <w:sz w:val="32"/>
          <w:szCs w:val="32"/>
        </w:rPr>
        <w:t>1</w:t>
      </w:r>
      <w:r>
        <w:rPr>
          <w:rFonts w:eastAsia="仿宋_GB2312;仿宋" w:cs="仿宋_GB2312;仿宋" w:ascii="仿宋_GB2312;仿宋" w:hAnsi="仿宋_GB2312;仿宋"/>
          <w:color w:val="000000"/>
          <w:sz w:val="32"/>
          <w:szCs w:val="32"/>
          <w:lang w:val="en-US" w:eastAsia="zh-CN"/>
        </w:rPr>
        <w:t>8</w:t>
      </w:r>
      <w:r>
        <w:rPr>
          <w:rFonts w:eastAsia="仿宋_GB2312;仿宋" w:cs="仿宋_GB2312;仿宋" w:ascii="仿宋_GB2312;仿宋" w:hAnsi="仿宋_GB2312;仿宋"/>
          <w:color w:val="000000"/>
          <w:sz w:val="32"/>
          <w:szCs w:val="32"/>
        </w:rPr>
        <w:t>0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艘左右，近海捕捞年产量稳定在</w:t>
      </w:r>
      <w:r>
        <w:rPr>
          <w:rFonts w:eastAsia="仿宋_GB2312;仿宋" w:cs="仿宋_GB2312;仿宋" w:ascii="仿宋_GB2312;仿宋" w:hAnsi="仿宋_GB2312;仿宋"/>
          <w:color w:val="000000"/>
          <w:sz w:val="32"/>
          <w:szCs w:val="32"/>
        </w:rPr>
        <w:t>1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万吨，内陆渔船规模明显下降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。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远洋渔船数量稳定在</w:t>
      </w:r>
      <w:r>
        <w:rPr>
          <w:rFonts w:eastAsia="仿宋_GB2312;仿宋" w:cs="仿宋_GB2312;仿宋" w:ascii="仿宋_GB2312;仿宋" w:hAnsi="仿宋_GB2312;仿宋"/>
          <w:color w:val="000000"/>
          <w:sz w:val="32"/>
          <w:szCs w:val="32"/>
          <w:lang w:val="en-US" w:eastAsia="zh-CN"/>
        </w:rPr>
        <w:t>65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艘左右，远洋捕捞年产量继续保持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在</w:t>
      </w:r>
      <w:r>
        <w:rPr>
          <w:rFonts w:eastAsia="仿宋_GB2312;仿宋" w:cs="仿宋_GB2312;仿宋" w:ascii="仿宋_GB2312;仿宋" w:hAnsi="仿宋_GB2312;仿宋"/>
          <w:color w:val="000000"/>
          <w:sz w:val="32"/>
          <w:szCs w:val="32"/>
        </w:rPr>
        <w:t>15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万吨。渔业水域生态环境和资源养护取得突破，年放流水生生物总量不少于</w:t>
      </w:r>
      <w:r>
        <w:rPr>
          <w:rFonts w:eastAsia="仿宋_GB2312;仿宋" w:cs="仿宋_GB2312;仿宋" w:ascii="仿宋_GB2312;仿宋" w:hAnsi="仿宋_GB2312;仿宋"/>
          <w:color w:val="000000"/>
          <w:sz w:val="32"/>
          <w:szCs w:val="32"/>
        </w:rPr>
        <w:t>5000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万尾。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开展为期三年的海洋渔船安全生产专项整治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和水产养殖滥用药专项整治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，提升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渔业安全生产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保障水平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，全力守护人民群众“舌尖上的安全”。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pBdr/>
        <w:kinsoku w:val="true"/>
        <w:overflowPunct w:val="true"/>
        <w:autoSpaceDE w:val="true"/>
        <w:bidi w:val="0"/>
        <w:snapToGrid w:val="false"/>
        <w:spacing w:lineRule="exact" w:line="600"/>
        <w:ind w:left="0" w:firstLine="643"/>
        <w:textAlignment w:val="auto"/>
        <w:outlineLvl w:val="0"/>
        <w:rPr>
          <w:rFonts w:ascii="Times New Roman" w:hAnsi="Times New Roman" w:eastAsia="黑体" w:cs="Times New Roman"/>
          <w:b/>
          <w:b/>
          <w:bCs/>
          <w:kern w:val="2"/>
          <w:sz w:val="32"/>
          <w:szCs w:val="24"/>
          <w:lang w:val="en-US" w:eastAsia="zh-CN" w:bidi="ar-SA"/>
        </w:rPr>
      </w:pPr>
      <w:r>
        <w:rPr>
          <w:rFonts w:ascii="Times New Roman" w:hAnsi="Times New Roman" w:cs="Times New Roman" w:eastAsia="黑体"/>
          <w:b/>
          <w:bCs/>
          <w:kern w:val="2"/>
          <w:sz w:val="32"/>
          <w:szCs w:val="24"/>
          <w:lang w:val="en-US" w:eastAsia="zh-CN" w:bidi="ar-SA"/>
        </w:rPr>
        <w:t>二、任务举措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pBdr/>
        <w:kinsoku w:val="true"/>
        <w:overflowPunct w:val="true"/>
        <w:autoSpaceDE w:val="true"/>
        <w:bidi w:val="0"/>
        <w:snapToGrid w:val="false"/>
        <w:spacing w:lineRule="exact" w:line="600"/>
        <w:ind w:left="0" w:firstLine="643"/>
        <w:textAlignment w:val="auto"/>
        <w:outlineLvl w:val="1"/>
        <w:rPr>
          <w:rFonts w:ascii="楷体_GB2312;楷体" w:hAnsi="楷体_GB2312;楷体" w:eastAsia="楷体_GB2312;楷体" w:cs="楷体_GB2312;楷体"/>
          <w:b/>
          <w:b/>
          <w:bCs/>
          <w:sz w:val="32"/>
          <w:highlight w:val="none"/>
          <w:u w:val="none"/>
          <w:lang w:eastAsia="zh-CN"/>
        </w:rPr>
      </w:pPr>
      <w:r>
        <w:rPr>
          <w:rFonts w:ascii="楷体_GB2312;楷体" w:hAnsi="楷体_GB2312;楷体" w:cs="楷体_GB2312;楷体" w:eastAsia="楷体_GB2312;楷体"/>
          <w:b/>
          <w:bCs/>
          <w:sz w:val="32"/>
          <w:u w:val="none"/>
          <w:lang w:eastAsia="zh-CN"/>
        </w:rPr>
        <w:t>（一）坚定不移推进长江十年禁渔</w:t>
      </w:r>
    </w:p>
    <w:p>
      <w:pPr>
        <w:pStyle w:val="Normal"/>
        <w:keepNext w:val="false"/>
        <w:keepLines w:val="false"/>
        <w:pageBreakBefore w:val="false"/>
        <w:widowControl w:val="false"/>
        <w:pBdr/>
        <w:kinsoku w:val="true"/>
        <w:overflowPunct w:val="true"/>
        <w:autoSpaceDE w:val="true"/>
        <w:bidi w:val="0"/>
        <w:snapToGrid w:val="false"/>
        <w:spacing w:lineRule="exact" w:line="600"/>
        <w:ind w:left="0" w:firstLine="640"/>
        <w:textAlignment w:val="auto"/>
        <w:rPr>
          <w:rFonts w:ascii="仿宋_GB2312;仿宋" w:hAnsi="仿宋_GB2312;仿宋" w:eastAsia="仿宋_GB2312;仿宋" w:cs="仿宋_GB2312;仿宋"/>
          <w:color w:val="000000"/>
          <w:sz w:val="32"/>
          <w:szCs w:val="32"/>
        </w:rPr>
      </w:pP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</w:rPr>
        <w:t>充分发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挥“一网统管”、城市网格化管理全覆盖的信息共享、快速反应、联勤联动优势，强化非法捕捞、运输、销售等违法行为的发现、响应和处置，强化行刑衔接和长效管理机制建设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，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建立健全线索核查督导长效机制，持续保持问题线索动态“清零”。依托部省际长江口禁捕管理工作协调机制，健全长三角水域非法捕捞长效闭环监管机制，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加强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省际间联合执法、信息共享、案件协查、渔船协管，切实消除执法监管盲区，织密织牢“水上打、陆上管、市场查”的执法监管网络，加快形成“人防</w:t>
      </w:r>
      <w:r>
        <w:rPr>
          <w:rFonts w:eastAsia="仿宋_GB2312;仿宋" w:cs="仿宋_GB2312;仿宋" w:ascii="仿宋_GB2312;仿宋" w:hAnsi="仿宋_GB2312;仿宋"/>
          <w:color w:val="000000"/>
          <w:sz w:val="32"/>
          <w:szCs w:val="32"/>
        </w:rPr>
        <w:t>+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技防”相结合、“水上</w:t>
      </w:r>
      <w:r>
        <w:rPr>
          <w:rFonts w:eastAsia="仿宋_GB2312;仿宋" w:cs="仿宋_GB2312;仿宋" w:ascii="仿宋_GB2312;仿宋" w:hAnsi="仿宋_GB2312;仿宋"/>
          <w:color w:val="000000"/>
          <w:sz w:val="32"/>
          <w:szCs w:val="32"/>
        </w:rPr>
        <w:t>+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陆上”相呼应、“上下游</w:t>
      </w:r>
      <w:r>
        <w:rPr>
          <w:rFonts w:eastAsia="仿宋_GB2312;仿宋" w:cs="仿宋_GB2312;仿宋" w:ascii="仿宋_GB2312;仿宋" w:hAnsi="仿宋_GB2312;仿宋"/>
          <w:color w:val="000000"/>
          <w:sz w:val="32"/>
          <w:szCs w:val="32"/>
          <w:lang w:val="en-US" w:eastAsia="zh-CN"/>
        </w:rPr>
        <w:t>+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左右岸”相协调的禁捕体系。以数据赋能为核心，进一步完善长江禁捕智能管控系统的数据资源目录、数据共享、数据质量和安全管理等方面的标准规范，全面升级长江禁捕智能管控系统。进一步加强渔业执法队伍建设，加大渔业执法信息化、现代化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装备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投入，推进渔政执法船、无人机机库等项目建设。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pBdr/>
        <w:kinsoku w:val="true"/>
        <w:overflowPunct w:val="true"/>
        <w:autoSpaceDE w:val="true"/>
        <w:bidi w:val="0"/>
        <w:snapToGrid w:val="false"/>
        <w:spacing w:lineRule="exact" w:line="600"/>
        <w:ind w:left="0" w:firstLine="643"/>
        <w:textAlignment w:val="auto"/>
        <w:outlineLvl w:val="1"/>
        <w:rPr>
          <w:rFonts w:ascii="楷体_GB2312;楷体" w:hAnsi="楷体_GB2312;楷体" w:eastAsia="楷体_GB2312;楷体" w:cs="楷体_GB2312;楷体"/>
          <w:b/>
          <w:b/>
          <w:bCs/>
          <w:sz w:val="32"/>
          <w:highlight w:val="none"/>
          <w:u w:val="none"/>
          <w:lang w:eastAsia="zh-CN"/>
        </w:rPr>
      </w:pPr>
      <w:r>
        <w:rPr>
          <w:rFonts w:ascii="楷体_GB2312;楷体" w:hAnsi="楷体_GB2312;楷体" w:cs="楷体_GB2312;楷体" w:eastAsia="楷体_GB2312;楷体"/>
          <w:b/>
          <w:bCs/>
          <w:sz w:val="32"/>
          <w:u w:val="none"/>
          <w:lang w:eastAsia="zh-CN"/>
        </w:rPr>
        <w:t>（二）推动水产养殖业高质量发展</w:t>
      </w:r>
    </w:p>
    <w:p>
      <w:pPr>
        <w:pStyle w:val="Normal"/>
        <w:keepNext w:val="false"/>
        <w:keepLines w:val="false"/>
        <w:pageBreakBefore w:val="false"/>
        <w:widowControl w:val="false"/>
        <w:pBdr/>
        <w:kinsoku w:val="true"/>
        <w:overflowPunct w:val="true"/>
        <w:autoSpaceDE w:val="true"/>
        <w:bidi w:val="0"/>
        <w:snapToGrid w:val="false"/>
        <w:spacing w:lineRule="exact" w:line="600"/>
        <w:ind w:left="0" w:firstLine="640"/>
        <w:textAlignment w:val="auto"/>
        <w:rPr>
          <w:rFonts w:ascii="仿宋_GB2312;仿宋" w:hAnsi="仿宋_GB2312;仿宋" w:eastAsia="仿宋_GB2312;仿宋" w:cs="仿宋_GB2312;仿宋"/>
          <w:color w:val="000000"/>
          <w:sz w:val="32"/>
          <w:szCs w:val="32"/>
          <w:lang w:val="en-US" w:eastAsia="zh-CN"/>
        </w:rPr>
      </w:pP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巩固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绿色生态养殖理念，持续大力推进水产养殖绿色生产，推行标准化创建和品牌化战略实施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。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依托水产养殖滥用药专项整治，推动养殖密度与水循环频次相匹配，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规范水产养殖投入品使用。推进种业振兴行动，开展水产种质资源库建设，拓展种质资源保护品种，建设长三角水产种质资源保育中心二期项目，提升长三角种质资源保育能力。对长江口、淀山湖、杭州湾及东海水域重要的水产种质资源应保尽保。深化种业科技创新，攻克中华绒螯蟹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重要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性状的关键优势基因和分子标记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，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选育携带分子身份证的中华绒螯蟹新品种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、研发抗逆性更强的耐低盐南美白对虾和生长更快的配套系罗氏沼虾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等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新品种。聚焦设施渔业现代化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提升，推进智慧水产养殖，引导物联网、大数据、人工智能等现代信息技术与水产养殖生产深度融合。依托滨海养殖基地等科研平台，建设未来水产养殖中心，打造以种源农业和设施渔业为双引擎的全球水产科技“创新港”，实现水产养殖基地集约化生产和智能化管理。探索推进深远海养殖，鼓励、扶持社会资本探索发展离岸养殖技术、养殖工船等深远海养殖设施，支持有关科研单位加强深远海养殖技术的基础研发。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pBdr/>
        <w:kinsoku w:val="true"/>
        <w:overflowPunct w:val="true"/>
        <w:autoSpaceDE w:val="true"/>
        <w:bidi w:val="0"/>
        <w:snapToGrid w:val="false"/>
        <w:spacing w:lineRule="exact" w:line="600"/>
        <w:ind w:left="0" w:firstLine="643"/>
        <w:textAlignment w:val="auto"/>
        <w:outlineLvl w:val="1"/>
        <w:rPr>
          <w:rFonts w:ascii="楷体_GB2312;楷体" w:hAnsi="楷体_GB2312;楷体" w:eastAsia="楷体_GB2312;楷体" w:cs="楷体_GB2312;楷体"/>
          <w:b/>
          <w:b/>
          <w:bCs/>
          <w:sz w:val="32"/>
          <w:highlight w:val="none"/>
          <w:u w:val="none"/>
          <w:lang w:eastAsia="zh-CN"/>
        </w:rPr>
      </w:pPr>
      <w:r>
        <w:rPr>
          <w:rFonts w:ascii="楷体_GB2312;楷体" w:hAnsi="楷体_GB2312;楷体" w:cs="楷体_GB2312;楷体" w:eastAsia="楷体_GB2312;楷体"/>
          <w:b/>
          <w:bCs/>
          <w:sz w:val="32"/>
          <w:u w:val="none"/>
          <w:lang w:eastAsia="zh-CN"/>
        </w:rPr>
        <w:t>（三）</w:t>
      </w:r>
      <w:r>
        <w:rPr>
          <w:rFonts w:ascii="楷体_GB2312;楷体" w:hAnsi="楷体_GB2312;楷体" w:cs="楷体_GB2312;楷体" w:eastAsia="楷体_GB2312;楷体"/>
          <w:b/>
          <w:bCs/>
          <w:sz w:val="32"/>
          <w:u w:val="none"/>
          <w:lang w:val="en-US" w:eastAsia="zh-CN"/>
        </w:rPr>
        <w:t>促进</w:t>
      </w:r>
      <w:r>
        <w:rPr>
          <w:rFonts w:ascii="楷体_GB2312;楷体" w:hAnsi="楷体_GB2312;楷体" w:cs="楷体_GB2312;楷体" w:eastAsia="楷体_GB2312;楷体"/>
          <w:b/>
          <w:bCs/>
          <w:sz w:val="32"/>
          <w:u w:val="none"/>
          <w:lang w:eastAsia="zh-CN"/>
        </w:rPr>
        <w:t>海洋渔业</w:t>
      </w:r>
      <w:r>
        <w:rPr>
          <w:rFonts w:ascii="楷体_GB2312;楷体" w:hAnsi="楷体_GB2312;楷体" w:cs="楷体_GB2312;楷体" w:eastAsia="楷体_GB2312;楷体"/>
          <w:b/>
          <w:bCs/>
          <w:sz w:val="32"/>
          <w:u w:val="none"/>
          <w:lang w:val="en-US" w:eastAsia="zh-CN"/>
        </w:rPr>
        <w:t>转型升级</w:t>
      </w:r>
    </w:p>
    <w:p>
      <w:pPr>
        <w:pStyle w:val="Normal"/>
        <w:keepNext w:val="false"/>
        <w:keepLines w:val="false"/>
        <w:pageBreakBefore w:val="false"/>
        <w:widowControl w:val="false"/>
        <w:pBdr/>
        <w:kinsoku w:val="true"/>
        <w:overflowPunct w:val="true"/>
        <w:autoSpaceDE w:val="true"/>
        <w:bidi w:val="0"/>
        <w:snapToGrid w:val="false"/>
        <w:spacing w:lineRule="exact" w:line="600"/>
        <w:ind w:left="0" w:firstLine="640"/>
        <w:textAlignment w:val="auto"/>
        <w:rPr>
          <w:rFonts w:ascii="仿宋_GB2312;仿宋" w:hAnsi="仿宋_GB2312;仿宋" w:eastAsia="仿宋_GB2312;仿宋" w:cs="仿宋_GB2312;仿宋"/>
          <w:color w:val="000000"/>
          <w:sz w:val="32"/>
          <w:szCs w:val="32"/>
        </w:rPr>
      </w:pP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贯彻落实国务院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"/>
        </w:rPr>
        <w:t>有关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要求，集中开展为期三年的海洋渔船安全生产专项整治，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val="en-US" w:eastAsia="zh-CN"/>
        </w:rPr>
        <w:t>提升渔业本质安全水平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。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加强渔船船上装备建设，支持远洋渔船、海洋捕捞渔船更新配备防污染、救生消防、通信导航、制冷保鲜及探鱼辅助等船上设备。完成全市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海洋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渔船实施北三设备替换工作，试点电子船名牌，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全面强化渔船安全监管，有效遏制安全事故发生。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按照国家海洋发展战略总体部署，支持远洋渔业企业加强对外合作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。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改善远洋渔船和捕捞装备，促进远洋渔业高质量发展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。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稳定公海大洋性渔业、巩固提高西非和阿根廷等过洋性渔业、探索推进极地渔业，鼓励更新金枪鱼围网渔船和建造南极磷虾捕捞加工渔船、支持建设远洋渔业海外基地和建造远洋渔业冷藏运输船，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发展现代化远洋捕捞，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提高我市远洋渔业产业综合竞争力。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加强对外合作及全球海洋科研调查，提升履约监管能力，深度参与全球海洋治理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。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继续实施海洋渔业资源总量控制和限额捕捞管理，加强国内捕捞渔船生产调控。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pBdr/>
        <w:kinsoku w:val="true"/>
        <w:overflowPunct w:val="true"/>
        <w:autoSpaceDE w:val="true"/>
        <w:bidi w:val="0"/>
        <w:snapToGrid w:val="false"/>
        <w:spacing w:lineRule="exact" w:line="600"/>
        <w:ind w:left="0" w:firstLine="643"/>
        <w:textAlignment w:val="auto"/>
        <w:outlineLvl w:val="1"/>
        <w:rPr>
          <w:rFonts w:ascii="楷体_GB2312;楷体" w:hAnsi="楷体_GB2312;楷体" w:eastAsia="楷体_GB2312;楷体" w:cs="楷体_GB2312;楷体"/>
          <w:b/>
          <w:b/>
          <w:bCs/>
          <w:sz w:val="32"/>
          <w:highlight w:val="none"/>
          <w:u w:val="none"/>
          <w:lang w:eastAsia="zh-CN"/>
        </w:rPr>
      </w:pPr>
      <w:r>
        <w:rPr>
          <w:rFonts w:ascii="楷体_GB2312;楷体" w:hAnsi="楷体_GB2312;楷体" w:cs="楷体_GB2312;楷体" w:eastAsia="楷体_GB2312;楷体"/>
          <w:b/>
          <w:bCs/>
          <w:sz w:val="32"/>
          <w:u w:val="none"/>
          <w:lang w:eastAsia="zh-CN"/>
        </w:rPr>
        <w:t>（四）提升资源养护</w:t>
      </w:r>
      <w:r>
        <w:rPr>
          <w:rFonts w:ascii="楷体_GB2312;楷体" w:hAnsi="楷体_GB2312;楷体" w:cs="楷体_GB2312;楷体" w:eastAsia="楷体_GB2312;楷体"/>
          <w:b/>
          <w:bCs/>
          <w:sz w:val="32"/>
          <w:u w:val="none"/>
          <w:lang w:val="en-US" w:eastAsia="zh-CN"/>
        </w:rPr>
        <w:t>和</w:t>
      </w:r>
      <w:r>
        <w:rPr>
          <w:rFonts w:ascii="楷体_GB2312;楷体" w:hAnsi="楷体_GB2312;楷体" w:cs="楷体_GB2312;楷体" w:eastAsia="楷体_GB2312;楷体"/>
          <w:b/>
          <w:bCs/>
          <w:sz w:val="32"/>
          <w:u w:val="none"/>
          <w:lang w:eastAsia="zh-CN"/>
        </w:rPr>
        <w:t>渔业生态修复能力</w:t>
      </w:r>
    </w:p>
    <w:p>
      <w:pPr>
        <w:pStyle w:val="Normal"/>
        <w:keepNext w:val="false"/>
        <w:keepLines w:val="false"/>
        <w:pageBreakBefore w:val="false"/>
        <w:widowControl w:val="false"/>
        <w:pBdr/>
        <w:kinsoku w:val="true"/>
        <w:overflowPunct w:val="true"/>
        <w:autoSpaceDE w:val="true"/>
        <w:bidi w:val="0"/>
        <w:snapToGrid w:val="false"/>
        <w:spacing w:lineRule="exact" w:line="600"/>
        <w:ind w:left="0" w:firstLine="640"/>
        <w:textAlignment w:val="auto"/>
        <w:rPr>
          <w:rFonts w:ascii="仿宋_GB2312;仿宋" w:hAnsi="仿宋_GB2312;仿宋" w:eastAsia="仿宋_GB2312;仿宋" w:cs="仿宋_GB2312;仿宋"/>
          <w:b w:val="false"/>
          <w:b w:val="false"/>
          <w:bCs w:val="false"/>
          <w:color w:val="000000"/>
          <w:sz w:val="32"/>
          <w:szCs w:val="32"/>
          <w:lang w:eastAsia="zh-CN"/>
        </w:rPr>
      </w:pP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严格贯彻实施《长江保护法》《中华鲟保护管理条例》等法律法规，加强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水生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野生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动植物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监管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保护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，提高应急救助效率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，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推动中华鲟基地二期工程项目正式运营。加强渔业资源监测网络建设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，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完善涉渔工程环境影响评价和渔业生态补修复偿机制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，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加大水域生态修复力度。继续通过增殖放流、海洋牧场建设、水生生物救护等措施，加大重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要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渔业水域的资源养护和生态修复力度。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防范外来物种入侵。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以中华鲟实现人工繁殖为突破口，进一步完善长江口中华鲟保种繁育基地科研条件，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val="en-US" w:eastAsia="zh-CN"/>
        </w:rPr>
        <w:t>提升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上海水生生物馆科普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科研能力，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加快培养和储备珍稀水生野生动植物保护科研和技术人才。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pBdr/>
        <w:kinsoku w:val="true"/>
        <w:overflowPunct w:val="true"/>
        <w:autoSpaceDE w:val="true"/>
        <w:bidi w:val="0"/>
        <w:snapToGrid w:val="false"/>
        <w:spacing w:lineRule="exact" w:line="600"/>
        <w:ind w:left="0" w:firstLine="643"/>
        <w:textAlignment w:val="auto"/>
        <w:outlineLvl w:val="1"/>
        <w:rPr>
          <w:rFonts w:ascii="楷体_GB2312;楷体" w:hAnsi="楷体_GB2312;楷体" w:eastAsia="楷体_GB2312;楷体" w:cs="楷体_GB2312;楷体"/>
          <w:b/>
          <w:b/>
          <w:bCs/>
          <w:sz w:val="32"/>
          <w:highlight w:val="none"/>
          <w:u w:val="none"/>
          <w:lang w:eastAsia="zh-CN"/>
        </w:rPr>
      </w:pPr>
      <w:r>
        <w:rPr>
          <w:rFonts w:ascii="楷体_GB2312;楷体" w:hAnsi="楷体_GB2312;楷体" w:cs="楷体_GB2312;楷体" w:eastAsia="楷体_GB2312;楷体"/>
          <w:b/>
          <w:bCs/>
          <w:sz w:val="32"/>
          <w:u w:val="none"/>
          <w:lang w:eastAsia="zh-CN"/>
        </w:rPr>
        <w:t>（五）加快渔业产业提质增效</w:t>
      </w:r>
    </w:p>
    <w:p>
      <w:pPr>
        <w:pStyle w:val="Normal"/>
        <w:keepNext w:val="false"/>
        <w:keepLines w:val="false"/>
        <w:pageBreakBefore w:val="false"/>
        <w:widowControl w:val="false"/>
        <w:pBdr/>
        <w:kinsoku w:val="true"/>
        <w:overflowPunct w:val="true"/>
        <w:autoSpaceDE w:val="true"/>
        <w:bidi w:val="0"/>
        <w:snapToGrid w:val="false"/>
        <w:spacing w:lineRule="exact" w:line="600"/>
        <w:ind w:left="0" w:firstLine="640"/>
        <w:textAlignment w:val="auto"/>
        <w:rPr>
          <w:rFonts w:ascii="仿宋_GB2312;仿宋" w:hAnsi="仿宋_GB2312;仿宋" w:eastAsia="仿宋_GB2312;仿宋" w:cs="仿宋_GB2312;仿宋"/>
          <w:color w:val="000000"/>
          <w:sz w:val="32"/>
          <w:szCs w:val="32"/>
        </w:rPr>
      </w:pP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推进中华绒螯蟹、南美白对虾、生态鱼等地方区域性品牌建设。将品牌打造与特色水产品优势区建设，绿色、有机等产品认证紧密结合，打造一批区域性特色水产品品牌。着力培育龙头企业、养殖大户、渔民生产合作组织和家庭标准化水产养殖场等新型渔业经营主体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，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整体提升产业组织化程度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。鼓励渔业生产企业向加工、市场营销等方向延伸，通过延伸产业链提高盈利能力。加大引入优质产品力度，逐步形成具有水产特色的产品、品牌和市场，以满足市民对安全优质营养健康高蛋白水产品的消费需求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。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发挥产地冷链物流优势，提升鲜品直达供应水平。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扩大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观赏鱼、龟等品种的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苗种培育和养殖，争取观赏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水族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、器材和投入品等年销售额有较大提高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。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探索推进“渔业</w:t>
      </w:r>
      <w:r>
        <w:rPr>
          <w:rFonts w:eastAsia="仿宋_GB2312;仿宋" w:cs="仿宋_GB2312;仿宋" w:ascii="仿宋_GB2312;仿宋" w:hAnsi="仿宋_GB2312;仿宋"/>
          <w:color w:val="000000"/>
          <w:sz w:val="32"/>
          <w:szCs w:val="32"/>
          <w:lang w:val="en-US" w:eastAsia="zh-CN"/>
        </w:rPr>
        <w:t>+”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融合，挖掘传承渔文化。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以横沙渔港为核心，吸引更多优质远洋水产品捕捞船到港卸货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。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培育深远海养殖产品加工、暂养和集散功能，建设集水产品交易与加工、冷链物流等功能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val="en-US" w:eastAsia="zh-CN"/>
        </w:rPr>
        <w:t>于一体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的渔港经济区。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pBdr/>
        <w:kinsoku w:val="true"/>
        <w:overflowPunct w:val="true"/>
        <w:autoSpaceDE w:val="true"/>
        <w:bidi w:val="0"/>
        <w:snapToGrid w:val="false"/>
        <w:spacing w:lineRule="exact" w:line="600"/>
        <w:ind w:left="0" w:firstLine="643"/>
        <w:textAlignment w:val="auto"/>
        <w:outlineLvl w:val="1"/>
        <w:rPr>
          <w:rFonts w:ascii="楷体_GB2312;楷体" w:hAnsi="楷体_GB2312;楷体" w:eastAsia="楷体_GB2312;楷体" w:cs="楷体_GB2312;楷体"/>
          <w:b/>
          <w:b/>
          <w:bCs/>
          <w:sz w:val="32"/>
          <w:highlight w:val="none"/>
          <w:u w:val="none"/>
          <w:lang w:eastAsia="zh-CN"/>
        </w:rPr>
      </w:pPr>
      <w:r>
        <w:rPr>
          <w:rFonts w:ascii="楷体_GB2312;楷体" w:hAnsi="楷体_GB2312;楷体" w:cs="楷体_GB2312;楷体" w:eastAsia="楷体_GB2312;楷体"/>
          <w:b/>
          <w:bCs/>
          <w:sz w:val="32"/>
          <w:u w:val="none"/>
          <w:lang w:eastAsia="zh-CN"/>
        </w:rPr>
        <w:t>（</w:t>
      </w:r>
      <w:r>
        <w:rPr>
          <w:rFonts w:ascii="楷体_GB2312;楷体" w:hAnsi="楷体_GB2312;楷体" w:cs="楷体_GB2312;楷体" w:eastAsia="楷体_GB2312;楷体"/>
          <w:b/>
          <w:bCs/>
          <w:sz w:val="32"/>
          <w:u w:val="none"/>
          <w:lang w:val="en-US" w:eastAsia="zh-CN"/>
        </w:rPr>
        <w:t>六</w:t>
      </w:r>
      <w:r>
        <w:rPr>
          <w:rFonts w:ascii="楷体_GB2312;楷体" w:hAnsi="楷体_GB2312;楷体" w:cs="楷体_GB2312;楷体" w:eastAsia="楷体_GB2312;楷体"/>
          <w:b/>
          <w:bCs/>
          <w:sz w:val="32"/>
          <w:u w:val="none"/>
          <w:lang w:eastAsia="zh-CN"/>
        </w:rPr>
        <w:t>）推动水产品供应链数字化水平系统性提升</w:t>
      </w:r>
    </w:p>
    <w:p>
      <w:pPr>
        <w:pStyle w:val="Normal"/>
        <w:keepNext w:val="false"/>
        <w:keepLines w:val="false"/>
        <w:pageBreakBefore w:val="false"/>
        <w:widowControl w:val="false"/>
        <w:pBdr/>
        <w:kinsoku w:val="true"/>
        <w:overflowPunct w:val="true"/>
        <w:autoSpaceDE w:val="true"/>
        <w:bidi w:val="0"/>
        <w:snapToGrid w:val="false"/>
        <w:spacing w:lineRule="exact" w:line="600"/>
        <w:ind w:left="0" w:firstLine="640"/>
        <w:textAlignment w:val="auto"/>
        <w:rPr>
          <w:rFonts w:ascii="仿宋_GB2312;仿宋" w:hAnsi="仿宋_GB2312;仿宋" w:eastAsia="仿宋_GB2312;仿宋" w:cs="仿宋_GB2312;仿宋"/>
          <w:b w:val="false"/>
          <w:b w:val="false"/>
          <w:bCs w:val="false"/>
          <w:color w:val="000000"/>
          <w:sz w:val="32"/>
          <w:szCs w:val="32"/>
          <w:lang w:eastAsia="zh-CN"/>
        </w:rPr>
      </w:pP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</w:rPr>
        <w:t>打造“精准</w:t>
      </w:r>
      <w:r>
        <w:rPr>
          <w:rFonts w:eastAsia="仿宋_GB2312;仿宋" w:cs="仿宋_GB2312;仿宋" w:ascii="仿宋_GB2312;仿宋" w:hAnsi="仿宋_GB2312;仿宋"/>
          <w:b w:val="false"/>
          <w:bCs w:val="false"/>
          <w:color w:val="000000"/>
          <w:sz w:val="32"/>
          <w:szCs w:val="32"/>
        </w:rPr>
        <w:t>-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</w:rPr>
        <w:t>智能”的数智化生产模式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，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</w:rPr>
        <w:t>探索技术融合创新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，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</w:rPr>
        <w:t>扩展模式与品种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，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</w:rPr>
        <w:t>将现有智慧养殖模式及技术体系，逐步复制推广至更多水产养殖品种（如虾、蟹等）及不同规模的养殖主体。强化核心场景赋能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，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</w:rPr>
        <w:t>依托水产智慧养殖车间等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工厂化养殖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</w:rPr>
        <w:t>基地，加速推广已验证的智慧养殖方案，扩大在精准投饲、智能巡检、病害</w:t>
      </w:r>
      <w:r>
        <w:rPr>
          <w:rFonts w:eastAsia="仿宋_GB2312;仿宋" w:cs="仿宋_GB2312;仿宋" w:ascii="仿宋_GB2312;仿宋" w:hAnsi="仿宋_GB2312;仿宋"/>
          <w:b w:val="false"/>
          <w:bCs w:val="false"/>
          <w:color w:val="000000"/>
          <w:sz w:val="32"/>
          <w:szCs w:val="32"/>
        </w:rPr>
        <w:t>AI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</w:rPr>
        <w:t>预警等方面的应用规模。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</w:rPr>
        <w:t>构建“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品牌</w:t>
      </w:r>
      <w:r>
        <w:rPr>
          <w:rFonts w:eastAsia="仿宋_GB2312;仿宋" w:cs="仿宋_GB2312;仿宋" w:ascii="仿宋_GB2312;仿宋" w:hAnsi="仿宋_GB2312;仿宋"/>
          <w:b w:val="false"/>
          <w:bCs w:val="false"/>
          <w:color w:val="000000"/>
          <w:sz w:val="32"/>
          <w:szCs w:val="32"/>
        </w:rPr>
        <w:t>-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可信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</w:rPr>
        <w:t>”协同的数智化产业生态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，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</w:rPr>
        <w:t>探索优质优价机制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，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</w:rPr>
        <w:t>研究并推动建立基于区域品牌与现代设施渔业的“数字”品牌体系，探索将区块链溯源数据与电子批次码互认体系相结合，使生产端的质量数据在交易环节转化为可信价格信号。构建可信数据基础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，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val="en-US" w:eastAsia="zh-CN"/>
        </w:rPr>
        <w:t>立足本地特色水产品优势，依托市大数据中心“随申码”“政务区块链”数字底座，打造农业数字化核心品牌“申农链”，构建“从田间到餐桌”全流程区块链溯源体系，形成从生产到消费的信任经济闭环，筑牢水产品安全防线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。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创新“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素养</w:t>
      </w:r>
      <w:r>
        <w:rPr>
          <w:rFonts w:eastAsia="仿宋_GB2312;仿宋" w:cs="仿宋_GB2312;仿宋" w:ascii="仿宋_GB2312;仿宋" w:hAnsi="仿宋_GB2312;仿宋"/>
          <w:b w:val="false"/>
          <w:bCs w:val="false"/>
          <w:color w:val="000000"/>
          <w:sz w:val="32"/>
          <w:szCs w:val="32"/>
          <w:lang w:eastAsia="zh-CN"/>
        </w:rPr>
        <w:t>-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渠道”协同的数智化经营路径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，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val="en-US" w:eastAsia="zh-CN"/>
        </w:rPr>
        <w:t>提升从业人员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数字素养，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</w:rPr>
        <w:t>围绕智慧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水产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</w:rPr>
        <w:t>、数字营销等数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智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</w:rPr>
        <w:t>化转型关键领域，开展精准培训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。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</w:rPr>
        <w:t>与高校建立人才联合培养机制，通过“理论</w:t>
      </w:r>
      <w:r>
        <w:rPr>
          <w:rFonts w:eastAsia="仿宋_GB2312;仿宋" w:cs="仿宋_GB2312;仿宋" w:ascii="仿宋_GB2312;仿宋" w:hAnsi="仿宋_GB2312;仿宋"/>
          <w:b w:val="false"/>
          <w:bCs w:val="false"/>
          <w:color w:val="000000"/>
          <w:sz w:val="32"/>
          <w:szCs w:val="32"/>
        </w:rPr>
        <w:t>+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</w:rPr>
        <w:t>场景</w:t>
      </w:r>
      <w:r>
        <w:rPr>
          <w:rFonts w:eastAsia="仿宋_GB2312;仿宋" w:cs="仿宋_GB2312;仿宋" w:ascii="仿宋_GB2312;仿宋" w:hAnsi="仿宋_GB2312;仿宋"/>
          <w:b w:val="false"/>
          <w:bCs w:val="false"/>
          <w:color w:val="000000"/>
          <w:sz w:val="32"/>
          <w:szCs w:val="32"/>
        </w:rPr>
        <w:t>+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</w:rPr>
        <w:t>项目”模式，开展多层次培训。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val="en-US" w:eastAsia="zh-CN"/>
        </w:rPr>
        <w:t>拓宽水产品营销渠道，鼓励水产养殖场对接顶流主播带货，与知名销售平台洽谈订单销货，自建线上销售网点直接售货，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eastAsia="zh-CN"/>
        </w:rPr>
        <w:t>拓展水产品销售渠道。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pBdr/>
        <w:kinsoku w:val="true"/>
        <w:overflowPunct w:val="true"/>
        <w:autoSpaceDE w:val="true"/>
        <w:bidi w:val="0"/>
        <w:snapToGrid w:val="false"/>
        <w:spacing w:lineRule="exact" w:line="600"/>
        <w:ind w:left="0" w:firstLine="643"/>
        <w:textAlignment w:val="auto"/>
        <w:outlineLvl w:val="0"/>
        <w:rPr>
          <w:rFonts w:ascii="Times New Roman" w:hAnsi="Times New Roman" w:eastAsia="黑体" w:cs="Times New Roman"/>
          <w:b/>
          <w:b/>
          <w:bCs/>
          <w:kern w:val="2"/>
          <w:sz w:val="32"/>
          <w:szCs w:val="24"/>
          <w:lang w:val="en-US" w:eastAsia="zh-CN" w:bidi="ar-SA"/>
        </w:rPr>
      </w:pPr>
      <w:r>
        <w:rPr>
          <w:rFonts w:ascii="Times New Roman" w:hAnsi="Times New Roman" w:cs="Times New Roman" w:eastAsia="黑体"/>
          <w:b/>
          <w:bCs/>
          <w:kern w:val="2"/>
          <w:sz w:val="32"/>
          <w:szCs w:val="24"/>
          <w:lang w:val="en-US" w:eastAsia="zh-CN" w:bidi="ar-SA"/>
        </w:rPr>
        <w:t>三、保障措施</w:t>
      </w:r>
    </w:p>
    <w:p>
      <w:pPr>
        <w:pStyle w:val="Normal"/>
        <w:keepNext w:val="false"/>
        <w:keepLines w:val="false"/>
        <w:pageBreakBefore w:val="false"/>
        <w:widowControl w:val="false"/>
        <w:pBdr/>
        <w:kinsoku w:val="true"/>
        <w:overflowPunct w:val="true"/>
        <w:autoSpaceDE w:val="true"/>
        <w:bidi w:val="0"/>
        <w:snapToGrid w:val="false"/>
        <w:spacing w:lineRule="exact" w:line="600"/>
        <w:ind w:left="0" w:firstLine="640"/>
        <w:textAlignment w:val="auto"/>
        <w:rPr/>
      </w:pP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val="en-US" w:eastAsia="zh-CN"/>
        </w:rPr>
        <w:t>加强组织领导，建立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val="en-US" w:eastAsia="zh-CN"/>
        </w:rPr>
        <w:t>健全渔业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val="en-US" w:eastAsia="zh-CN"/>
        </w:rPr>
        <w:t>渔政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val="en-US" w:eastAsia="zh-CN"/>
        </w:rPr>
        <w:t>主管部门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val="en-US" w:eastAsia="zh-CN"/>
        </w:rPr>
        <w:t>牵头指导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val="en-US" w:eastAsia="zh-CN"/>
        </w:rPr>
        <w:t>、科研教学单位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val="en-US" w:eastAsia="zh-CN"/>
        </w:rPr>
        <w:t>全面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val="en-US" w:eastAsia="zh-CN"/>
        </w:rPr>
        <w:t>配合、市场主体积极参与、各方协同推进的工作机制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val="en-US" w:eastAsia="zh-CN"/>
        </w:rPr>
        <w:t>，统筹协调并落实渔业发展的政策措施和工作责任。加强政策引导和资金支持，</w:t>
      </w:r>
      <w:r>
        <w:rPr>
          <w:rFonts w:ascii="仿宋_GB2312;仿宋" w:hAnsi="仿宋_GB2312;仿宋" w:cs="Times New Roman" w:eastAsia="仿宋_GB2312;仿宋"/>
          <w:color w:val="000000"/>
          <w:kern w:val="0"/>
          <w:sz w:val="32"/>
          <w:szCs w:val="30"/>
          <w:lang w:val="en-US" w:eastAsia="zh-CN" w:bidi="ar-SA"/>
        </w:rPr>
        <w:t>统筹</w:t>
      </w:r>
      <w:r>
        <w:rPr>
          <w:rFonts w:ascii="仿宋_GB2312;仿宋" w:hAnsi="仿宋_GB2312;仿宋" w:cs="Times New Roman" w:eastAsia="仿宋_GB2312;仿宋"/>
          <w:color w:val="000000"/>
          <w:kern w:val="0"/>
          <w:sz w:val="32"/>
          <w:szCs w:val="30"/>
          <w:lang w:val="en-US" w:eastAsia="zh-CN" w:bidi="ar-SA"/>
        </w:rPr>
        <w:t>利用</w:t>
      </w:r>
      <w:r>
        <w:rPr>
          <w:rFonts w:ascii="仿宋_GB2312;仿宋" w:hAnsi="仿宋_GB2312;仿宋" w:cs="Times New Roman" w:eastAsia="仿宋_GB2312;仿宋"/>
          <w:color w:val="000000"/>
          <w:kern w:val="0"/>
          <w:sz w:val="32"/>
          <w:szCs w:val="30"/>
          <w:lang w:val="en-US" w:eastAsia="zh-CN" w:bidi="ar-SA"/>
        </w:rPr>
        <w:t>绿色生产补贴专项、都市现代农业发展专项和科技兴农项目等</w:t>
      </w:r>
      <w:r>
        <w:rPr>
          <w:rFonts w:ascii="仿宋_GB2312;仿宋" w:hAnsi="仿宋_GB2312;仿宋" w:cs="Times New Roman" w:eastAsia="仿宋_GB2312;仿宋"/>
          <w:color w:val="000000"/>
          <w:kern w:val="0"/>
          <w:sz w:val="32"/>
          <w:szCs w:val="30"/>
          <w:lang w:val="en-US" w:eastAsia="zh-CN" w:bidi="ar-SA"/>
        </w:rPr>
        <w:t>各类涉农惠农资金，</w:t>
      </w:r>
      <w:r>
        <w:rPr>
          <w:rFonts w:ascii="仿宋_GB2312;仿宋" w:hAnsi="仿宋_GB2312;仿宋" w:cs="仿宋_GB2312;仿宋" w:eastAsia="仿宋_GB2312;仿宋"/>
          <w:b w:val="false"/>
          <w:bCs w:val="false"/>
          <w:color w:val="000000"/>
          <w:sz w:val="32"/>
          <w:szCs w:val="32"/>
          <w:lang w:val="en-US" w:eastAsia="zh-CN"/>
        </w:rPr>
        <w:t>优化项目资金管理，确保财政资金使用效果，使支渔惠渔政策落到实处。坚持渔业科技创新驱动，</w:t>
      </w:r>
      <w:r>
        <w:rPr>
          <w:rFonts w:ascii="仿宋_GB2312;仿宋" w:hAnsi="仿宋_GB2312;仿宋" w:cs="仿宋_GB2312;仿宋" w:eastAsia="仿宋_GB2312;仿宋"/>
          <w:i w:val="false"/>
          <w:caps w:val="false"/>
          <w:smallCaps w:val="false"/>
          <w:color w:val="000000"/>
          <w:spacing w:val="0"/>
          <w:sz w:val="32"/>
          <w:szCs w:val="32"/>
          <w:shd w:fill="FFFFFF" w:val="clear"/>
        </w:rPr>
        <w:t>加强渔业科技合作交流，充分发挥我市水产科研院所集中、科技力量雄厚的优势，建立一支稳定的高素质渔业科研和推广</w:t>
      </w:r>
      <w:r>
        <w:rPr>
          <w:rFonts w:ascii="仿宋_GB2312;仿宋" w:hAnsi="仿宋_GB2312;仿宋" w:cs="仿宋_GB2312;仿宋" w:eastAsia="仿宋_GB2312;仿宋"/>
          <w:i w:val="false"/>
          <w:caps w:val="false"/>
          <w:smallCaps w:val="false"/>
          <w:color w:val="000000"/>
          <w:spacing w:val="0"/>
          <w:sz w:val="32"/>
          <w:szCs w:val="32"/>
          <w:shd w:fill="FFFFFF" w:val="clear"/>
          <w:lang w:val="en-US" w:eastAsia="zh-CN"/>
        </w:rPr>
        <w:t>人才</w:t>
      </w:r>
      <w:r>
        <w:rPr>
          <w:rFonts w:ascii="仿宋_GB2312;仿宋" w:hAnsi="仿宋_GB2312;仿宋" w:cs="仿宋_GB2312;仿宋" w:eastAsia="仿宋_GB2312;仿宋"/>
          <w:i w:val="false"/>
          <w:caps w:val="false"/>
          <w:smallCaps w:val="false"/>
          <w:color w:val="000000"/>
          <w:spacing w:val="0"/>
          <w:sz w:val="32"/>
          <w:szCs w:val="32"/>
          <w:shd w:fill="FFFFFF" w:val="clear"/>
        </w:rPr>
        <w:t>队伍，提升水产健康养殖科技支撑能力和服务水平。加大新型渔民培训力度，开展养殖渔民、捕捞渔民职业培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训和特色技能培训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lang w:eastAsia="zh-CN"/>
        </w:rPr>
        <w:t>，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</w:rPr>
        <w:t>不断提高渔业从业人员的技能，着力培养一批有文化、懂技术、善经营的新型渔业领军人才，发挥辐射带</w:t>
      </w:r>
      <w:r>
        <w:rPr>
          <w:rFonts w:ascii="仿宋_GB2312;仿宋" w:hAnsi="仿宋_GB2312;仿宋" w:cs="仿宋_GB2312;仿宋" w:eastAsia="仿宋_GB2312;仿宋"/>
          <w:color w:val="000000"/>
          <w:sz w:val="32"/>
          <w:szCs w:val="32"/>
          <w:u w:val="none"/>
        </w:rPr>
        <w:t>动作用。</w:t>
      </w:r>
    </w:p>
    <w:sectPr>
      <w:footerReference w:type="default" r:id="rId2"/>
      <w:type w:val="nextPage"/>
      <w:pgSz w:w="11906" w:h="16838"/>
      <w:pgMar w:left="1800" w:right="1800" w:gutter="0" w:header="0" w:top="1440" w:footer="992" w:bottom="1440"/>
      <w:pgNumType w:start="1"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0"/>
    <w:family w:val="swiss"/>
    <w:pitch w:val="default"/>
  </w:font>
  <w:font w:name="Arial">
    <w:charset w:val="00"/>
    <w:family w:val="swiss"/>
    <w:pitch w:val="default"/>
  </w:font>
  <w:font w:name="serif">
    <w:altName w:val="宋体"/>
    <w:charset w:val="00"/>
    <w:family w:val="auto"/>
    <w:pitch w:val="default"/>
  </w:font>
  <w:font w:name="Liberation Sans">
    <w:altName w:val="Arial"/>
    <w:charset w:val="01"/>
    <w:family w:val="swiss"/>
    <w:pitch w:val="variable"/>
  </w:font>
  <w:font w:name="Times New Roman">
    <w:charset w:val="00"/>
    <w:family w:val="roman"/>
    <w:pitch w:val="default"/>
  </w:font>
  <w:font w:name="宋体">
    <w:charset w:val="86"/>
    <w:family w:val="auto"/>
    <w:pitch w:val="default"/>
  </w:font>
  <w:font w:name="黑体">
    <w:charset w:val="86"/>
    <w:family w:val="auto"/>
    <w:pitch w:val="default"/>
  </w:font>
  <w:font w:name="方正小标宋简体">
    <w:altName w:val="黑体"/>
    <w:charset w:val="86"/>
    <w:family w:val="roman"/>
    <w:pitch w:val="default"/>
  </w:font>
  <w:font w:name="楷体_GB2312">
    <w:altName w:val="楷体"/>
    <w:charset w:val="86"/>
    <w:family w:val="auto"/>
    <w:pitch w:val="default"/>
  </w:font>
  <w:font w:name="仿宋_GB2312">
    <w:altName w:val="仿宋"/>
    <w:charset w:val="86"/>
    <w:family w:val="moder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18"/>
      </w:rPr>
    </w:pPr>
    <w:r>
      <w:rPr>
        <w:sz w:val="18"/>
      </w:rPr>
    </w:r>
    <w:r>
      <mc:AlternateContent>
        <mc:Choice Requires="wps">
          <w:drawing>
            <wp:anchor behindDoc="1" distT="0" distB="0" distL="114935" distR="0" simplePos="0" locked="0" layoutInCell="0" allowOverlap="1" relativeHeight="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14935" cy="20828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935" cy="20828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eastAsia="宋体" w:cs="宋体"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  <w:rFonts w:eastAsia="宋体" w:cs="宋体" w:ascii="宋体" w:hAnsi="宋体"/>
                            </w:rPr>
                            <w:instrText xml:space="preserve"> PAGE </w:instrText>
                          </w:r>
                          <w:r>
                            <w:rPr>
                              <w:sz w:val="28"/>
                              <w:szCs w:val="28"/>
                              <w:rFonts w:eastAsia="宋体" w:cs="宋体" w:ascii="宋体" w:hAnsi="宋体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  <w:rFonts w:eastAsia="宋体" w:cs="宋体" w:ascii="宋体" w:hAnsi="宋体"/>
                            </w:rPr>
                            <w:t>7</w:t>
                          </w:r>
                          <w:r>
                            <w:rPr>
                              <w:sz w:val="28"/>
                              <w:szCs w:val="28"/>
                              <w:rFonts w:eastAsia="宋体" w:cs="宋体" w:ascii="宋体" w:hAnsi="宋体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9.05pt;height:16.4pt;mso-wrap-distance-left:9.05pt;mso-wrap-distance-right:0pt;mso-wrap-distance-top:0pt;mso-wrap-distance-bottom:0pt;margin-top:0pt;mso-position-vertical-relative:text;margin-left:406.25pt;mso-position-horizontal:outside;mso-position-horizontal-relative:margin">
              <v:fill opacity="0f"/>
              <v:textbox inset="0.000694444444444444in,0.000694444444444444in,0.000694444444444444in,0.000694444444444444in">
                <w:txbxContent>
                  <w:p>
                    <w:pPr>
                      <w:pStyle w:val="Footer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eastAsia="宋体" w:cs="宋体"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  <w:rFonts w:eastAsia="宋体" w:cs="宋体" w:ascii="宋体" w:hAnsi="宋体"/>
                      </w:rPr>
                      <w:instrText xml:space="preserve"> PAGE </w:instrText>
                    </w:r>
                    <w:r>
                      <w:rPr>
                        <w:sz w:val="28"/>
                        <w:szCs w:val="28"/>
                        <w:rFonts w:eastAsia="宋体" w:cs="宋体" w:ascii="宋体" w:hAnsi="宋体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  <w:rFonts w:eastAsia="宋体" w:cs="宋体" w:ascii="宋体" w:hAnsi="宋体"/>
                      </w:rPr>
                      <w:t>7</w:t>
                    </w:r>
                    <w:r>
                      <w:rPr>
                        <w:sz w:val="28"/>
                        <w:szCs w:val="28"/>
                        <w:rFonts w:eastAsia="宋体" w:cs="宋体" w:ascii="宋体" w:hAnsi="宋体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33"/>
  <w:trackRevisions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Calibri" w:hAnsi="Calibri" w:eastAsia="宋体" w:cs="Calibri"/>
      <w:color w:val="auto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lineRule="auto" w:line="576" w:before="340" w:after="330"/>
      <w:outlineLvl w:val="0"/>
    </w:pPr>
    <w:rPr>
      <w:b/>
      <w:kern w:val="2"/>
      <w:sz w:val="44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lineRule="auto" w:line="412" w:before="260" w:after="260"/>
      <w:outlineLvl w:val="1"/>
    </w:pPr>
    <w:rPr>
      <w:rFonts w:ascii="Arial" w:hAnsi="Arial" w:eastAsia="黑体" w:cs="Arial"/>
      <w:b/>
      <w:sz w:val="32"/>
    </w:rPr>
  </w:style>
  <w:style w:type="character" w:styleId="Style12">
    <w:name w:val="默认段落字体"/>
    <w:qFormat/>
    <w:rPr/>
  </w:style>
  <w:style w:type="character" w:styleId="StrongEmphasis">
    <w:name w:val="Strong Emphasis"/>
    <w:qFormat/>
    <w:rPr>
      <w:b/>
    </w:rPr>
  </w:style>
  <w:style w:type="character" w:styleId="PageNumber">
    <w:name w:val="Page Number"/>
    <w:rPr/>
  </w:style>
  <w:style w:type="character" w:styleId="VisitedInternetLink">
    <w:name w:val="FollowedHyperlink"/>
    <w:rPr>
      <w:color w:val="338DE6"/>
      <w:u w:val="none"/>
    </w:rPr>
  </w:style>
  <w:style w:type="character" w:styleId="Emphasis">
    <w:name w:val="Emphasis"/>
    <w:qFormat/>
    <w:rPr/>
  </w:style>
  <w:style w:type="character" w:styleId="HTML">
    <w:name w:val="HTML 定义"/>
    <w:qFormat/>
    <w:rPr/>
  </w:style>
  <w:style w:type="character" w:styleId="HTML1">
    <w:name w:val="HTML 变量"/>
    <w:qFormat/>
    <w:rPr/>
  </w:style>
  <w:style w:type="character" w:styleId="InternetLink">
    <w:name w:val="Hyperlink"/>
    <w:rPr>
      <w:color w:val="338DE6"/>
      <w:u w:val="none"/>
    </w:rPr>
  </w:style>
  <w:style w:type="character" w:styleId="HTML2">
    <w:name w:val="HTML 代码"/>
    <w:qFormat/>
    <w:rPr>
      <w:rFonts w:ascii="serif;宋体" w:hAnsi="serif;宋体" w:eastAsia="serif;宋体" w:cs="serif;宋体"/>
      <w:sz w:val="21"/>
      <w:szCs w:val="21"/>
    </w:rPr>
  </w:style>
  <w:style w:type="character" w:styleId="HTML3">
    <w:name w:val="HTML 引文"/>
    <w:qFormat/>
    <w:rPr/>
  </w:style>
  <w:style w:type="character" w:styleId="HTML4">
    <w:name w:val="HTML 键盘"/>
    <w:qFormat/>
    <w:rPr>
      <w:rFonts w:ascii="serif;宋体" w:hAnsi="serif;宋体" w:eastAsia="serif;宋体" w:cs="serif;宋体"/>
      <w:sz w:val="21"/>
      <w:szCs w:val="21"/>
      <w:shd w:fill="FFFFFF" w:val="clear"/>
    </w:rPr>
  </w:style>
  <w:style w:type="character" w:styleId="HTML5">
    <w:name w:val="HTML 样本"/>
    <w:qFormat/>
    <w:rPr>
      <w:rFonts w:ascii="serif;宋体" w:hAnsi="serif;宋体" w:eastAsia="serif;宋体" w:cs="serif;宋体"/>
      <w:sz w:val="21"/>
      <w:szCs w:val="21"/>
      <w:u w:val="single"/>
    </w:rPr>
  </w:style>
  <w:style w:type="character" w:styleId="Fontborder">
    <w:name w:val="fontborder"/>
    <w:qFormat/>
    <w:rPr>
      <w:bdr w:val="single" w:sz="6" w:space="0" w:color="000000"/>
    </w:rPr>
  </w:style>
  <w:style w:type="character" w:styleId="Fontstrikethrough">
    <w:name w:val="fontstrikethrough"/>
    <w:qFormat/>
    <w:rPr>
      <w:strike/>
    </w:rPr>
  </w:style>
  <w:style w:type="character" w:styleId="NormalCharacter">
    <w:name w:val="NormalCharacter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TextBody">
    <w:name w:val="Body Text"/>
    <w:basedOn w:val="Normal"/>
    <w:next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extBodyIndent">
    <w:name w:val="Body Text Indent"/>
    <w:basedOn w:val="Normal"/>
    <w:next w:val="TextBody"/>
    <w:pPr>
      <w:spacing w:before="0" w:after="120"/>
      <w:ind w:left="420" w:hanging="0"/>
    </w:pPr>
    <w:rPr>
      <w:rFonts w:ascii="Times New Roman" w:hAnsi="Times New Roman" w:cs="Times New Roman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</w:rPr>
  </w:style>
  <w:style w:type="paragraph" w:styleId="Header">
    <w:name w:val="Header"/>
    <w:basedOn w:val="Normal"/>
    <w:pPr>
      <w:pBdr/>
      <w:tabs>
        <w:tab w:val="clear" w:pos="420"/>
        <w:tab w:val="center" w:pos="4153" w:leader="none"/>
        <w:tab w:val="right" w:pos="8306" w:leader="none"/>
      </w:tabs>
      <w:snapToGrid w:val="false"/>
      <w:spacing w:lineRule="auto" w:line="240"/>
      <w:jc w:val="both"/>
    </w:pPr>
    <w:rPr>
      <w:sz w:val="18"/>
    </w:rPr>
  </w:style>
  <w:style w:type="paragraph" w:styleId="Contents1">
    <w:name w:val="TOC 1"/>
    <w:basedOn w:val="Normal"/>
    <w:next w:val="Normal"/>
    <w:pPr/>
    <w:rPr/>
  </w:style>
  <w:style w:type="paragraph" w:styleId="Contents2">
    <w:name w:val="TOC 2"/>
    <w:basedOn w:val="Normal"/>
    <w:next w:val="Normal"/>
    <w:pPr>
      <w:ind w:left="420" w:hanging="0"/>
    </w:pPr>
    <w:rPr/>
  </w:style>
  <w:style w:type="paragraph" w:styleId="2">
    <w:name w:val="正文文本 2"/>
    <w:basedOn w:val="Normal"/>
    <w:qFormat/>
    <w:pPr>
      <w:ind w:firstLine="1840"/>
    </w:pPr>
    <w:rPr/>
  </w:style>
  <w:style w:type="paragraph" w:styleId="Style13">
    <w:name w:val="普通(网站)"/>
    <w:basedOn w:val="Normal"/>
    <w:qFormat/>
    <w:pPr>
      <w:widowControl/>
      <w:spacing w:before="100" w:after="10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Style14">
    <w:name w:val="正文首行缩进"/>
    <w:basedOn w:val="TextBody"/>
    <w:next w:val="TextBody"/>
    <w:qFormat/>
    <w:pPr>
      <w:ind w:firstLine="420"/>
    </w:pPr>
    <w:rPr/>
  </w:style>
  <w:style w:type="paragraph" w:styleId="21">
    <w:name w:val="正文首行缩进 2"/>
    <w:basedOn w:val="Normal"/>
    <w:next w:val="Normal"/>
    <w:qFormat/>
    <w:pPr>
      <w:ind w:firstLine="420"/>
    </w:pPr>
    <w:rPr/>
  </w:style>
  <w:style w:type="paragraph" w:styleId="ListParagraph">
    <w:name w:val="List Paragraph"/>
    <w:basedOn w:val="Normal"/>
    <w:qFormat/>
    <w:pPr>
      <w:widowControl/>
      <w:ind w:firstLine="42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Abstract">
    <w:name w:val="abstract"/>
    <w:basedOn w:val="Normal"/>
    <w:qFormat/>
    <w:pPr>
      <w:jc w:val="left"/>
    </w:pPr>
    <w:rPr>
      <w:color w:val="666666"/>
      <w:kern w:val="0"/>
      <w:lang w:val="en-US" w:eastAsia="zh-CN" w:bidi="ar"/>
    </w:rPr>
  </w:style>
  <w:style w:type="paragraph" w:styleId="1">
    <w:name w:val="正文-公1"/>
    <w:basedOn w:val="Normal"/>
    <w:qFormat/>
    <w:pPr>
      <w:spacing w:lineRule="exact" w:line="576"/>
      <w:ind w:firstLine="200"/>
      <w:jc w:val="left"/>
    </w:pPr>
    <w:rPr>
      <w:rFonts w:eastAsia="仿宋_GB2312;仿宋"/>
    </w:rPr>
  </w:style>
  <w:style w:type="paragraph" w:styleId="FrameContents">
    <w:name w:val="Frame Contents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2014-11-11T04:08:00Z</dcterms:created>
  <dc:creator>OA</dc:creator>
  <dc:description/>
  <dc:language>en-US</dc:language>
  <cp:lastModifiedBy>yms</cp:lastModifiedBy>
  <cp:lastPrinted>2026-01-09T16:51:00Z</cp:lastPrinted>
  <dcterms:modified xsi:type="dcterms:W3CDTF">2026-09-15T02:57:21Z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1B6F3244F1B413ECC46CA36A077D93B0_43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eyJoZGlkIjoiYzNiNmU3ODBhNjNmMzM1ZWY3YmI4MzliOTY3NGMxNzMiLCJ1c2VySWQiOiIxNjkwMzU1OTI0In0=</vt:lpwstr>
  </property>
</Properties>
</file>