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600" w:before="0" w:after="0"/>
        <w:ind w:hanging="0"/>
        <w:jc w:val="left"/>
        <w:textAlignment w:val="auto"/>
        <w:rPr>
          <w:rFonts w:ascii="黑体" w:hAnsi="黑体" w:eastAsia="黑体" w:cs="黑体"/>
          <w:sz w:val="32"/>
          <w:szCs w:val="32"/>
          <w:lang w:eastAsia="zh"/>
        </w:rPr>
      </w:pPr>
      <w:r>
        <w:rPr>
          <w:rFonts w:ascii="黑体" w:hAnsi="黑体" w:cs="黑体" w:eastAsia="黑体"/>
          <w:sz w:val="32"/>
          <w:szCs w:val="32"/>
          <w:lang w:eastAsia="zh"/>
        </w:rPr>
        <w:t>附件</w:t>
      </w:r>
      <w:r>
        <w:rPr>
          <w:rFonts w:eastAsia="黑体" w:cs="黑体" w:ascii="黑体" w:hAnsi="黑体"/>
          <w:sz w:val="32"/>
          <w:szCs w:val="32"/>
          <w:lang w:eastAsia="zh"/>
        </w:rPr>
        <w:t>5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600" w:before="0" w:after="0"/>
        <w:ind w:hanging="0"/>
        <w:jc w:val="center"/>
        <w:textAlignment w:val="auto"/>
        <w:rPr>
          <w:rFonts w:ascii="方正小标宋简体;黑体" w:hAnsi="方正小标宋简体;黑体" w:eastAsia="方正小标宋简体;黑体" w:cs="方正小标宋简体;黑体"/>
          <w:sz w:val="36"/>
          <w:szCs w:val="36"/>
          <w:lang w:eastAsia="zh-CN"/>
        </w:rPr>
      </w:pPr>
      <w:r>
        <w:rPr>
          <w:rFonts w:ascii="方正小标宋简体;黑体" w:hAnsi="方正小标宋简体;黑体" w:cs="方正小标宋简体;黑体" w:eastAsia="方正小标宋简体;黑体"/>
          <w:sz w:val="44"/>
          <w:szCs w:val="44"/>
          <w:lang w:eastAsia="zh-CN"/>
        </w:rPr>
        <w:t>上海市现代种业高质量发展行动方案</w:t>
      </w:r>
    </w:p>
    <w:p>
      <w:pPr>
        <w:pStyle w:val="Normal"/>
        <w:keepNext w:val="false"/>
        <w:keepLines w:val="false"/>
        <w:pageBreakBefore w:val="false"/>
        <w:widowControl w:val="false"/>
        <w:kinsoku w:val="true"/>
        <w:overflowPunct w:val="true"/>
        <w:autoSpaceDE w:val="true"/>
        <w:bidi w:val="0"/>
        <w:snapToGrid w:val="true"/>
        <w:spacing w:lineRule="exact" w:line="600" w:before="0" w:after="0"/>
        <w:ind w:hanging="0"/>
        <w:jc w:val="center"/>
        <w:textAlignment w:val="auto"/>
        <w:rPr>
          <w:rFonts w:ascii="楷体_GB2312;楷体" w:hAnsi="楷体_GB2312;楷体" w:eastAsia="楷体_GB2312;楷体" w:cs="楷体_GB2312;楷体"/>
          <w:b/>
          <w:b/>
          <w:bCs/>
          <w:sz w:val="32"/>
          <w:szCs w:val="32"/>
          <w:lang w:eastAsia="zh-CN"/>
        </w:rPr>
      </w:pPr>
      <w:r>
        <w:rPr>
          <w:rFonts w:ascii="楷体_GB2312;楷体" w:hAnsi="楷体_GB2312;楷体" w:cs="楷体_GB2312;楷体" w:eastAsia="楷体_GB2312;楷体"/>
          <w:b/>
          <w:bCs/>
          <w:sz w:val="32"/>
          <w:szCs w:val="32"/>
          <w:lang w:eastAsia="zh-CN"/>
        </w:rPr>
        <w:t>（</w:t>
      </w:r>
      <w:r>
        <w:rPr>
          <w:rFonts w:eastAsia="楷体_GB2312;楷体" w:cs="楷体_GB2312;楷体" w:ascii="楷体_GB2312;楷体" w:hAnsi="楷体_GB2312;楷体"/>
          <w:b/>
          <w:bCs/>
          <w:sz w:val="32"/>
          <w:szCs w:val="32"/>
          <w:lang w:eastAsia="zh"/>
        </w:rPr>
        <w:t>2026—2030</w:t>
      </w:r>
      <w:r>
        <w:rPr>
          <w:rFonts w:ascii="楷体_GB2312;楷体" w:hAnsi="楷体_GB2312;楷体" w:cs="楷体_GB2312;楷体" w:eastAsia="楷体_GB2312;楷体"/>
          <w:b/>
          <w:bCs/>
          <w:sz w:val="32"/>
          <w:szCs w:val="32"/>
          <w:lang w:eastAsia="zh"/>
        </w:rPr>
        <w:t>年</w:t>
      </w:r>
      <w:r>
        <w:rPr>
          <w:rFonts w:ascii="楷体_GB2312;楷体" w:hAnsi="楷体_GB2312;楷体" w:cs="楷体_GB2312;楷体" w:eastAsia="楷体_GB2312;楷体"/>
          <w:b/>
          <w:bCs/>
          <w:sz w:val="32"/>
          <w:szCs w:val="32"/>
          <w:lang w:eastAsia="zh-CN"/>
        </w:rPr>
        <w:t>）</w:t>
      </w:r>
    </w:p>
    <w:p>
      <w:pPr>
        <w:pStyle w:val="Normal"/>
        <w:spacing w:lineRule="exact" w:line="600"/>
        <w:ind w:firstLine="600"/>
        <w:rPr>
          <w:rFonts w:ascii="楷体_GB2312;楷体" w:hAnsi="楷体_GB2312;楷体" w:eastAsia="楷体_GB2312;楷体" w:cs="楷体_GB2312;楷体"/>
          <w:b/>
          <w:b/>
          <w:bCs/>
          <w:sz w:val="32"/>
          <w:szCs w:val="32"/>
          <w:lang w:eastAsia="zh-CN"/>
        </w:rPr>
      </w:pPr>
      <w:r>
        <w:rPr>
          <w:rFonts w:eastAsia="楷体_GB2312;楷体" w:cs="楷体_GB2312;楷体" w:ascii="楷体_GB2312;楷体" w:hAnsi="楷体_GB2312;楷体"/>
          <w:b/>
          <w:bCs/>
          <w:sz w:val="32"/>
          <w:szCs w:val="32"/>
          <w:lang w:eastAsia="zh-CN"/>
        </w:rPr>
      </w:r>
    </w:p>
    <w:p>
      <w:pPr>
        <w:pStyle w:val="Normal"/>
        <w:ind w:hanging="0"/>
        <w:rPr/>
      </w:pPr>
      <w:r>
        <w:rPr/>
        <w:t>为</w:t>
      </w:r>
      <w:r>
        <w:rPr>
          <w:rFonts w:ascii="Times New Roman" w:hAnsi="Times New Roman" w:cs="仿宋_GB2312;仿宋"/>
          <w:sz w:val="32"/>
          <w:szCs w:val="32"/>
          <w:lang w:bidi="ar"/>
        </w:rPr>
        <w:t>深入贯彻</w:t>
      </w:r>
      <w:r>
        <w:rPr>
          <w:rFonts w:ascii="Times New Roman" w:hAnsi="Times New Roman" w:cs="仿宋_GB2312;仿宋"/>
          <w:sz w:val="32"/>
          <w:szCs w:val="32"/>
          <w:lang w:eastAsia="zh" w:bidi="ar"/>
        </w:rPr>
        <w:t>落实</w:t>
      </w:r>
      <w:r>
        <w:rPr>
          <w:rFonts w:ascii="Times New Roman" w:hAnsi="Times New Roman" w:cs="仿宋_GB2312;仿宋"/>
          <w:sz w:val="32"/>
          <w:szCs w:val="32"/>
          <w:lang w:eastAsia="zh-CN" w:bidi="ar"/>
        </w:rPr>
        <w:t>《加快农业农村现代化“十五五”规划》《加快建设农业强国规划（</w:t>
      </w:r>
      <w:r>
        <w:rPr>
          <w:rFonts w:eastAsia="仿宋_GB2312;仿宋" w:cs="仿宋_GB2312;仿宋"/>
          <w:sz w:val="32"/>
          <w:szCs w:val="32"/>
          <w:lang w:val="en-US" w:eastAsia="zh-CN" w:bidi="ar"/>
        </w:rPr>
        <w:t>2024</w:t>
      </w:r>
      <w:r>
        <w:rPr>
          <w:rFonts w:eastAsia="仿宋_GB2312;仿宋" w:cs="仿宋_GB2312;仿宋" w:ascii="仿宋_GB2312;仿宋" w:hAnsi="仿宋_GB2312;仿宋"/>
          <w:sz w:val="32"/>
          <w:szCs w:val="32"/>
          <w:lang w:val="en-US" w:eastAsia="zh" w:bidi="ar"/>
        </w:rPr>
        <w:t>—</w:t>
      </w:r>
      <w:r>
        <w:rPr>
          <w:rFonts w:eastAsia="仿宋_GB2312;仿宋" w:cs="仿宋_GB2312;仿宋"/>
          <w:sz w:val="32"/>
          <w:szCs w:val="32"/>
          <w:lang w:val="en-US" w:eastAsia="zh-CN" w:bidi="ar"/>
        </w:rPr>
        <w:t>2035</w:t>
      </w:r>
      <w:r>
        <w:rPr>
          <w:rFonts w:ascii="Times New Roman" w:hAnsi="Times New Roman" w:cs="仿宋_GB2312;仿宋"/>
          <w:sz w:val="32"/>
          <w:szCs w:val="32"/>
          <w:lang w:val="en-US" w:eastAsia="zh-CN" w:bidi="ar"/>
        </w:rPr>
        <w:t>年</w:t>
      </w:r>
      <w:r>
        <w:rPr>
          <w:rFonts w:ascii="Times New Roman" w:hAnsi="Times New Roman" w:cs="仿宋_GB2312;仿宋"/>
          <w:sz w:val="32"/>
          <w:szCs w:val="32"/>
          <w:lang w:eastAsia="zh-CN" w:bidi="ar"/>
        </w:rPr>
        <w:t>）》</w:t>
      </w:r>
      <w:r>
        <w:rPr>
          <w:lang w:eastAsia="zh-CN"/>
        </w:rPr>
        <w:t>《全国现代种业发展</w:t>
      </w:r>
      <w:r>
        <w:rPr/>
        <w:t>“十五五”规划</w:t>
      </w:r>
      <w:r>
        <w:rPr>
          <w:lang w:eastAsia="zh-CN"/>
        </w:rPr>
        <w:t>》</w:t>
      </w:r>
      <w:r>
        <w:rPr>
          <w:rFonts w:ascii="Times New Roman" w:hAnsi="Times New Roman" w:cs="仿宋_GB2312;仿宋"/>
          <w:sz w:val="32"/>
          <w:szCs w:val="32"/>
          <w:lang w:bidi="ar"/>
        </w:rPr>
        <w:t>等</w:t>
      </w:r>
      <w:r>
        <w:rPr>
          <w:rFonts w:ascii="Times New Roman" w:hAnsi="Times New Roman" w:cs="仿宋_GB2312;仿宋"/>
          <w:sz w:val="32"/>
          <w:szCs w:val="32"/>
          <w:lang w:eastAsia="zh-CN" w:bidi="ar"/>
        </w:rPr>
        <w:t>国家</w:t>
      </w:r>
      <w:r>
        <w:rPr>
          <w:rFonts w:ascii="Times New Roman" w:hAnsi="Times New Roman" w:cs="仿宋_GB2312;仿宋"/>
          <w:sz w:val="32"/>
          <w:szCs w:val="32"/>
          <w:lang w:bidi="ar"/>
        </w:rPr>
        <w:t>规划要求，全面落实</w:t>
      </w:r>
      <w:r>
        <w:rPr>
          <w:rFonts w:ascii="仿宋_GB2312;仿宋" w:hAnsi="仿宋_GB2312;仿宋" w:cs="仿宋"/>
          <w:sz w:val="32"/>
          <w:szCs w:val="32"/>
        </w:rPr>
        <w:t>《上海市推进乡村全面振兴“十五五”规划》</w:t>
      </w:r>
      <w:r>
        <w:rPr>
          <w:rFonts w:ascii="仿宋_GB2312;仿宋" w:hAnsi="仿宋_GB2312;仿宋" w:cs="仿宋"/>
          <w:sz w:val="32"/>
          <w:szCs w:val="32"/>
          <w:lang w:eastAsia="zh"/>
        </w:rPr>
        <w:t>相关</w:t>
      </w:r>
      <w:r>
        <w:rPr>
          <w:rFonts w:ascii="仿宋_GB2312;仿宋" w:hAnsi="仿宋_GB2312;仿宋" w:cs="仿宋"/>
          <w:sz w:val="32"/>
          <w:szCs w:val="32"/>
          <w:lang w:eastAsia="zh"/>
        </w:rPr>
        <w:t>部署，</w:t>
      </w:r>
      <w:r>
        <w:rPr>
          <w:lang w:val="en-US" w:eastAsia="zh-CN"/>
        </w:rPr>
        <w:t>深入实施种业振兴行动，持续推动上海市现代种业高质量发展</w:t>
      </w:r>
      <w:r>
        <w:rPr/>
        <w:t>，制定本行动方案。</w:t>
      </w:r>
    </w:p>
    <w:p>
      <w:pPr>
        <w:pStyle w:val="Heading1"/>
        <w:spacing w:lineRule="exact" w:line="600"/>
        <w:ind w:firstLine="602"/>
        <w:rPr/>
      </w:pPr>
      <w:r>
        <w:rPr>
          <w:lang w:eastAsia="zh-CN"/>
        </w:rPr>
        <w:t>一</w:t>
      </w:r>
      <w:r>
        <w:rPr/>
        <w:t>、</w:t>
      </w:r>
      <w:r>
        <w:rPr>
          <w:lang w:eastAsia="zh"/>
        </w:rPr>
        <w:t>主要</w:t>
      </w:r>
      <w:r>
        <w:rPr/>
        <w:t>目标</w:t>
      </w:r>
    </w:p>
    <w:p>
      <w:pPr>
        <w:pStyle w:val="Normal"/>
        <w:spacing w:lineRule="exact" w:line="600"/>
        <w:ind w:firstLine="602"/>
        <w:rPr>
          <w:b w:val="false"/>
          <w:b w:val="false"/>
          <w:bCs w:val="false"/>
          <w:color w:val="000000"/>
          <w:lang w:eastAsia="zh-CN"/>
        </w:rPr>
      </w:pPr>
      <w:r>
        <w:rPr>
          <w:b w:val="false"/>
          <w:bCs w:val="false"/>
          <w:color w:val="000000"/>
          <w:lang w:eastAsia="zh-CN"/>
        </w:rPr>
        <w:t>扎实推进种业振兴行动，持续深化种质资源保护利用、种业创新攻关、种业企业扶优、种业基地提升、种业市场净化五大行动，着力实现种业振兴“十年突破”</w:t>
      </w:r>
      <w:r>
        <w:rPr>
          <w:b w:val="false"/>
          <w:bCs w:val="false"/>
          <w:color w:val="000000"/>
          <w:lang w:val="en-US" w:eastAsia="zh-CN"/>
        </w:rPr>
        <w:t>目标</w:t>
      </w:r>
      <w:r>
        <w:rPr>
          <w:b w:val="false"/>
          <w:bCs w:val="false"/>
          <w:color w:val="000000"/>
          <w:lang w:eastAsia="zh-CN"/>
        </w:rPr>
        <w:t>，显著提升上海在全国种业发展格局中的</w:t>
      </w:r>
      <w:r>
        <w:rPr>
          <w:b w:val="false"/>
          <w:bCs w:val="false"/>
          <w:color w:val="000000"/>
          <w:lang w:val="en-US" w:eastAsia="zh-CN"/>
        </w:rPr>
        <w:t>策源能力</w:t>
      </w:r>
      <w:r>
        <w:rPr>
          <w:b w:val="false"/>
          <w:bCs w:val="false"/>
          <w:color w:val="000000"/>
          <w:lang w:eastAsia="zh-CN"/>
        </w:rPr>
        <w:t>与</w:t>
      </w:r>
      <w:r>
        <w:rPr>
          <w:b w:val="false"/>
          <w:bCs w:val="false"/>
          <w:color w:val="000000"/>
          <w:lang w:val="en-US" w:eastAsia="zh-CN"/>
        </w:rPr>
        <w:t>核心</w:t>
      </w:r>
      <w:r>
        <w:rPr>
          <w:b w:val="false"/>
          <w:bCs w:val="false"/>
          <w:color w:val="000000"/>
          <w:lang w:eastAsia="zh-CN"/>
        </w:rPr>
        <w:t>地位，加快建设服务全国、面向全球的种业创新中心。</w:t>
      </w:r>
    </w:p>
    <w:p>
      <w:pPr>
        <w:pStyle w:val="Normal"/>
        <w:spacing w:lineRule="exact" w:line="600"/>
        <w:ind w:firstLine="602"/>
        <w:rPr>
          <w:b w:val="false"/>
          <w:b w:val="false"/>
          <w:bCs w:val="false"/>
          <w:color w:val="000000"/>
          <w:lang w:eastAsia="zh-CN"/>
        </w:rPr>
      </w:pPr>
      <w:r>
        <w:rPr>
          <w:b w:val="false"/>
          <w:bCs w:val="false"/>
          <w:color w:val="000000"/>
          <w:lang w:eastAsia="zh-CN"/>
        </w:rPr>
        <w:t>到</w:t>
      </w:r>
      <w:r>
        <w:rPr>
          <w:b w:val="false"/>
          <w:bCs w:val="false"/>
          <w:color w:val="000000"/>
          <w:lang w:eastAsia="zh-CN"/>
        </w:rPr>
        <w:t>2030</w:t>
      </w:r>
      <w:r>
        <w:rPr>
          <w:b w:val="false"/>
          <w:bCs w:val="false"/>
          <w:color w:val="000000"/>
          <w:lang w:eastAsia="zh-CN"/>
        </w:rPr>
        <w:t>年，现代种业高质量发展取得重大突破。</w:t>
      </w:r>
      <w:r>
        <w:rPr>
          <w:b w:val="false"/>
          <w:bCs w:val="false"/>
          <w:color w:val="000000"/>
          <w:lang w:val="en-US" w:eastAsia="zh-CN"/>
        </w:rPr>
        <w:t>种质资源保护利用体系更加完善，</w:t>
      </w:r>
      <w:r>
        <w:rPr>
          <w:b w:val="false"/>
          <w:bCs w:val="false"/>
          <w:color w:val="000000"/>
          <w:lang w:val="en" w:eastAsia="zh-CN"/>
        </w:rPr>
        <w:t>以用促保水平明显提升；</w:t>
      </w:r>
      <w:r>
        <w:rPr>
          <w:b w:val="false"/>
          <w:bCs w:val="false"/>
          <w:color w:val="000000"/>
          <w:lang w:eastAsia="zh-CN"/>
        </w:rPr>
        <w:t>生物育种创新能力达到全国领先水平，成功培育</w:t>
      </w:r>
      <w:r>
        <w:rPr>
          <w:b w:val="false"/>
          <w:bCs w:val="false"/>
          <w:color w:val="000000"/>
          <w:lang w:eastAsia="zh-CN"/>
        </w:rPr>
        <w:t>6</w:t>
      </w:r>
      <w:r>
        <w:rPr>
          <w:b w:val="false"/>
          <w:bCs w:val="false"/>
          <w:color w:val="000000"/>
          <w:lang w:eastAsia="zh-CN"/>
        </w:rPr>
        <w:t>个以上具</w:t>
      </w:r>
      <w:r>
        <w:rPr>
          <w:b w:val="false"/>
          <w:bCs w:val="false"/>
          <w:color w:val="000000"/>
          <w:lang w:val="en-US" w:eastAsia="zh-CN"/>
        </w:rPr>
        <w:t>有</w:t>
      </w:r>
      <w:r>
        <w:rPr>
          <w:b w:val="false"/>
          <w:bCs w:val="false"/>
          <w:color w:val="000000"/>
          <w:lang w:eastAsia="zh-CN"/>
        </w:rPr>
        <w:t>自主知识产权的重大突破性新品种（配套系），优异特色种源继续保持全国领先；</w:t>
      </w:r>
      <w:r>
        <w:rPr>
          <w:rFonts w:ascii="Times New Roman" w:hAnsi="Times New Roman" w:cs="Times New Roman"/>
          <w:b w:val="false"/>
          <w:bCs w:val="false"/>
          <w:color w:val="000000"/>
          <w:lang w:val="en-US" w:eastAsia="zh-CN"/>
        </w:rPr>
        <w:t>优势种业企业集群基本形成，商业化育种机制持续健全，加快培育具有国际竞争力的种业领军企业，新增</w:t>
      </w:r>
      <w:r>
        <w:rPr>
          <w:rFonts w:cs="Times New Roman"/>
          <w:b w:val="false"/>
          <w:bCs w:val="false"/>
          <w:color w:val="000000"/>
          <w:lang w:val="en-US" w:eastAsia="zh-CN"/>
        </w:rPr>
        <w:t>1</w:t>
      </w:r>
      <w:r>
        <w:rPr>
          <w:rFonts w:cs="仿宋_GB2312;仿宋" w:ascii="仿宋_GB2312;仿宋" w:hAnsi="仿宋_GB2312;仿宋"/>
          <w:b w:val="false"/>
          <w:bCs w:val="false"/>
          <w:color w:val="000000"/>
          <w:lang w:val="en-US" w:eastAsia="zh"/>
        </w:rPr>
        <w:t>—</w:t>
      </w:r>
      <w:r>
        <w:rPr>
          <w:rFonts w:cs="Times New Roman"/>
          <w:b w:val="false"/>
          <w:bCs w:val="false"/>
          <w:color w:val="000000"/>
          <w:lang w:val="en-US" w:eastAsia="zh-CN"/>
        </w:rPr>
        <w:t>2</w:t>
      </w:r>
      <w:r>
        <w:rPr>
          <w:rFonts w:ascii="Times New Roman" w:hAnsi="Times New Roman" w:cs="Times New Roman"/>
          <w:b w:val="false"/>
          <w:bCs w:val="false"/>
          <w:color w:val="000000"/>
          <w:lang w:val="en-US" w:eastAsia="zh-CN"/>
        </w:rPr>
        <w:t>家全国育繁推一体化企业，</w:t>
      </w:r>
      <w:r>
        <w:rPr>
          <w:rFonts w:ascii="Times New Roman" w:hAnsi="Times New Roman" w:cs="Times New Roman"/>
          <w:b w:val="false"/>
          <w:bCs w:val="false"/>
          <w:color w:val="000000"/>
          <w:shd w:fill="auto" w:val="clear"/>
          <w:lang w:val="en-US" w:eastAsia="zh-CN"/>
        </w:rPr>
        <w:t>种业总产值达到</w:t>
      </w:r>
      <w:r>
        <w:rPr>
          <w:rFonts w:cs="Times New Roman"/>
          <w:b w:val="false"/>
          <w:bCs w:val="false"/>
          <w:color w:val="000000"/>
          <w:shd w:fill="auto" w:val="clear"/>
          <w:lang w:val="en-US" w:eastAsia="zh-CN"/>
        </w:rPr>
        <w:t>35</w:t>
      </w:r>
      <w:r>
        <w:rPr>
          <w:rFonts w:ascii="Times New Roman" w:hAnsi="Times New Roman" w:cs="Times New Roman"/>
          <w:b w:val="false"/>
          <w:bCs w:val="false"/>
          <w:color w:val="000000"/>
          <w:shd w:fill="auto" w:val="clear"/>
          <w:lang w:val="en-US" w:eastAsia="zh-CN"/>
        </w:rPr>
        <w:t>亿元；</w:t>
      </w:r>
      <w:r>
        <w:rPr>
          <w:rFonts w:ascii="Times New Roman" w:hAnsi="Times New Roman" w:cs="Times New Roman"/>
          <w:b w:val="false"/>
          <w:bCs w:val="false"/>
          <w:color w:val="000000"/>
          <w:lang w:val="en-US" w:eastAsia="zh-CN"/>
        </w:rPr>
        <w:t>育制种基地智慧化与标准化程度显著提高，农作物、畜禽育制种基地本市供种保障率达到</w:t>
      </w:r>
      <w:r>
        <w:rPr>
          <w:rFonts w:cs="Times New Roman"/>
          <w:b w:val="false"/>
          <w:bCs w:val="false"/>
          <w:color w:val="000000"/>
          <w:lang w:val="en-US" w:eastAsia="zh-CN"/>
        </w:rPr>
        <w:t>95%</w:t>
      </w:r>
      <w:r>
        <w:rPr>
          <w:rFonts w:ascii="Times New Roman" w:hAnsi="Times New Roman" w:cs="Times New Roman"/>
          <w:b w:val="false"/>
          <w:bCs w:val="false"/>
          <w:color w:val="000000"/>
          <w:lang w:val="en-US" w:eastAsia="zh-CN"/>
        </w:rPr>
        <w:t>以上；种业市场</w:t>
      </w:r>
      <w:r>
        <w:rPr>
          <w:rFonts w:ascii="Times New Roman" w:hAnsi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30"/>
          <w:szCs w:val="24"/>
          <w:u w:val="none"/>
          <w:lang w:val="en-US" w:eastAsia="zh-CN" w:bidi="ar"/>
        </w:rPr>
        <w:t>环境</w:t>
      </w:r>
      <w:r>
        <w:rPr>
          <w:rFonts w:ascii="Times New Roman" w:hAnsi="Times New Roman" w:cs="Times New Roman"/>
          <w:b w:val="false"/>
          <w:bCs w:val="false"/>
          <w:i w:val="false"/>
          <w:iCs w:val="false"/>
          <w:caps w:val="false"/>
          <w:smallCaps w:val="false"/>
          <w:color w:val="000000"/>
          <w:spacing w:val="0"/>
          <w:kern w:val="2"/>
          <w:sz w:val="30"/>
          <w:szCs w:val="24"/>
          <w:u w:val="none"/>
          <w:lang w:val="en-US" w:eastAsia="zh-CN" w:bidi="ar"/>
        </w:rPr>
        <w:t>持续优化，种业</w:t>
      </w:r>
      <w:r>
        <w:rPr>
          <w:rFonts w:ascii="Times New Roman" w:hAnsi="Times New Roman" w:cs="Times New Roman"/>
          <w:b w:val="false"/>
          <w:bCs w:val="false"/>
          <w:color w:val="000000"/>
          <w:lang w:val="en-US" w:eastAsia="zh-CN"/>
        </w:rPr>
        <w:t>知识产权保护体系升级完善，农作物种子质量合格率保持</w:t>
      </w:r>
      <w:r>
        <w:rPr>
          <w:rFonts w:cs="Times New Roman"/>
          <w:b w:val="false"/>
          <w:bCs w:val="false"/>
          <w:color w:val="000000"/>
          <w:lang w:val="en-US" w:eastAsia="zh-CN"/>
        </w:rPr>
        <w:t>99%</w:t>
      </w:r>
      <w:r>
        <w:rPr>
          <w:rFonts w:ascii="Times New Roman" w:hAnsi="Times New Roman" w:cs="Times New Roman"/>
          <w:b w:val="false"/>
          <w:bCs w:val="false"/>
          <w:color w:val="000000"/>
          <w:lang w:val="en-US" w:eastAsia="zh-CN"/>
        </w:rPr>
        <w:t>以上。</w:t>
      </w:r>
    </w:p>
    <w:p>
      <w:pPr>
        <w:pStyle w:val="Heading1"/>
        <w:spacing w:lineRule="exact" w:line="600"/>
        <w:ind w:firstLine="602"/>
        <w:rPr>
          <w:rFonts w:eastAsia="黑体"/>
          <w:lang w:eastAsia="zh-CN"/>
        </w:rPr>
      </w:pPr>
      <w:r>
        <w:rPr>
          <w:lang w:eastAsia="zh-CN"/>
        </w:rPr>
        <w:t>二</w:t>
      </w:r>
      <w:r>
        <w:rPr/>
        <w:t>、任务</w:t>
      </w:r>
      <w:r>
        <w:rPr>
          <w:lang w:eastAsia="zh-CN"/>
        </w:rPr>
        <w:t>举措</w:t>
      </w:r>
    </w:p>
    <w:p>
      <w:pPr>
        <w:pStyle w:val="Normal"/>
        <w:widowControl/>
        <w:spacing w:lineRule="exact" w:line="600"/>
        <w:ind w:firstLine="602"/>
        <w:jc w:val="left"/>
        <w:rPr>
          <w:lang w:eastAsia="zh"/>
        </w:rPr>
      </w:pPr>
      <w:r>
        <w:rPr>
          <w:rFonts w:ascii="楷体_GB2312;楷体" w:hAnsi="楷体_GB2312;楷体" w:cs="楷体_GB2312;楷体" w:eastAsia="楷体_GB2312;楷体"/>
          <w:b/>
          <w:bCs/>
        </w:rPr>
        <w:t>（一）建设种业重大创新平台。</w:t>
      </w:r>
      <w:r>
        <w:rPr>
          <w:b w:val="false"/>
          <w:bCs w:val="false"/>
          <w:lang w:val="en-US" w:eastAsia="zh-CN"/>
        </w:rPr>
        <w:t>谋划推动</w:t>
      </w:r>
      <w:r>
        <w:rPr>
          <w:b w:val="false"/>
          <w:bCs w:val="false"/>
          <w:lang w:val="en-US" w:eastAsia="zh-CN"/>
        </w:rPr>
        <w:t>作物育种表型综合鉴定平台、综合性农业种质资源库等</w:t>
      </w:r>
      <w:r>
        <w:rPr>
          <w:b w:val="false"/>
          <w:bCs w:val="false"/>
          <w:lang w:val="en-US" w:eastAsia="zh-CN"/>
        </w:rPr>
        <w:t>项目</w:t>
      </w:r>
      <w:r>
        <w:rPr>
          <w:b w:val="false"/>
          <w:bCs w:val="false"/>
          <w:lang w:val="en-US" w:eastAsia="zh-CN"/>
        </w:rPr>
        <w:t>，加快节水抗旱稻国际策源中心、上海张江智种中心等</w:t>
      </w:r>
      <w:r>
        <w:rPr>
          <w:b w:val="false"/>
          <w:bCs w:val="false"/>
          <w:lang w:val="en-US" w:eastAsia="zh-CN"/>
        </w:rPr>
        <w:t>平台</w:t>
      </w:r>
      <w:r>
        <w:rPr>
          <w:b w:val="false"/>
          <w:bCs w:val="false"/>
          <w:lang w:val="en-US" w:eastAsia="zh-CN"/>
        </w:rPr>
        <w:t>建设。</w:t>
      </w:r>
      <w:r>
        <w:rPr>
          <w:b w:val="false"/>
          <w:bCs w:val="false"/>
          <w:lang w:val="en-US" w:eastAsia="zh-CN"/>
        </w:rPr>
        <w:t>深化与崖州湾国家实验室合作，推动上海张江智种中心建设成为国家实验室基地。</w:t>
      </w:r>
      <w:r>
        <w:rPr>
          <w:b w:val="false"/>
          <w:bCs w:val="false"/>
          <w:lang w:val="en-US" w:eastAsia="zh-CN"/>
        </w:rPr>
        <w:t>做强</w:t>
      </w:r>
      <w:r>
        <w:rPr>
          <w:b w:val="false"/>
          <w:bCs w:val="false"/>
          <w:lang w:val="en-US" w:eastAsia="zh-CN"/>
        </w:rPr>
        <w:t>CIMMYT-</w:t>
      </w:r>
      <w:r>
        <w:rPr>
          <w:b w:val="false"/>
          <w:bCs w:val="false"/>
          <w:lang w:val="en-US" w:eastAsia="zh-CN"/>
        </w:rPr>
        <w:t>中国特用玉米研究中心、中国（上海）国际藜麦创新中心等国际种业</w:t>
      </w:r>
      <w:r>
        <w:rPr>
          <w:b w:val="false"/>
          <w:bCs w:val="false"/>
          <w:lang w:val="en-US" w:eastAsia="zh-CN"/>
        </w:rPr>
        <w:t>合作</w:t>
      </w:r>
      <w:r>
        <w:rPr>
          <w:b w:val="false"/>
          <w:bCs w:val="false"/>
          <w:lang w:val="en-US" w:eastAsia="zh-CN"/>
        </w:rPr>
        <w:t>平台。</w:t>
      </w:r>
    </w:p>
    <w:p>
      <w:pPr>
        <w:pStyle w:val="Normal"/>
        <w:spacing w:lineRule="exact" w:line="600"/>
        <w:ind w:firstLine="602"/>
        <w:rPr>
          <w:color w:val="000000"/>
        </w:rPr>
      </w:pPr>
      <w:r>
        <w:rPr>
          <w:rFonts w:ascii="楷体_GB2312;楷体" w:hAnsi="楷体_GB2312;楷体" w:cs="楷体_GB2312;楷体" w:eastAsia="楷体_GB2312;楷体"/>
          <w:b/>
          <w:bCs/>
        </w:rPr>
        <w:t>（二）加强种质资源收集保护</w:t>
      </w:r>
      <w:r>
        <w:rPr>
          <w:rFonts w:ascii="楷体_GB2312;楷体" w:hAnsi="楷体_GB2312;楷体" w:cs="楷体_GB2312;楷体" w:eastAsia="楷体_GB2312;楷体"/>
          <w:b/>
          <w:bCs/>
          <w:lang w:val="en-US" w:eastAsia="zh-CN"/>
        </w:rPr>
        <w:t>与利用</w:t>
      </w:r>
      <w:r>
        <w:rPr>
          <w:rFonts w:ascii="楷体_GB2312;楷体" w:hAnsi="楷体_GB2312;楷体" w:cs="楷体_GB2312;楷体" w:eastAsia="楷体_GB2312;楷体"/>
          <w:b/>
          <w:bCs/>
        </w:rPr>
        <w:t>。</w:t>
      </w:r>
      <w:bookmarkStart w:id="0" w:name="_Hlk176168644"/>
      <w:r>
        <w:rPr>
          <w:rFonts w:ascii="Times New Roman" w:hAnsi="Times New Roman" w:cs="Times New Roman"/>
          <w:b w:val="false"/>
          <w:bCs w:val="false"/>
          <w:lang w:eastAsia="zh-CN"/>
        </w:rPr>
        <w:t>健全种质资源保护体系，</w:t>
      </w:r>
      <w:r>
        <w:rPr/>
        <w:t>推进国家都市特色作物种质资源中期库（上海）、</w:t>
      </w:r>
      <w:r>
        <w:rPr>
          <w:lang w:eastAsia="zh-CN"/>
        </w:rPr>
        <w:t>枫泾猪国家保种场、</w:t>
      </w:r>
      <w:r>
        <w:rPr/>
        <w:t>长三角水生生物保育中心</w:t>
      </w:r>
      <w:r>
        <w:rPr/>
        <w:t>建设。提升</w:t>
      </w:r>
      <w:r>
        <w:rPr>
          <w:lang w:eastAsia="zh-CN"/>
        </w:rPr>
        <w:t>市级种质资源保护单位</w:t>
      </w:r>
      <w:r>
        <w:rPr/>
        <w:t>软硬件水平</w:t>
      </w:r>
      <w:r>
        <w:rPr>
          <w:lang w:eastAsia="zh-CN"/>
        </w:rPr>
        <w:t>，</w:t>
      </w:r>
      <w:r>
        <w:rPr/>
        <w:t>逐步扩大</w:t>
      </w:r>
      <w:r>
        <w:rPr>
          <w:lang w:eastAsia="zh-CN"/>
        </w:rPr>
        <w:t>地方种畜禽</w:t>
      </w:r>
      <w:r>
        <w:rPr/>
        <w:t>核心群数量。完善市级种质资源保护单位管理制度。</w:t>
      </w:r>
      <w:r>
        <w:rPr>
          <w:lang w:eastAsia="zh-CN"/>
        </w:rPr>
        <w:t>加快引进优异种质资源，</w:t>
      </w:r>
      <w:r>
        <w:rPr/>
        <w:t>保存总量</w:t>
      </w:r>
      <w:r>
        <w:rPr>
          <w:lang w:val="en-US" w:eastAsia="zh-CN"/>
        </w:rPr>
        <w:t>实现</w:t>
      </w:r>
      <w:r>
        <w:rPr>
          <w:lang w:eastAsia="zh-CN"/>
        </w:rPr>
        <w:t>农</w:t>
      </w:r>
      <w:r>
        <w:rPr/>
        <w:t>作物种质资源</w:t>
      </w:r>
      <w:r>
        <w:rPr/>
        <w:t>8</w:t>
      </w:r>
      <w:r>
        <w:rPr>
          <w:lang w:eastAsia="zh"/>
        </w:rPr>
        <w:t>万</w:t>
      </w:r>
      <w:r>
        <w:rPr/>
        <w:t>份、</w:t>
      </w:r>
      <w:r>
        <w:rPr>
          <w:lang w:eastAsia="zh"/>
        </w:rPr>
        <w:t>畜禽遗传材料</w:t>
      </w:r>
      <w:r>
        <w:rPr/>
        <w:t>18</w:t>
      </w:r>
      <w:r>
        <w:rPr>
          <w:lang w:eastAsia="zh"/>
        </w:rPr>
        <w:t>万份、食用菌种质资源</w:t>
      </w:r>
      <w:r>
        <w:rPr/>
        <w:t>5500</w:t>
      </w:r>
      <w:r>
        <w:rPr/>
        <w:t>株</w:t>
      </w:r>
      <w:r>
        <w:rPr>
          <w:lang w:eastAsia="zh"/>
        </w:rPr>
        <w:t>，</w:t>
      </w:r>
      <w:r>
        <w:rPr/>
        <w:t>水产种质资源</w:t>
      </w:r>
      <w:r>
        <w:rPr/>
        <w:t>30</w:t>
      </w:r>
      <w:r>
        <w:rPr/>
        <w:t>万尾，</w:t>
      </w:r>
      <w:r>
        <w:rPr>
          <w:lang w:val="en-US" w:eastAsia="zh-CN"/>
        </w:rPr>
        <w:t>充实</w:t>
      </w:r>
      <w:r>
        <w:rPr/>
        <w:t>种质资源战略储备。</w:t>
      </w:r>
      <w:bookmarkEnd w:id="0"/>
      <w:r>
        <w:rPr>
          <w:lang w:eastAsia="zh-CN"/>
        </w:rPr>
        <w:t>强化资源活力检测和更新复壮，</w:t>
      </w:r>
      <w:r>
        <w:rPr>
          <w:lang w:val="en-US" w:eastAsia="zh-CN"/>
        </w:rPr>
        <w:t>跟踪评价保护效果。</w:t>
      </w:r>
      <w:r>
        <w:rPr>
          <w:lang w:eastAsia="zh-CN"/>
        </w:rPr>
        <w:t>聚焦上海都市特色作物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" w:bidi="ar"/>
        </w:rPr>
        <w:t>，</w:t>
      </w:r>
      <w:r>
        <w:rPr>
          <w:rFonts w:ascii="Times New Roman" w:hAnsi="Times New Roman" w:cs="Times New Roman"/>
          <w:lang w:eastAsia="zh"/>
        </w:rPr>
        <w:t>加快推进农作物种质资源精准</w:t>
      </w:r>
      <w:r>
        <w:rPr/>
        <w:t>鉴定，</w:t>
      </w:r>
      <w:r>
        <w:rPr>
          <w:color w:val="000000"/>
          <w:lang w:eastAsia="zh-CN"/>
        </w:rPr>
        <w:t>实施种质资源改良计划</w:t>
      </w:r>
      <w:r>
        <w:rPr>
          <w:color w:val="000000"/>
        </w:rPr>
        <w:t>。建立水产保护物种特征核酸序列数据库。完善上海市种质资源信息平台，健全资源分类管理和共享利用机制，</w:t>
      </w:r>
      <w:r>
        <w:rPr>
          <w:color w:val="000000"/>
          <w:lang w:val="en-US" w:eastAsia="zh-CN"/>
        </w:rPr>
        <w:t>提升资源以用促保水平</w:t>
      </w:r>
      <w:r>
        <w:rPr>
          <w:color w:val="000000"/>
        </w:rPr>
        <w:t>。</w:t>
      </w:r>
    </w:p>
    <w:p>
      <w:pPr>
        <w:pStyle w:val="Normal"/>
        <w:spacing w:lineRule="exact" w:line="600"/>
        <w:ind w:firstLine="602"/>
        <w:rPr>
          <w:rFonts w:eastAsia="仿宋_GB2312;仿宋"/>
          <w:lang w:val="en-US" w:eastAsia="zh-CN"/>
        </w:rPr>
      </w:pPr>
      <w:r>
        <w:rPr>
          <w:rFonts w:ascii="楷体_GB2312;楷体" w:hAnsi="楷体_GB2312;楷体" w:cs="楷体_GB2312;楷体" w:eastAsia="楷体_GB2312;楷体"/>
          <w:b/>
          <w:bCs/>
        </w:rPr>
        <w:t>（</w:t>
      </w:r>
      <w:r>
        <w:rPr>
          <w:rFonts w:ascii="楷体_GB2312;楷体" w:hAnsi="楷体_GB2312;楷体" w:cs="楷体_GB2312;楷体" w:eastAsia="楷体_GB2312;楷体"/>
          <w:b/>
          <w:bCs/>
          <w:lang w:val="en-US" w:eastAsia="zh-CN"/>
        </w:rPr>
        <w:t>三</w:t>
      </w:r>
      <w:r>
        <w:rPr>
          <w:rFonts w:ascii="楷体_GB2312;楷体" w:hAnsi="楷体_GB2312;楷体" w:cs="楷体_GB2312;楷体" w:eastAsia="楷体_GB2312;楷体"/>
          <w:b/>
          <w:bCs/>
        </w:rPr>
        <w:t>）强化种业创新攻关。</w:t>
      </w:r>
      <w:r>
        <w:rPr/>
        <w:t>加快基因编辑、</w:t>
      </w:r>
      <w:r>
        <w:rPr>
          <w:lang w:eastAsia="zh-CN"/>
        </w:rPr>
        <w:t>全基因组选择、</w:t>
      </w:r>
      <w:r>
        <w:rPr/>
        <w:t>设计育种等生物育种底</w:t>
      </w:r>
      <w:r>
        <w:rPr>
          <w:color w:val="000000"/>
        </w:rPr>
        <w:t>盘技术攻关，</w:t>
      </w:r>
      <w:r>
        <w:rPr>
          <w:color w:val="000000"/>
          <w:lang w:eastAsia="zh-CN"/>
        </w:rPr>
        <w:t>加快</w:t>
      </w:r>
      <w:r>
        <w:rPr>
          <w:color w:val="000000"/>
        </w:rPr>
        <w:t>品种检测、种子生产加工和检验</w:t>
      </w:r>
      <w:r>
        <w:rPr>
          <w:color w:val="000000"/>
        </w:rPr>
        <w:t>等</w:t>
      </w:r>
      <w:r>
        <w:rPr>
          <w:color w:val="000000"/>
          <w:lang w:val="en-US" w:eastAsia="zh-CN"/>
        </w:rPr>
        <w:t>应用性</w:t>
      </w:r>
      <w:r>
        <w:rPr>
          <w:color w:val="000000"/>
        </w:rPr>
        <w:t>技术研发。</w:t>
      </w:r>
      <w:r>
        <w:rPr>
          <w:color w:val="000000"/>
        </w:rPr>
        <w:t>推进智能育种加快发展，</w:t>
      </w:r>
      <w:r>
        <w:rPr>
          <w:color w:val="000000"/>
          <w:lang w:val="en-US" w:eastAsia="zh-CN"/>
        </w:rPr>
        <w:t>实施</w:t>
      </w:r>
      <w:r>
        <w:rPr>
          <w:color w:val="000000"/>
          <w:lang w:val="en-US" w:eastAsia="zh"/>
        </w:rPr>
        <w:t>“</w:t>
      </w:r>
      <w:r>
        <w:rPr>
          <w:color w:val="000000"/>
          <w:lang w:eastAsia="zh"/>
        </w:rPr>
        <w:t>人工智能</w:t>
      </w:r>
      <w:r>
        <w:rPr>
          <w:color w:val="000000"/>
        </w:rPr>
        <w:t>+</w:t>
      </w:r>
      <w:r>
        <w:rPr>
          <w:color w:val="000000"/>
          <w:lang w:eastAsia="zh"/>
        </w:rPr>
        <w:t>种业</w:t>
      </w:r>
      <w:r>
        <w:rPr>
          <w:color w:val="000000"/>
          <w:lang w:eastAsia="zh"/>
        </w:rPr>
        <w:t>”</w:t>
      </w:r>
      <w:r>
        <w:rPr>
          <w:color w:val="000000"/>
        </w:rPr>
        <w:t>行动</w:t>
      </w:r>
      <w:r>
        <w:rPr>
          <w:color w:val="000000"/>
          <w:lang w:eastAsia="zh"/>
        </w:rPr>
        <w:t>，</w:t>
      </w:r>
      <w:r>
        <w:rPr/>
        <w:t>开发智能设计育种工具</w:t>
      </w:r>
      <w:r>
        <w:rPr>
          <w:lang w:eastAsia="zh-CN"/>
        </w:rPr>
        <w:t>，</w:t>
      </w:r>
      <w:r>
        <w:rPr>
          <w:color w:val="000000"/>
          <w:lang w:val="en-US" w:eastAsia="zh-CN"/>
        </w:rPr>
        <w:t>在</w:t>
      </w:r>
      <w:r>
        <w:rPr>
          <w:color w:val="000000"/>
        </w:rPr>
        <w:t>育制繁种</w:t>
      </w:r>
      <w:r>
        <w:rPr>
          <w:color w:val="000000"/>
          <w:lang w:eastAsia="zh-CN"/>
        </w:rPr>
        <w:t>、</w:t>
      </w:r>
      <w:r>
        <w:rPr>
          <w:color w:val="000000"/>
          <w:lang w:eastAsia="zh"/>
        </w:rPr>
        <w:t>智能表型采集、种源健康监测</w:t>
      </w:r>
      <w:r>
        <w:rPr>
          <w:color w:val="000000"/>
          <w:lang w:eastAsia="zh-CN"/>
        </w:rPr>
        <w:t>等</w:t>
      </w:r>
      <w:r>
        <w:rPr>
          <w:color w:val="000000"/>
          <w:lang w:val="en-US" w:eastAsia="zh-CN"/>
        </w:rPr>
        <w:t>领域推出</w:t>
      </w:r>
      <w:r>
        <w:rPr>
          <w:color w:val="000000"/>
        </w:rPr>
        <w:t>一批智能化、数字化应用场景。</w:t>
      </w:r>
      <w:r>
        <w:rPr/>
        <w:t>加快</w:t>
      </w:r>
      <w:r>
        <w:rPr>
          <w:lang w:val="en-US" w:eastAsia="zh-CN"/>
        </w:rPr>
        <w:t>新优品种培育，</w:t>
      </w:r>
      <w:r>
        <w:rPr/>
        <w:t>在节水抗旱稻、</w:t>
      </w:r>
      <w:r>
        <w:rPr>
          <w:lang w:eastAsia="zh-CN"/>
        </w:rPr>
        <w:t>杂交粳稻、鲜食</w:t>
      </w:r>
      <w:r>
        <w:rPr/>
        <w:t>玉米、</w:t>
      </w:r>
      <w:r>
        <w:rPr>
          <w:lang w:val="en-US" w:eastAsia="zh-CN"/>
        </w:rPr>
        <w:t>食用菌等农作物</w:t>
      </w:r>
      <w:r>
        <w:rPr>
          <w:lang w:eastAsia="zh-CN"/>
        </w:rPr>
        <w:t>，</w:t>
      </w:r>
      <w:r>
        <w:rPr>
          <w:lang w:val="en-US" w:eastAsia="zh-CN"/>
        </w:rPr>
        <w:t>上海地方猪</w:t>
      </w:r>
      <w:r>
        <w:rPr/>
        <w:t>、奶牛</w:t>
      </w:r>
      <w:r>
        <w:rPr>
          <w:lang w:eastAsia="zh-CN"/>
        </w:rPr>
        <w:t>、</w:t>
      </w:r>
      <w:r>
        <w:rPr>
          <w:lang w:val="en-US" w:eastAsia="zh-CN"/>
        </w:rPr>
        <w:t>雉鸡、肉鸽</w:t>
      </w:r>
      <w:r>
        <w:rPr/>
        <w:t>等</w:t>
      </w:r>
      <w:r>
        <w:rPr>
          <w:lang w:val="en-US" w:eastAsia="zh-CN"/>
        </w:rPr>
        <w:t>畜禽</w:t>
      </w:r>
      <w:r>
        <w:rPr/>
        <w:t>，</w:t>
      </w:r>
      <w:r>
        <w:rPr>
          <w:lang w:val="en-US" w:eastAsia="zh-CN"/>
        </w:rPr>
        <w:t>中华绒螯蟹等水产领域，选育</w:t>
      </w:r>
      <w:r>
        <w:rPr>
          <w:lang w:val="en-US" w:eastAsia="zh-CN"/>
        </w:rPr>
        <w:t>6</w:t>
      </w:r>
      <w:r>
        <w:rPr>
          <w:lang w:val="en-US" w:eastAsia="zh-CN"/>
        </w:rPr>
        <w:t>个以上具备自主知识产权的重大突破性新品种（配套系）</w:t>
      </w:r>
      <w:r>
        <w:rPr/>
        <w:t>。</w:t>
      </w:r>
      <w:r>
        <w:rPr>
          <w:lang w:val="en-US" w:eastAsia="zh-CN"/>
        </w:rPr>
        <w:t>在</w:t>
      </w:r>
      <w:r>
        <w:rPr>
          <w:lang w:val="en-US" w:eastAsia="zh-CN"/>
        </w:rPr>
        <w:t>特色粮经</w:t>
      </w:r>
      <w:r>
        <w:rPr>
          <w:lang w:val="en-US" w:eastAsia="zh-CN"/>
        </w:rPr>
        <w:t>作物</w:t>
      </w:r>
      <w:r>
        <w:rPr>
          <w:lang w:val="en-US" w:eastAsia="zh-CN"/>
        </w:rPr>
        <w:t>、</w:t>
      </w:r>
      <w:r>
        <w:rPr>
          <w:lang w:val="en-US" w:eastAsia="zh-CN"/>
        </w:rPr>
        <w:t>设施园艺</w:t>
      </w:r>
      <w:r>
        <w:rPr>
          <w:lang w:val="en-US" w:eastAsia="zh-CN"/>
        </w:rPr>
        <w:t>、地方畜禽及优势水产</w:t>
      </w:r>
      <w:r>
        <w:rPr>
          <w:lang w:val="en-US" w:eastAsia="zh-CN"/>
        </w:rPr>
        <w:t>等领域，</w:t>
      </w:r>
      <w:r>
        <w:rPr/>
        <w:t>开展</w:t>
      </w:r>
      <w:r>
        <w:rPr>
          <w:lang w:eastAsia="zh-CN"/>
        </w:rPr>
        <w:t>提纯复壮、</w:t>
      </w:r>
      <w:r>
        <w:rPr/>
        <w:t>高效保种</w:t>
      </w:r>
      <w:r>
        <w:rPr>
          <w:lang w:eastAsia="zh-CN"/>
        </w:rPr>
        <w:t>和鉴定评价</w:t>
      </w:r>
      <w:r>
        <w:rPr/>
        <w:t>，推动品种提质增效</w:t>
      </w:r>
      <w:bookmarkStart w:id="1" w:name="OLE_LINK1"/>
      <w:r>
        <w:rPr>
          <w:lang w:eastAsia="zh-CN"/>
        </w:rPr>
        <w:t>。</w:t>
      </w:r>
    </w:p>
    <w:p>
      <w:pPr>
        <w:pStyle w:val="Normal"/>
        <w:spacing w:lineRule="exact" w:line="600"/>
        <w:ind w:firstLine="602"/>
        <w:rPr>
          <w:color w:val="000000"/>
        </w:rPr>
      </w:pPr>
      <w:bookmarkEnd w:id="1"/>
      <w:r>
        <w:rPr>
          <w:rFonts w:ascii="楷体_GB2312;楷体" w:hAnsi="楷体_GB2312;楷体" w:cs="楷体_GB2312;楷体" w:eastAsia="楷体_GB2312;楷体"/>
          <w:b/>
          <w:bCs/>
        </w:rPr>
        <w:t>（</w:t>
      </w:r>
      <w:r>
        <w:rPr>
          <w:rFonts w:ascii="楷体_GB2312;楷体" w:hAnsi="楷体_GB2312;楷体" w:cs="楷体_GB2312;楷体" w:eastAsia="楷体_GB2312;楷体"/>
          <w:b/>
          <w:bCs/>
          <w:lang w:val="en-US" w:eastAsia="zh-CN"/>
        </w:rPr>
        <w:t>四</w:t>
      </w:r>
      <w:r>
        <w:rPr>
          <w:rFonts w:ascii="楷体_GB2312;楷体" w:hAnsi="楷体_GB2312;楷体" w:cs="楷体_GB2312;楷体" w:eastAsia="楷体_GB2312;楷体"/>
          <w:b/>
          <w:bCs/>
        </w:rPr>
        <w:t>）深化种业企业扶优。</w:t>
      </w:r>
      <w:r>
        <w:rPr>
          <w:lang w:val="en-US" w:eastAsia="zh-CN"/>
        </w:rPr>
        <w:t>培育壮大种业</w:t>
      </w:r>
      <w:r>
        <w:rPr>
          <w:lang w:val="en-US" w:eastAsia="zh-CN"/>
        </w:rPr>
        <w:t>阵型</w:t>
      </w:r>
      <w:r>
        <w:rPr>
          <w:lang w:val="en-US" w:eastAsia="zh-CN"/>
        </w:rPr>
        <w:t>企业及育繁推一体化企业，完善</w:t>
      </w:r>
      <w:r>
        <w:rPr>
          <w:lang w:val="en-US" w:eastAsia="zh-CN"/>
        </w:rPr>
        <w:t>重点种业企业</w:t>
      </w:r>
      <w:r>
        <w:rPr>
          <w:lang w:val="en-US" w:eastAsia="zh"/>
        </w:rPr>
        <w:t>“</w:t>
      </w:r>
      <w:r>
        <w:rPr>
          <w:lang w:val="en-US" w:eastAsia="zh-CN"/>
        </w:rPr>
        <w:t>一对一</w:t>
      </w:r>
      <w:r>
        <w:rPr>
          <w:lang w:val="en-US" w:eastAsia="zh"/>
        </w:rPr>
        <w:t>”</w:t>
      </w:r>
      <w:r>
        <w:rPr>
          <w:lang w:val="en-US" w:eastAsia="zh-CN"/>
        </w:rPr>
        <w:t>常态化联系服务</w:t>
      </w:r>
      <w:r>
        <w:rPr>
          <w:lang w:val="en-US" w:eastAsia="zh-CN"/>
        </w:rPr>
        <w:t>机制</w:t>
      </w:r>
      <w:r>
        <w:rPr>
          <w:lang w:val="en-US" w:eastAsia="zh-CN"/>
        </w:rPr>
        <w:t>，</w:t>
      </w:r>
      <w:r>
        <w:rPr>
          <w:lang w:val="en-US" w:eastAsia="zh-CN"/>
        </w:rPr>
        <w:t>加快培育具有国际竞争力的种业领军企业，新增</w:t>
      </w:r>
      <w:r>
        <w:rPr>
          <w:lang w:val="en-US" w:eastAsia="zh-CN"/>
        </w:rPr>
        <w:t>1</w:t>
      </w:r>
      <w:r>
        <w:rPr>
          <w:rFonts w:cs="仿宋_GB2312;仿宋" w:ascii="仿宋_GB2312;仿宋" w:hAnsi="仿宋_GB2312;仿宋"/>
          <w:lang w:val="en-US" w:eastAsia="zh"/>
        </w:rPr>
        <w:t>—</w:t>
      </w:r>
      <w:r>
        <w:rPr>
          <w:lang w:val="en-US" w:eastAsia="zh-CN"/>
        </w:rPr>
        <w:t>2</w:t>
      </w:r>
      <w:r>
        <w:rPr>
          <w:lang w:val="en-US" w:eastAsia="zh-CN"/>
        </w:rPr>
        <w:t>家</w:t>
      </w:r>
      <w:r>
        <w:rPr/>
        <w:t>全国育繁推一体化企业</w:t>
      </w:r>
      <w:r>
        <w:rPr>
          <w:lang w:val="en-US" w:eastAsia="zh-CN"/>
        </w:rPr>
        <w:t>。支持企业依托特有资源、特色品种与独特模式构建差异化竞争优势，培育</w:t>
      </w:r>
      <w:r>
        <w:rPr/>
        <w:t>8</w:t>
      </w:r>
      <w:r>
        <w:rPr>
          <w:rFonts w:cs="仿宋_GB2312;仿宋" w:ascii="仿宋_GB2312;仿宋" w:hAnsi="仿宋_GB2312;仿宋"/>
          <w:lang w:eastAsia="zh"/>
        </w:rPr>
        <w:t>—</w:t>
      </w:r>
      <w:r>
        <w:rPr/>
        <w:t>10</w:t>
      </w:r>
      <w:r>
        <w:rPr/>
        <w:t>家细分</w:t>
      </w:r>
      <w:r>
        <w:rPr>
          <w:lang w:val="en-US" w:eastAsia="zh-CN"/>
        </w:rPr>
        <w:t>领域</w:t>
      </w:r>
      <w:r>
        <w:rPr/>
        <w:t>领先的特色优势种业企业</w:t>
      </w:r>
      <w:r>
        <w:rPr>
          <w:lang w:val="en-US" w:eastAsia="zh-CN"/>
        </w:rPr>
        <w:t>。</w:t>
      </w:r>
      <w:r>
        <w:rPr>
          <w:lang w:val="en-US" w:eastAsia="zh-CN"/>
        </w:rPr>
        <w:t>引导种业</w:t>
      </w:r>
      <w:r>
        <w:rPr>
          <w:lang w:val="en-US" w:eastAsia="zh-CN"/>
        </w:rPr>
        <w:t>企业提高</w:t>
      </w:r>
      <w:r>
        <w:rPr>
          <w:lang w:val="en-US" w:eastAsia="zh-CN"/>
        </w:rPr>
        <w:t>综合</w:t>
      </w:r>
      <w:r>
        <w:rPr>
          <w:lang w:val="en-US" w:eastAsia="zh-CN"/>
        </w:rPr>
        <w:t>服务能力</w:t>
      </w:r>
      <w:r>
        <w:rPr>
          <w:lang w:val="en-US" w:eastAsia="zh-CN"/>
        </w:rPr>
        <w:t>，</w:t>
      </w:r>
      <w:r>
        <w:rPr>
          <w:lang w:val="en-US" w:eastAsia="zh-CN"/>
        </w:rPr>
        <w:t>在育种研发、品种测试、生产加工</w:t>
      </w:r>
      <w:r>
        <w:rPr>
          <w:lang w:val="en-US" w:eastAsia="zh-CN"/>
        </w:rPr>
        <w:t>等</w:t>
      </w:r>
      <w:r>
        <w:rPr>
          <w:lang w:val="en-US" w:eastAsia="zh-CN"/>
        </w:rPr>
        <w:t>环节培育专业化平台企业</w:t>
      </w:r>
      <w:r>
        <w:rPr>
          <w:lang w:val="en-US" w:eastAsia="zh-CN"/>
        </w:rPr>
        <w:t>。</w:t>
      </w:r>
      <w:r>
        <w:rPr>
          <w:lang w:val="en-US" w:eastAsia="zh-CN"/>
        </w:rPr>
        <w:t>加大精准招商力度，吸引国内外头部种业企业在沪设立总部及研发中心</w:t>
      </w:r>
      <w:r>
        <w:rPr>
          <w:lang w:val="en-US" w:eastAsia="zh-CN"/>
        </w:rPr>
        <w:t>。支持种业企业完善商业化育种体系，开展联合</w:t>
      </w:r>
      <w:r>
        <w:rPr>
          <w:lang w:val="en-US" w:eastAsia="zh-CN"/>
        </w:rPr>
        <w:t>育种</w:t>
      </w:r>
      <w:r>
        <w:rPr>
          <w:lang w:val="en-US" w:eastAsia="zh-CN"/>
        </w:rPr>
        <w:t>攻关。</w:t>
      </w:r>
      <w:r>
        <w:rPr/>
        <w:t>支持</w:t>
      </w:r>
      <w:r>
        <w:rPr>
          <w:lang w:eastAsia="zh"/>
        </w:rPr>
        <w:t>“</w:t>
      </w:r>
      <w:r>
        <w:rPr/>
        <w:t>水稻商业化分子育种技术创新联盟</w:t>
      </w:r>
      <w:r>
        <w:rPr>
          <w:lang w:eastAsia="zh"/>
        </w:rPr>
        <w:t>”</w:t>
      </w:r>
      <w:r>
        <w:rPr/>
        <w:t>和</w:t>
      </w:r>
      <w:r>
        <w:rPr>
          <w:lang w:eastAsia="zh"/>
        </w:rPr>
        <w:t>“</w:t>
      </w:r>
      <w:r>
        <w:rPr/>
        <w:t>节水抗旱稻全产业链创新联盟</w:t>
      </w:r>
      <w:r>
        <w:rPr>
          <w:lang w:eastAsia="zh"/>
        </w:rPr>
        <w:t>”</w:t>
      </w:r>
      <w:r>
        <w:rPr/>
        <w:t>发展</w:t>
      </w:r>
      <w:r>
        <w:rPr>
          <w:lang w:val="en-US" w:eastAsia="zh-CN"/>
        </w:rPr>
        <w:t>。推动企业开展兼并重组</w:t>
      </w:r>
      <w:r>
        <w:rPr>
          <w:lang w:val="en-US" w:eastAsia="zh-CN"/>
        </w:rPr>
        <w:t>，</w:t>
      </w:r>
      <w:r>
        <w:rPr>
          <w:lang w:val="en-US" w:eastAsia="zh-CN"/>
        </w:rPr>
        <w:t>引导社会资本开展股权投资，支持符合条件的企业上市、挂牌融资</w:t>
      </w:r>
      <w:r>
        <w:rPr>
          <w:lang w:val="en-US" w:eastAsia="zh-CN"/>
        </w:rPr>
        <w:t>。</w:t>
      </w:r>
      <w:r>
        <w:rPr>
          <w:lang w:val="en-US" w:eastAsia="zh-CN"/>
        </w:rPr>
        <w:t>健全品种推广网络，加速上海品种在长三角及国内适宜地区示范应用，支持</w:t>
      </w:r>
      <w:r>
        <w:rPr>
          <w:lang w:val="en-US" w:eastAsia="zh-CN"/>
        </w:rPr>
        <w:t>种业企业</w:t>
      </w:r>
      <w:r>
        <w:rPr>
          <w:lang w:val="en-US" w:eastAsia="zh-CN"/>
        </w:rPr>
        <w:t>拓展</w:t>
      </w:r>
      <w:r>
        <w:rPr>
          <w:lang w:val="en-US" w:eastAsia="zh"/>
        </w:rPr>
        <w:t>“</w:t>
      </w:r>
      <w:r>
        <w:rPr>
          <w:lang w:val="en-US" w:eastAsia="zh-CN"/>
        </w:rPr>
        <w:t>一带一路</w:t>
      </w:r>
      <w:r>
        <w:rPr>
          <w:lang w:val="en-US" w:eastAsia="zh"/>
        </w:rPr>
        <w:t>”</w:t>
      </w:r>
      <w:r>
        <w:rPr>
          <w:lang w:val="en-US" w:eastAsia="zh-CN"/>
        </w:rPr>
        <w:t>等</w:t>
      </w:r>
      <w:r>
        <w:rPr>
          <w:lang w:val="en-US" w:eastAsia="zh-CN"/>
        </w:rPr>
        <w:t>国际市场。</w:t>
      </w:r>
      <w:r>
        <w:rPr>
          <w:color w:val="000000"/>
          <w:lang w:eastAsia="zh"/>
        </w:rPr>
        <w:t>健全</w:t>
      </w:r>
      <w:r>
        <w:rPr>
          <w:color w:val="000000"/>
          <w:lang w:val="en-US" w:eastAsia="zh-CN"/>
        </w:rPr>
        <w:t>种业</w:t>
      </w:r>
      <w:r>
        <w:rPr>
          <w:color w:val="000000"/>
        </w:rPr>
        <w:t>科技成果交易</w:t>
      </w:r>
      <w:r>
        <w:rPr>
          <w:color w:val="000000"/>
          <w:lang w:eastAsia="zh"/>
        </w:rPr>
        <w:t>制度</w:t>
      </w:r>
      <w:r>
        <w:rPr>
          <w:color w:val="000000"/>
        </w:rPr>
        <w:t>，支持新种质、新品种和</w:t>
      </w:r>
      <w:r>
        <w:rPr>
          <w:color w:val="000000"/>
          <w:lang w:val="en-US" w:eastAsia="zh-CN"/>
        </w:rPr>
        <w:t>新</w:t>
      </w:r>
      <w:r>
        <w:rPr>
          <w:color w:val="000000"/>
        </w:rPr>
        <w:t>技术上市公开交易</w:t>
      </w:r>
      <w:r>
        <w:rPr>
          <w:color w:val="000000"/>
          <w:lang w:val="en-US" w:eastAsia="zh-CN"/>
        </w:rPr>
        <w:t>或作价入股</w:t>
      </w:r>
      <w:r>
        <w:rPr>
          <w:color w:val="000000"/>
        </w:rPr>
        <w:t>。</w:t>
      </w:r>
    </w:p>
    <w:p>
      <w:pPr>
        <w:pStyle w:val="Normal"/>
        <w:spacing w:lineRule="exact" w:line="600"/>
        <w:ind w:firstLine="602"/>
        <w:rPr>
          <w:lang w:eastAsia="zh"/>
        </w:rPr>
      </w:pPr>
      <w:r>
        <w:rPr>
          <w:rFonts w:ascii="楷体_GB2312;楷体" w:hAnsi="楷体_GB2312;楷体" w:cs="楷体_GB2312;楷体" w:eastAsia="楷体_GB2312;楷体"/>
          <w:b/>
          <w:bCs/>
        </w:rPr>
        <w:t>（</w:t>
      </w:r>
      <w:r>
        <w:rPr>
          <w:rFonts w:ascii="楷体_GB2312;楷体" w:hAnsi="楷体_GB2312;楷体" w:cs="楷体_GB2312;楷体" w:eastAsia="楷体_GB2312;楷体"/>
          <w:b/>
          <w:bCs/>
          <w:lang w:val="en-US" w:eastAsia="zh-CN"/>
        </w:rPr>
        <w:t>五</w:t>
      </w:r>
      <w:r>
        <w:rPr>
          <w:rFonts w:ascii="楷体_GB2312;楷体" w:hAnsi="楷体_GB2312;楷体" w:cs="楷体_GB2312;楷体" w:eastAsia="楷体_GB2312;楷体"/>
          <w:b/>
          <w:bCs/>
        </w:rPr>
        <w:t>）加强种业基地建设。</w:t>
      </w:r>
      <w:r>
        <w:rPr/>
        <w:t>推进南繁基地建设升级</w:t>
      </w:r>
      <w:r>
        <w:rPr>
          <w:lang w:eastAsia="zh-CN"/>
        </w:rPr>
        <w:t>，提升</w:t>
      </w:r>
      <w:r>
        <w:rPr/>
        <w:t>服务</w:t>
      </w:r>
      <w:r>
        <w:rPr>
          <w:lang w:val="en-US" w:eastAsia="zh-CN"/>
        </w:rPr>
        <w:t>能力</w:t>
      </w:r>
      <w:r>
        <w:rPr/>
        <w:t>。优化市内</w:t>
      </w:r>
      <w:r>
        <w:rPr/>
        <w:t>和域外</w:t>
      </w:r>
      <w:r>
        <w:rPr>
          <w:lang w:eastAsia="zh-CN"/>
        </w:rPr>
        <w:t>农作物</w:t>
      </w:r>
      <w:r>
        <w:rPr/>
        <w:t>繁制种和原原种</w:t>
      </w:r>
      <w:r>
        <w:rPr/>
        <w:t>基地布局，</w:t>
      </w:r>
      <w:r>
        <w:rPr>
          <w:lang w:val="en-US" w:eastAsia="zh-CN"/>
        </w:rPr>
        <w:t>保持</w:t>
      </w:r>
      <w:r>
        <w:rPr>
          <w:lang w:val="en-US" w:eastAsia="zh-CN"/>
        </w:rPr>
        <w:t>2</w:t>
      </w:r>
      <w:r>
        <w:rPr/>
        <w:t>万亩</w:t>
      </w:r>
      <w:r>
        <w:rPr>
          <w:lang w:val="en-US" w:eastAsia="zh-CN"/>
        </w:rPr>
        <w:t>规模长期稳定，</w:t>
      </w:r>
      <w:r>
        <w:rPr>
          <w:lang w:val="en-US" w:eastAsia="zh-CN"/>
        </w:rPr>
        <w:t>升级基地基础设施与现代</w:t>
      </w:r>
      <w:r>
        <w:rPr>
          <w:lang w:val="en-US" w:eastAsia="zh-CN"/>
        </w:rPr>
        <w:t>智能</w:t>
      </w:r>
      <w:r>
        <w:rPr>
          <w:lang w:val="en-US" w:eastAsia="zh-CN"/>
        </w:rPr>
        <w:t>装备</w:t>
      </w:r>
      <w:r>
        <w:rPr>
          <w:lang w:val="en-US" w:eastAsia="zh-CN"/>
        </w:rPr>
        <w:t>应用，</w:t>
      </w:r>
      <w:r>
        <w:rPr/>
        <w:t>支持各区打造</w:t>
      </w:r>
      <w:r>
        <w:rPr>
          <w:lang w:val="en-US" w:eastAsia="zh-CN"/>
        </w:rPr>
        <w:t>智慧化</w:t>
      </w:r>
      <w:r>
        <w:rPr>
          <w:lang w:eastAsia="zh"/>
        </w:rPr>
        <w:t>规模化</w:t>
      </w:r>
      <w:r>
        <w:rPr>
          <w:lang w:eastAsia="zh-CN"/>
        </w:rPr>
        <w:t>农作物良种</w:t>
      </w:r>
      <w:r>
        <w:rPr>
          <w:lang w:eastAsia="zh"/>
        </w:rPr>
        <w:t>繁育基地。</w:t>
      </w:r>
      <w:r>
        <w:rPr>
          <w:lang w:val="en-US" w:eastAsia="zh"/>
        </w:rPr>
        <w:t>推进畜禽、水产良种繁育基地及生猪、奶牛等种公畜站设施改扩建</w:t>
      </w:r>
      <w:r>
        <w:rPr>
          <w:lang w:val="en-US" w:eastAsia="zh-CN"/>
        </w:rPr>
        <w:t>及智能设备应用，</w:t>
      </w:r>
      <w:r>
        <w:rPr>
          <w:lang w:eastAsia="zh-CN"/>
        </w:rPr>
        <w:t>推动畜禽水产保种备份场建设</w:t>
      </w:r>
      <w:r>
        <w:rPr>
          <w:lang w:val="en-US" w:eastAsia="zh"/>
        </w:rPr>
        <w:t>。健全品种试验示范、供需调度监测和救灾备荒种子储备体系，完善种源应急保供预案</w:t>
      </w:r>
      <w:r>
        <w:rPr>
          <w:lang w:val="en-US" w:eastAsia="zh-CN"/>
        </w:rPr>
        <w:t>，持续提升供种保障水平</w:t>
      </w:r>
      <w:r>
        <w:rPr>
          <w:lang w:val="en-US" w:eastAsia="zh"/>
        </w:rPr>
        <w:t>。</w:t>
      </w:r>
    </w:p>
    <w:p>
      <w:pPr>
        <w:pStyle w:val="Normal"/>
        <w:spacing w:lineRule="exact" w:line="600"/>
        <w:ind w:firstLine="602"/>
        <w:rPr/>
      </w:pPr>
      <w:r>
        <w:rPr>
          <w:rFonts w:ascii="楷体_GB2312;楷体" w:hAnsi="楷体_GB2312;楷体" w:cs="楷体_GB2312;楷体" w:eastAsia="楷体_GB2312;楷体"/>
          <w:b/>
          <w:bCs/>
        </w:rPr>
        <w:t>（</w:t>
      </w:r>
      <w:r>
        <w:rPr>
          <w:rFonts w:ascii="楷体_GB2312;楷体" w:hAnsi="楷体_GB2312;楷体" w:cs="楷体_GB2312;楷体" w:eastAsia="楷体_GB2312;楷体"/>
          <w:b/>
          <w:bCs/>
          <w:lang w:val="en-US" w:eastAsia="zh-CN"/>
        </w:rPr>
        <w:t>六</w:t>
      </w:r>
      <w:r>
        <w:rPr>
          <w:rFonts w:ascii="楷体_GB2312;楷体" w:hAnsi="楷体_GB2312;楷体" w:cs="楷体_GB2312;楷体" w:eastAsia="楷体_GB2312;楷体"/>
          <w:b/>
          <w:bCs/>
        </w:rPr>
        <w:t>）优化种业市场环境。</w:t>
      </w:r>
      <w:r>
        <w:rPr/>
        <w:t>深入推进品种全链条管理。</w:t>
      </w:r>
      <w:r>
        <w:rPr>
          <w:lang w:val="en-US" w:eastAsia="zh-CN"/>
        </w:rPr>
        <w:t>建设农作物品种测试骨干网络，提升品种测试能力，</w:t>
      </w:r>
      <w:r>
        <w:rPr/>
        <w:t>加强品种试验监管，提高审定</w:t>
      </w:r>
      <w:r>
        <w:rPr>
          <w:lang w:eastAsia="zh-CN"/>
        </w:rPr>
        <w:t>、认定</w:t>
      </w:r>
      <w:r>
        <w:rPr/>
        <w:t>标准，规范引种备案</w:t>
      </w:r>
      <w:r>
        <w:rPr>
          <w:lang w:eastAsia="zh-CN"/>
        </w:rPr>
        <w:t>，</w:t>
      </w:r>
      <w:r>
        <w:rPr/>
        <w:t>健全品种</w:t>
      </w:r>
      <w:r>
        <w:rPr>
          <w:lang w:val="en-US" w:eastAsia="zh-CN"/>
        </w:rPr>
        <w:t>撤销</w:t>
      </w:r>
      <w:r>
        <w:rPr/>
        <w:t>机制，加大品种撤销力度。推进品种</w:t>
      </w:r>
      <w:r>
        <w:rPr>
          <w:lang w:eastAsia="zh"/>
        </w:rPr>
        <w:t>“</w:t>
      </w:r>
      <w:r>
        <w:rPr/>
        <w:t>身份证</w:t>
      </w:r>
      <w:r>
        <w:rPr>
          <w:lang w:eastAsia="zh"/>
        </w:rPr>
        <w:t>”</w:t>
      </w:r>
      <w:r>
        <w:rPr/>
        <w:t>制度，</w:t>
      </w:r>
      <w:r>
        <w:rPr>
          <w:lang w:val="en-US" w:eastAsia="zh-CN"/>
        </w:rPr>
        <w:t>完善</w:t>
      </w:r>
      <w:r>
        <w:rPr>
          <w:lang w:val="en-US" w:eastAsia="zh-CN"/>
        </w:rPr>
        <w:t>DNA</w:t>
      </w:r>
      <w:r>
        <w:rPr>
          <w:lang w:val="en-US" w:eastAsia="zh-CN"/>
        </w:rPr>
        <w:t>分子指纹库，</w:t>
      </w:r>
      <w:r>
        <w:rPr/>
        <w:t>落实实质性派生品种制度</w:t>
      </w:r>
      <w:r>
        <w:rPr>
          <w:lang w:eastAsia="zh-CN"/>
        </w:rPr>
        <w:t>，</w:t>
      </w:r>
      <w:r>
        <w:rPr>
          <w:lang w:val="en-US" w:eastAsia="zh-CN"/>
        </w:rPr>
        <w:t>健全种子质量、品种测试等标准体系</w:t>
      </w:r>
      <w:r>
        <w:rPr/>
        <w:t>。推</w:t>
      </w:r>
      <w:r>
        <w:rPr>
          <w:lang w:val="en-US" w:eastAsia="zh-CN"/>
        </w:rPr>
        <w:t>动</w:t>
      </w:r>
      <w:r>
        <w:rPr/>
        <w:t>长三角区域同一适宜生态区品种试验数据共享互认机制。</w:t>
      </w:r>
      <w:r>
        <w:rPr>
          <w:color w:val="000000"/>
        </w:rPr>
        <w:t>加强种业市场常态化监督，</w:t>
      </w:r>
      <w:r>
        <w:rPr/>
        <w:t>持续开展种业监管执法</w:t>
      </w:r>
      <w:r>
        <w:rPr>
          <w:lang w:val="en-US" w:eastAsia="zh-CN"/>
        </w:rPr>
        <w:t>专项整治</w:t>
      </w:r>
      <w:r>
        <w:rPr/>
        <w:t>，严厉打击种业违法犯罪行为。</w:t>
      </w:r>
      <w:r>
        <w:rPr>
          <w:lang w:val="en-US" w:eastAsia="zh-CN"/>
        </w:rPr>
        <w:t>强化</w:t>
      </w:r>
      <w:r>
        <w:rPr/>
        <w:t>知识产权保护，健全监管机制，</w:t>
      </w:r>
      <w:r>
        <w:rPr>
          <w:lang w:eastAsia="zh-CN"/>
        </w:rPr>
        <w:t>严格查处侵权</w:t>
      </w:r>
      <w:r>
        <w:rPr>
          <w:lang w:val="en-US" w:eastAsia="zh-CN"/>
        </w:rPr>
        <w:t>行为</w:t>
      </w:r>
      <w:r>
        <w:rPr/>
        <w:t>。</w:t>
      </w:r>
    </w:p>
    <w:p>
      <w:pPr>
        <w:pStyle w:val="Heading1"/>
        <w:spacing w:lineRule="exact" w:line="600"/>
        <w:ind w:firstLine="602"/>
        <w:rPr/>
      </w:pPr>
      <w:r>
        <w:rPr>
          <w:lang w:eastAsia="zh-CN"/>
        </w:rPr>
        <w:t>三</w:t>
      </w:r>
      <w:r>
        <w:rPr/>
        <w:t>、保障措施</w:t>
      </w:r>
    </w:p>
    <w:p>
      <w:pPr>
        <w:pStyle w:val="Normal"/>
        <w:keepNext w:val="false"/>
        <w:keepLines w:val="false"/>
        <w:widowControl/>
        <w:spacing w:lineRule="exact" w:line="600"/>
        <w:jc w:val="left"/>
        <w:rPr/>
      </w:pPr>
      <w:r>
        <w:rPr>
          <w:rFonts w:ascii="仿宋_GB2312;仿宋" w:hAnsi="仿宋_GB2312;仿宋" w:cs="仿宋_GB2312;仿宋"/>
          <w:kern w:val="0"/>
          <w:sz w:val="32"/>
          <w:szCs w:val="32"/>
          <w:lang w:val="en-US" w:eastAsia="zh-CN" w:bidi="ar"/>
        </w:rPr>
        <w:t>各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相关区和市属涉农国企要明确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" w:bidi="ar"/>
        </w:rPr>
        <w:t>“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十五五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" w:bidi="ar"/>
        </w:rPr>
        <w:t>”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期间目标任务、工作举措和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工作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要求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，因地制宜推进规划落实。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农业农村部门要同发展改革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、科技、教育、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财政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、规划资源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等部门形成工作合力，</w:t>
      </w:r>
      <w:r>
        <w:rPr>
          <w:rFonts w:ascii="Times New Roman" w:hAnsi="Times New Roman" w:cs="Times New Roman"/>
          <w:kern w:val="2"/>
          <w:sz w:val="30"/>
          <w:szCs w:val="24"/>
          <w:lang w:val="en-US" w:eastAsia="zh-CN" w:bidi="ar"/>
        </w:rPr>
        <w:t>统筹</w:t>
      </w:r>
      <w:r>
        <w:rPr/>
        <w:t>协调现代种业发展重大政策</w:t>
      </w:r>
      <w:r>
        <w:rPr>
          <w:lang w:eastAsia="zh-CN"/>
        </w:rPr>
        <w:t>、</w:t>
      </w:r>
      <w:r>
        <w:rPr>
          <w:lang w:val="en-US" w:eastAsia="zh-CN"/>
        </w:rPr>
        <w:t>重大项目落地见效</w:t>
      </w:r>
      <w:r>
        <w:rPr/>
        <w:t>。</w:t>
      </w:r>
      <w:r>
        <w:rPr/>
        <w:t>充分发挥</w:t>
      </w:r>
      <w:r>
        <w:rPr>
          <w:rFonts w:ascii="Times New Roman" w:hAnsi="Times New Roman" w:cs="Times New Roman"/>
          <w:lang w:eastAsia="zh-CN"/>
        </w:rPr>
        <w:t>农业科研机构和</w:t>
      </w:r>
      <w:r>
        <w:rPr/>
        <w:t>种业技术推广机构的技术支撑作用</w:t>
      </w:r>
      <w:r>
        <w:rPr>
          <w:rFonts w:ascii="Times New Roman" w:hAnsi="Times New Roman" w:cs="Times New Roman"/>
          <w:lang w:eastAsia="zh-CN"/>
        </w:rPr>
        <w:t>。</w:t>
      </w:r>
      <w:r>
        <w:rPr>
          <w:rFonts w:ascii="Times New Roman" w:hAnsi="Times New Roman" w:cs="Times New Roman"/>
          <w:b w:val="false"/>
          <w:bCs w:val="false"/>
        </w:rPr>
        <w:t>完善投入机制。</w:t>
      </w:r>
      <w:r>
        <w:rPr/>
        <w:t>统筹利用各类涉农惠农资金，健全金融支持服务体系，加大种业投入力度。引导社会</w:t>
      </w:r>
      <w:r>
        <w:rPr>
          <w:rFonts w:ascii="Times New Roman" w:hAnsi="Times New Roman" w:cs="Times New Roman"/>
          <w:lang w:eastAsia="zh-CN"/>
        </w:rPr>
        <w:t>和</w:t>
      </w:r>
      <w:r>
        <w:rPr/>
        <w:t>金融资本参与，支持种业企业兼并重组和科技创新。</w:t>
      </w:r>
      <w:r>
        <w:rPr>
          <w:rFonts w:ascii="Times New Roman" w:hAnsi="Times New Roman" w:cs="Times New Roman"/>
          <w:b w:val="false"/>
          <w:bCs w:val="false"/>
        </w:rPr>
        <w:t>加强人才培育。</w:t>
      </w:r>
      <w:r>
        <w:rPr/>
        <w:t>鼓励科研院所、高</w:t>
      </w:r>
      <w:r>
        <w:rPr>
          <w:rFonts w:ascii="Times New Roman" w:hAnsi="Times New Roman" w:cs="Times New Roman"/>
          <w:lang w:val="en-US" w:eastAsia="zh-CN"/>
        </w:rPr>
        <w:t>等院校</w:t>
      </w:r>
      <w:r>
        <w:rPr/>
        <w:t>、企业引进</w:t>
      </w:r>
      <w:r>
        <w:rPr>
          <w:rFonts w:ascii="Times New Roman" w:hAnsi="Times New Roman" w:cs="Times New Roman"/>
          <w:lang w:eastAsia="zh-CN"/>
        </w:rPr>
        <w:t>培育种业</w:t>
      </w:r>
      <w:r>
        <w:rPr/>
        <w:t>高层次人才</w:t>
      </w:r>
      <w:r>
        <w:rPr>
          <w:rFonts w:ascii="Times New Roman" w:hAnsi="Times New Roman" w:cs="Times New Roman"/>
          <w:lang w:eastAsia="zh-CN"/>
        </w:rPr>
        <w:t>，</w:t>
      </w:r>
      <w:r>
        <w:rPr>
          <w:rFonts w:ascii="Times New Roman" w:hAnsi="Times New Roman" w:cs="Times New Roman"/>
          <w:lang w:val="en-US" w:eastAsia="zh-CN"/>
        </w:rPr>
        <w:t>推动相关单位纳入人才引进重点机构</w:t>
      </w:r>
      <w:r>
        <w:rPr>
          <w:rFonts w:ascii="Times New Roman" w:hAnsi="Times New Roman" w:cs="Times New Roman"/>
          <w:spacing w:val="-6"/>
          <w:lang w:val="en-US" w:eastAsia="zh-CN"/>
        </w:rPr>
        <w:t>名单。</w:t>
      </w:r>
      <w:r>
        <w:rPr>
          <w:rFonts w:ascii="Times New Roman" w:hAnsi="Times New Roman" w:cs="Times New Roman"/>
          <w:b w:val="false"/>
          <w:bCs w:val="false"/>
          <w:spacing w:val="-6"/>
        </w:rPr>
        <w:t>强化宣传引导。</w:t>
      </w:r>
      <w:r>
        <w:rPr>
          <w:spacing w:val="-6"/>
        </w:rPr>
        <w:t>开展多方位多角度宣传，加强政策解读，总结经验成效，</w:t>
      </w:r>
      <w:r>
        <w:rPr>
          <w:spacing w:val="-6"/>
          <w:kern w:val="2"/>
          <w:sz w:val="30"/>
          <w:szCs w:val="24"/>
          <w:lang w:val="en-US" w:eastAsia="zh-CN" w:bidi="ar-SA"/>
        </w:rPr>
        <w:t>营造</w:t>
      </w:r>
      <w:r>
        <w:rPr>
          <w:spacing w:val="-6"/>
          <w:kern w:val="2"/>
          <w:sz w:val="30"/>
          <w:szCs w:val="24"/>
          <w:lang w:val="en-US" w:eastAsia="zh-CN" w:bidi="ar-SA"/>
        </w:rPr>
        <w:t>全社会关心支持种业高质量发展的良好氛围。</w:t>
      </w:r>
    </w:p>
    <w:sectPr>
      <w:headerReference w:type="default" r:id="rId2"/>
      <w:footerReference w:type="default" r:id="rId3"/>
      <w:type w:val="nextPage"/>
      <w:pgSz w:w="11906" w:h="16838"/>
      <w:pgMar w:left="1800" w:right="1800" w:gutter="0" w:header="851" w:top="1440" w:footer="992" w:bottom="1440"/>
      <w:pgNumType w:start="1" w:fmt="decimal"/>
      <w:formProt w:val="false"/>
      <w:textDirection w:val="lrTb"/>
      <w:docGrid w:type="lines" w:linePitch="408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0"/>
    <w:family w:val="roman"/>
    <w:pitch w:val="default"/>
  </w:font>
  <w:font w:name="仿宋_GB2312">
    <w:altName w:val="仿宋"/>
    <w:charset w:val="86"/>
    <w:family w:val="auto"/>
    <w:pitch w:val="default"/>
  </w:font>
  <w:font w:name="宋体">
    <w:charset w:val="86"/>
    <w:family w:val="auto"/>
    <w:pitch w:val="default"/>
  </w:font>
  <w:font w:name="Arial">
    <w:charset w:val="00"/>
    <w:family w:val="swiss"/>
    <w:pitch w:val="default"/>
  </w:font>
  <w:font w:name="黑体">
    <w:charset w:val="86"/>
    <w:family w:val="auto"/>
    <w:pitch w:val="default"/>
  </w:font>
  <w:font w:name="Calibri">
    <w:charset w:val="00"/>
    <w:family w:val="swiss"/>
    <w:pitch w:val="default"/>
  </w:font>
  <w:font w:name="Calibri Light">
    <w:charset w:val="00"/>
    <w:family w:val="swiss"/>
    <w:pitch w:val="default"/>
  </w:font>
  <w:font w:name="方正小标宋简体">
    <w:altName w:val="黑体"/>
    <w:charset w:val="86"/>
    <w:family w:val="auto"/>
    <w:pitch w:val="default"/>
  </w:font>
  <w:font w:name="楷体_GB2312">
    <w:altName w:val="楷体"/>
    <w:charset w:val="86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firstLine="360"/>
      <w:jc w:val="center"/>
      <w:rPr>
        <w:sz w:val="18"/>
      </w:rPr>
    </w:pPr>
    <w:r>
      <w:rPr>
        <w:sz w:val="18"/>
      </w:rPr>
    </w:r>
    <w:r>
      <mc:AlternateContent>
        <mc:Choice Requires="wps">
          <w:drawing>
            <wp:anchor behindDoc="1" distT="0" distB="0" distL="114935" distR="0" simplePos="0" locked="0" layoutInCell="0" allowOverlap="1" relativeHeight="7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241935" cy="20828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1935" cy="20828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eastAsia="宋体" w:cs="宋体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instrText xml:space="preserve"> PAGE </w:instrText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t>6</w:t>
                          </w:r>
                          <w:r>
                            <w:rPr>
                              <w:sz w:val="28"/>
                              <w:szCs w:val="28"/>
                              <w:rFonts w:eastAsia="宋体" w:cs="宋体" w:ascii="宋体" w:hAnsi="宋体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635" tIns="635" rIns="635" bIns="635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9.05pt;height:16.4pt;mso-wrap-distance-left:9.05pt;mso-wrap-distance-right:0pt;mso-wrap-distance-top:0pt;mso-wrap-distance-bottom:0pt;margin-top:0pt;mso-position-vertical-relative:text;margin-left:9.05pt;mso-position-horizontal:outside;mso-position-horizontal-relative:margin">
              <v:fill opacity="0f"/>
              <v:textbox inset="0.000694444444444444in,0.000694444444444444in,0.000694444444444444in,0.000694444444444444in">
                <w:txbxContent>
                  <w:p>
                    <w:pPr>
                      <w:pStyle w:val="Footer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eastAsia="宋体" w:cs="宋体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instrText xml:space="preserve"> PAGE </w:instrText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t>6</w:t>
                    </w:r>
                    <w:r>
                      <w:rPr>
                        <w:sz w:val="28"/>
                        <w:szCs w:val="28"/>
                        <w:rFonts w:eastAsia="宋体" w:cs="宋体" w:ascii="宋体" w:hAnsi="宋体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ind w:firstLine="360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33"/>
  <w:trackRevisions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exact" w:line="600"/>
      <w:ind w:firstLine="200"/>
      <w:jc w:val="both"/>
    </w:pPr>
    <w:rPr>
      <w:rFonts w:ascii="Times New Roman" w:hAnsi="Times New Roman" w:eastAsia="仿宋_GB2312;仿宋" w:cs="Times New Roman"/>
      <w:color w:val="auto"/>
      <w:kern w:val="2"/>
      <w:sz w:val="30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keepLines/>
      <w:numPr>
        <w:ilvl w:val="0"/>
        <w:numId w:val="1"/>
      </w:numPr>
      <w:outlineLvl w:val="0"/>
    </w:pPr>
    <w:rPr>
      <w:rFonts w:eastAsia="黑体"/>
      <w:b/>
      <w:bCs/>
      <w:kern w:val="2"/>
      <w:szCs w:val="44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outlineLvl w:val="1"/>
    </w:pPr>
    <w:rPr>
      <w:rFonts w:eastAsia="楷体" w:cs="Times New Roman"/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outlineLvl w:val="2"/>
    </w:pPr>
    <w:rPr>
      <w:b/>
      <w:bCs/>
      <w:szCs w:val="32"/>
    </w:rPr>
  </w:style>
  <w:style w:type="character" w:styleId="Style11">
    <w:name w:val="默认段落字体"/>
    <w:qFormat/>
    <w:rPr/>
  </w:style>
  <w:style w:type="character" w:styleId="3">
    <w:name w:val="标题 3 字符"/>
    <w:qFormat/>
    <w:rPr>
      <w:b/>
      <w:bCs/>
      <w:szCs w:val="32"/>
    </w:rPr>
  </w:style>
  <w:style w:type="character" w:styleId="Style12">
    <w:name w:val="批注文字 字符"/>
    <w:qFormat/>
    <w:rPr>
      <w:rFonts w:ascii="Times New Roman" w:hAnsi="Times New Roman" w:eastAsia="仿宋_GB2312;仿宋" w:cs="Times New Roman"/>
      <w:kern w:val="2"/>
      <w:sz w:val="30"/>
      <w:szCs w:val="24"/>
    </w:rPr>
  </w:style>
  <w:style w:type="character" w:styleId="Style13">
    <w:name w:val="批注主题 字符"/>
    <w:qFormat/>
    <w:rPr>
      <w:rFonts w:ascii="Times New Roman" w:hAnsi="Times New Roman" w:eastAsia="仿宋_GB2312;仿宋" w:cs="Times New Roman"/>
      <w:b/>
      <w:bCs/>
      <w:kern w:val="2"/>
      <w:sz w:val="30"/>
      <w:szCs w:val="24"/>
    </w:rPr>
  </w:style>
  <w:style w:type="character" w:styleId="InternetLink">
    <w:name w:val="Hyperlink"/>
    <w:rPr>
      <w:color w:val="0563C1"/>
      <w:u w:val="single"/>
    </w:rPr>
  </w:style>
  <w:style w:type="character" w:styleId="Style14">
    <w:name w:val="批注引用"/>
    <w:qFormat/>
    <w:rPr>
      <w:sz w:val="21"/>
      <w:szCs w:val="21"/>
    </w:rPr>
  </w:style>
  <w:style w:type="character" w:styleId="FootnoteCharacters">
    <w:name w:val="Footnote Characters"/>
    <w:qFormat/>
    <w:rPr>
      <w:vertAlign w:val="superscript"/>
    </w:rPr>
  </w:style>
  <w:style w:type="character" w:styleId="Font31">
    <w:name w:val="font31"/>
    <w:qFormat/>
    <w:rPr>
      <w:rFonts w:ascii="Times New Roman" w:hAnsi="Times New Roman" w:cs="Times New Roman"/>
      <w:color w:val="000000"/>
      <w:sz w:val="22"/>
      <w:szCs w:val="22"/>
      <w:u w:val="none"/>
    </w:rPr>
  </w:style>
  <w:style w:type="character" w:styleId="Font11">
    <w:name w:val="font11"/>
    <w:qFormat/>
    <w:rPr>
      <w:rFonts w:ascii="仿宋_GB2312;仿宋" w:hAnsi="仿宋_GB2312;仿宋" w:eastAsia="仿宋_GB2312;仿宋"/>
      <w:color w:val="000000"/>
      <w:sz w:val="28"/>
      <w:szCs w:val="28"/>
      <w:u w:val="none"/>
    </w:rPr>
  </w:style>
  <w:style w:type="character" w:styleId="Font21">
    <w:name w:val="font21"/>
    <w:qFormat/>
    <w:rPr>
      <w:rFonts w:ascii="宋体" w:hAnsi="宋体" w:eastAsia="宋体" w:cs="宋体"/>
      <w:color w:val="FF0000"/>
      <w:sz w:val="22"/>
      <w:szCs w:val="22"/>
      <w:u w:val="none"/>
    </w:rPr>
  </w:style>
  <w:style w:type="character" w:styleId="Font41">
    <w:name w:val="font41"/>
    <w:qFormat/>
    <w:rPr>
      <w:rFonts w:ascii="Times New Roman" w:hAnsi="Times New Roman" w:cs="Times New Roman"/>
      <w:color w:val="FF0000"/>
      <w:sz w:val="22"/>
      <w:szCs w:val="22"/>
      <w:u w:val="none"/>
    </w:rPr>
  </w:style>
  <w:style w:type="paragraph" w:styleId="Heading">
    <w:name w:val="Heading"/>
    <w:basedOn w:val="Normal"/>
    <w:next w:val="Normal"/>
    <w:qFormat/>
    <w:pPr>
      <w:ind w:firstLine="744"/>
      <w:jc w:val="left"/>
      <w:outlineLvl w:val="0"/>
    </w:pPr>
    <w:rPr>
      <w:rFonts w:ascii="Arial" w:hAnsi="Arial" w:eastAsia="仿宋_GB2312;仿宋" w:cs="Arial"/>
      <w:sz w:val="32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Style15">
    <w:name w:val="批注文字"/>
    <w:basedOn w:val="Normal"/>
    <w:qFormat/>
    <w:pPr>
      <w:jc w:val="left"/>
    </w:pPr>
    <w:rPr/>
  </w:style>
  <w:style w:type="paragraph" w:styleId="TextBodyIndent">
    <w:name w:val="Body Text Indent"/>
    <w:basedOn w:val="Normal"/>
    <w:pPr>
      <w:snapToGrid w:val="false"/>
      <w:spacing w:lineRule="auto" w:line="300"/>
      <w:ind w:firstLine="560"/>
    </w:pPr>
    <w:rPr>
      <w:sz w:val="28"/>
    </w:rPr>
  </w:style>
  <w:style w:type="paragraph" w:styleId="Contents3">
    <w:name w:val="TOC 3"/>
    <w:basedOn w:val="Normal"/>
    <w:next w:val="Normal"/>
    <w:pPr>
      <w:ind w:left="840" w:firstLine="200"/>
    </w:pPr>
    <w:rPr/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819" w:leader="none"/>
        <w:tab w:val="right" w:pos="9638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spacing w:lineRule="atLeast" w:line="240"/>
      <w:jc w:val="left"/>
    </w:pPr>
    <w:rPr>
      <w:sz w:val="18"/>
      <w:szCs w:val="18"/>
    </w:rPr>
  </w:style>
  <w:style w:type="paragraph" w:styleId="Header">
    <w:name w:val="Head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spacing w:lineRule="atLeast" w:line="240"/>
      <w:jc w:val="center"/>
    </w:pPr>
    <w:rPr>
      <w:sz w:val="18"/>
      <w:szCs w:val="18"/>
    </w:rPr>
  </w:style>
  <w:style w:type="paragraph" w:styleId="Contents1">
    <w:name w:val="TOC 1"/>
    <w:basedOn w:val="Normal"/>
    <w:next w:val="Normal"/>
    <w:pPr>
      <w:tabs>
        <w:tab w:val="clear" w:pos="420"/>
        <w:tab w:val="right" w:pos="8296" w:leader="dot"/>
      </w:tabs>
      <w:ind w:hanging="0"/>
    </w:pPr>
    <w:rPr>
      <w:rFonts w:ascii="黑体" w:hAnsi="黑体" w:eastAsia="黑体" w:cs="Times New Roman"/>
      <w:b/>
      <w:bCs/>
    </w:rPr>
  </w:style>
  <w:style w:type="paragraph" w:styleId="Footnote">
    <w:name w:val="Footnote Text"/>
    <w:basedOn w:val="Normal"/>
    <w:pPr>
      <w:snapToGrid w:val="false"/>
      <w:jc w:val="left"/>
    </w:pPr>
    <w:rPr>
      <w:sz w:val="18"/>
      <w:szCs w:val="18"/>
    </w:rPr>
  </w:style>
  <w:style w:type="paragraph" w:styleId="Contents2">
    <w:name w:val="TOC 2"/>
    <w:basedOn w:val="Normal"/>
    <w:next w:val="Normal"/>
    <w:pPr>
      <w:tabs>
        <w:tab w:val="clear" w:pos="420"/>
        <w:tab w:val="right" w:pos="8296" w:leader="dot"/>
      </w:tabs>
      <w:ind w:left="600" w:hanging="0"/>
    </w:pPr>
    <w:rPr/>
  </w:style>
  <w:style w:type="paragraph" w:styleId="2">
    <w:name w:val="正文文本 2"/>
    <w:basedOn w:val="Normal"/>
    <w:next w:val="21"/>
    <w:qFormat/>
    <w:pPr>
      <w:ind w:firstLine="1840"/>
    </w:pPr>
    <w:rPr/>
  </w:style>
  <w:style w:type="paragraph" w:styleId="21">
    <w:name w:val="正文首行缩进 2"/>
    <w:basedOn w:val="TextBodyIndent"/>
    <w:qFormat/>
    <w:pPr>
      <w:ind w:firstLine="420"/>
    </w:pPr>
    <w:rPr>
      <w:rFonts w:ascii="Times New Roman" w:hAnsi="Times New Roman" w:eastAsia="宋?;宋体" w:cs="Times New Roman"/>
    </w:rPr>
  </w:style>
  <w:style w:type="paragraph" w:styleId="Style16">
    <w:name w:val="批注主题"/>
    <w:basedOn w:val="Style15"/>
    <w:next w:val="Style15"/>
    <w:qFormat/>
    <w:pPr/>
    <w:rPr>
      <w:b/>
      <w:bCs/>
    </w:rPr>
  </w:style>
  <w:style w:type="paragraph" w:styleId="Style17">
    <w:name w:val="正文首行缩进"/>
    <w:basedOn w:val="TextBody"/>
    <w:qFormat/>
    <w:pPr>
      <w:spacing w:before="0" w:after="120"/>
      <w:ind w:firstLine="420"/>
    </w:pPr>
    <w:rPr>
      <w:rFonts w:ascii="Calibri" w:hAnsi="Calibri" w:eastAsia="宋体" w:cs="Times New Roman"/>
      <w:sz w:val="21"/>
    </w:rPr>
  </w:style>
  <w:style w:type="paragraph" w:styleId="TOCHeading">
    <w:name w:val="TOC Heading"/>
    <w:basedOn w:val="Heading1"/>
    <w:next w:val="Normal"/>
    <w:qFormat/>
    <w:pPr>
      <w:widowControl/>
      <w:numPr>
        <w:ilvl w:val="0"/>
        <w:numId w:val="0"/>
      </w:numPr>
      <w:spacing w:lineRule="auto" w:line="256" w:before="240" w:after="0"/>
      <w:ind w:hanging="0"/>
      <w:jc w:val="left"/>
      <w:outlineLvl w:val="9"/>
    </w:pPr>
    <w:rPr>
      <w:rFonts w:ascii="Calibri Light" w:hAnsi="Calibri Light" w:eastAsia="宋体" w:cs="Times New Roman"/>
      <w:b w:val="false"/>
      <w:bCs w:val="false"/>
      <w:color w:val="2E75B5"/>
      <w:kern w:val="0"/>
      <w:sz w:val="32"/>
      <w:szCs w:val="32"/>
    </w:rPr>
  </w:style>
  <w:style w:type="paragraph" w:styleId="Style18">
    <w:name w:val="修订"/>
    <w:qFormat/>
    <w:pPr>
      <w:widowControl/>
      <w:bidi w:val="0"/>
    </w:pPr>
    <w:rPr>
      <w:rFonts w:ascii="Times New Roman" w:hAnsi="Times New Roman" w:eastAsia="仿宋_GB2312;仿宋" w:cs="Times New Roman"/>
      <w:color w:val="auto"/>
      <w:kern w:val="2"/>
      <w:sz w:val="30"/>
      <w:szCs w:val="24"/>
      <w:lang w:val="en-US" w:eastAsia="zh-CN" w:bidi="ar-SA"/>
    </w:rPr>
  </w:style>
  <w:style w:type="paragraph" w:styleId="FrameContents">
    <w:name w:val="Frame Contents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2026-03-26T23:28:00Z</dcterms:created>
  <dc:creator>user</dc:creator>
  <dc:description/>
  <dc:language>en-US</dc:language>
  <cp:lastModifiedBy>yms</cp:lastModifiedBy>
  <cp:lastPrinted>2026-08-31T08:53:00Z</cp:lastPrinted>
  <dcterms:modified xsi:type="dcterms:W3CDTF">2026-09-15T02:57:25Z</dcterms:modifi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0F8807C4D24D742B276DA36A432C12AA_43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eyJoZGlkIjoiYzNiNmU3ODBhNjNmMzM1ZWY3YmI4MzliOTY3NGMxNzMiLCJ1c2VySWQiOiIxNjkwMzU1OTI0In0=</vt:lpwstr>
  </property>
</Properties>
</file>