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keepNext w:val="false"/>
        <w:keepLines w:val="false"/>
        <w:pageBreakBefore w:val="false"/>
        <w:widowControl w:val="false"/>
        <w:kinsoku w:val="true"/>
        <w:overflowPunct w:val="true"/>
        <w:autoSpaceDE w:val="true"/>
        <w:bidi w:val="0"/>
        <w:snapToGrid w:val="true"/>
        <w:spacing w:lineRule="exact" w:line="578"/>
        <w:jc w:val="center"/>
        <w:textAlignment w:val="auto"/>
        <w:rPr>
          <w:rFonts w:ascii="方正小标宋简体" w:hAnsi="方正小标宋简体" w:eastAsia="方正小标宋简体" w:cs="方正小标宋简体"/>
          <w:sz w:val="44"/>
          <w:szCs w:val="44"/>
          <w:lang w:eastAsia="zh-CN"/>
        </w:rPr>
      </w:pPr>
      <w:r>
        <w:rPr>
          <w:rFonts w:ascii="方正小标宋简体" w:hAnsi="方正小标宋简体" w:cs="方正小标宋简体" w:eastAsia="方正小标宋简体"/>
          <w:sz w:val="44"/>
          <w:szCs w:val="44"/>
          <w:lang w:eastAsia="zh-CN"/>
        </w:rPr>
        <w:t>珠海市食品生产企业生产合规指引</w:t>
      </w:r>
    </w:p>
    <w:p>
      <w:pPr>
        <w:pStyle w:val="Normal"/>
        <w:keepNext w:val="false"/>
        <w:keepLines w:val="false"/>
        <w:pageBreakBefore w:val="false"/>
        <w:widowControl w:val="false"/>
        <w:numPr>
          <w:ilvl w:val="0"/>
          <w:numId w:val="0"/>
        </w:numPr>
        <w:kinsoku w:val="true"/>
        <w:overflowPunct w:val="true"/>
        <w:autoSpaceDE w:val="true"/>
        <w:bidi w:val="0"/>
        <w:snapToGrid w:val="true"/>
        <w:spacing w:lineRule="exact" w:line="578"/>
        <w:ind w:left="0" w:firstLine="640"/>
        <w:jc w:val="both"/>
        <w:textAlignment w:val="auto"/>
        <w:rPr>
          <w:rFonts w:ascii="黑体" w:hAnsi="黑体" w:eastAsia="黑体" w:cs="黑体"/>
          <w:sz w:val="32"/>
          <w:szCs w:val="32"/>
          <w:lang w:eastAsia="zh-CN"/>
        </w:rPr>
      </w:pPr>
      <w:r>
        <w:rPr>
          <w:rFonts w:eastAsia="黑体" w:cs="黑体" w:ascii="黑体" w:hAnsi="黑体"/>
          <w:sz w:val="32"/>
          <w:szCs w:val="32"/>
          <w:lang w:eastAsia="zh-CN"/>
        </w:rPr>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黑体" w:hAnsi="黑体" w:eastAsia="黑体" w:cs="黑体"/>
          <w:color w:val="000000"/>
          <w:sz w:val="32"/>
          <w:szCs w:val="32"/>
          <w:lang w:eastAsia="zh-CN"/>
        </w:rPr>
      </w:pPr>
      <w:r>
        <w:rPr>
          <w:rFonts w:ascii="黑体" w:hAnsi="黑体" w:cs="黑体" w:eastAsia="黑体"/>
          <w:color w:val="000000"/>
          <w:sz w:val="32"/>
          <w:szCs w:val="32"/>
          <w:lang w:eastAsia="zh-CN"/>
        </w:rPr>
        <w:t>一、总则</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（一）目的与依据</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为</w:t>
      </w:r>
      <w:r>
        <w:rPr>
          <w:rFonts w:ascii="仿宋_GB2312" w:hAnsi="仿宋_GB2312" w:cs="仿宋_GB2312" w:eastAsia="仿宋_GB2312"/>
          <w:color w:val="000000"/>
          <w:sz w:val="32"/>
          <w:szCs w:val="32"/>
          <w:lang w:val="en-US" w:eastAsia="zh-CN"/>
        </w:rPr>
        <w:t>引导</w:t>
      </w:r>
      <w:r>
        <w:rPr>
          <w:rFonts w:ascii="仿宋_GB2312" w:hAnsi="仿宋_GB2312" w:cs="仿宋_GB2312" w:eastAsia="仿宋_GB2312"/>
          <w:color w:val="000000"/>
          <w:sz w:val="32"/>
          <w:szCs w:val="32"/>
          <w:lang w:val="en-US" w:eastAsia="zh-CN"/>
        </w:rPr>
        <w:t>食品生产</w:t>
      </w:r>
      <w:r>
        <w:rPr>
          <w:rFonts w:ascii="仿宋_GB2312" w:hAnsi="仿宋_GB2312" w:cs="仿宋_GB2312" w:eastAsia="仿宋_GB2312"/>
          <w:color w:val="000000"/>
          <w:sz w:val="32"/>
          <w:szCs w:val="32"/>
          <w:lang w:val="en-US" w:eastAsia="zh-CN"/>
        </w:rPr>
        <w:t>企业建立合规管理体系，</w:t>
      </w:r>
      <w:r>
        <w:rPr>
          <w:rFonts w:ascii="仿宋_GB2312" w:hAnsi="仿宋_GB2312" w:cs="仿宋_GB2312" w:eastAsia="仿宋_GB2312"/>
          <w:color w:val="000000"/>
          <w:sz w:val="32"/>
          <w:szCs w:val="32"/>
          <w:lang w:val="en-US" w:eastAsia="zh-CN"/>
        </w:rPr>
        <w:t>提升食品生产</w:t>
      </w:r>
      <w:r>
        <w:rPr>
          <w:rFonts w:ascii="仿宋_GB2312" w:hAnsi="仿宋_GB2312" w:cs="仿宋_GB2312" w:eastAsia="仿宋_GB2312"/>
          <w:color w:val="000000"/>
          <w:sz w:val="32"/>
          <w:szCs w:val="32"/>
          <w:lang w:val="en-US" w:eastAsia="zh-CN"/>
        </w:rPr>
        <w:t>企业合规管理</w:t>
      </w:r>
      <w:r>
        <w:rPr>
          <w:rFonts w:ascii="仿宋_GB2312" w:hAnsi="仿宋_GB2312" w:cs="仿宋_GB2312" w:eastAsia="仿宋_GB2312"/>
          <w:color w:val="000000"/>
          <w:sz w:val="32"/>
          <w:szCs w:val="32"/>
          <w:lang w:val="en-US" w:eastAsia="zh-CN"/>
        </w:rPr>
        <w:t>能力，</w:t>
      </w:r>
      <w:r>
        <w:rPr>
          <w:rFonts w:ascii="仿宋_GB2312" w:hAnsi="仿宋_GB2312" w:cs="仿宋_GB2312" w:eastAsia="仿宋_GB2312"/>
          <w:color w:val="000000"/>
          <w:sz w:val="32"/>
          <w:szCs w:val="32"/>
          <w:lang w:val="en-US" w:eastAsia="zh-CN"/>
        </w:rPr>
        <w:t>预防和减少食品安全风险</w:t>
      </w:r>
      <w:r>
        <w:rPr>
          <w:rFonts w:ascii="仿宋_GB2312" w:hAnsi="仿宋_GB2312" w:cs="仿宋_GB2312" w:eastAsia="仿宋_GB2312"/>
          <w:color w:val="000000"/>
          <w:sz w:val="32"/>
          <w:szCs w:val="32"/>
          <w:lang w:val="en-US" w:eastAsia="zh-CN"/>
        </w:rPr>
        <w:t>，依据</w:t>
      </w:r>
      <w:r>
        <w:rPr>
          <w:rFonts w:ascii="仿宋_GB2312" w:hAnsi="仿宋_GB2312" w:cs="仿宋_GB2312" w:eastAsia="仿宋_GB2312"/>
          <w:color w:val="000000"/>
          <w:sz w:val="32"/>
          <w:szCs w:val="32"/>
          <w:lang w:val="en-US" w:eastAsia="zh-CN"/>
        </w:rPr>
        <w:t>《</w:t>
      </w:r>
      <w:r>
        <w:rPr>
          <w:rFonts w:ascii="仿宋_GB2312" w:hAnsi="仿宋_GB2312" w:cs="仿宋_GB2312" w:eastAsia="仿宋_GB2312"/>
          <w:color w:val="000000"/>
          <w:sz w:val="32"/>
          <w:szCs w:val="32"/>
          <w:lang w:val="en-US" w:eastAsia="zh-CN"/>
        </w:rPr>
        <w:t>中华人民共和国</w:t>
      </w:r>
      <w:r>
        <w:rPr>
          <w:rFonts w:ascii="仿宋_GB2312" w:hAnsi="仿宋_GB2312" w:cs="仿宋_GB2312" w:eastAsia="仿宋_GB2312"/>
          <w:color w:val="000000"/>
          <w:sz w:val="32"/>
          <w:szCs w:val="32"/>
          <w:lang w:val="en-US" w:eastAsia="zh-CN"/>
        </w:rPr>
        <w:t>食品安全法》《中华人民共和国食品安全法实施条例》《食品生产许可管理办法》《企业落实食品安全主体责任监督管理规定》</w:t>
      </w:r>
      <w:r>
        <w:rPr>
          <w:rFonts w:ascii="仿宋_GB2312" w:hAnsi="仿宋_GB2312" w:cs="仿宋_GB2312" w:eastAsia="仿宋_GB2312"/>
          <w:color w:val="000000"/>
          <w:sz w:val="32"/>
          <w:szCs w:val="32"/>
          <w:lang w:val="en-US" w:eastAsia="zh-CN"/>
        </w:rPr>
        <w:t>《食品生产许可审查通则》《食品安全国家标准 食品生产通用卫生规范》</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GB 14881-2025</w:t>
      </w:r>
      <w:r>
        <w:rPr>
          <w:rFonts w:ascii="Times New Roman" w:hAnsi="Times New Roman" w:cs="Times New Roman" w:eastAsia="仿宋_GB2312"/>
          <w:color w:val="000000"/>
          <w:sz w:val="32"/>
          <w:szCs w:val="32"/>
          <w:lang w:val="en-US" w:eastAsia="zh-CN"/>
        </w:rPr>
        <w:t>）</w:t>
      </w:r>
      <w:r>
        <w:rPr>
          <w:rFonts w:ascii="仿宋_GB2312" w:hAnsi="仿宋_GB2312" w:cs="仿宋_GB2312" w:eastAsia="仿宋_GB2312"/>
          <w:color w:val="000000"/>
          <w:sz w:val="32"/>
          <w:szCs w:val="32"/>
          <w:lang w:val="en-US" w:eastAsia="zh-CN"/>
        </w:rPr>
        <w:t>《合规管理体系 要求及使用指南》</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GB/T 35770-2022</w:t>
      </w:r>
      <w:r>
        <w:rPr>
          <w:rFonts w:ascii="Times New Roman" w:hAnsi="Times New Roman" w:cs="Times New Roman" w:eastAsia="仿宋_GB2312"/>
          <w:color w:val="000000"/>
          <w:sz w:val="32"/>
          <w:szCs w:val="32"/>
          <w:lang w:val="en-US" w:eastAsia="zh-CN"/>
        </w:rPr>
        <w:t>）</w:t>
      </w:r>
      <w:r>
        <w:rPr>
          <w:rFonts w:ascii="仿宋_GB2312" w:hAnsi="仿宋_GB2312" w:cs="仿宋_GB2312" w:eastAsia="仿宋_GB2312"/>
          <w:color w:val="000000"/>
          <w:sz w:val="32"/>
          <w:szCs w:val="32"/>
          <w:lang w:val="en-US" w:eastAsia="zh-CN"/>
        </w:rPr>
        <w:t>等有关法律、法规、规章及</w:t>
      </w:r>
      <w:r>
        <w:rPr>
          <w:rFonts w:ascii="仿宋_GB2312" w:hAnsi="仿宋_GB2312" w:cs="仿宋_GB2312" w:eastAsia="仿宋_GB2312"/>
          <w:color w:val="000000"/>
          <w:sz w:val="32"/>
          <w:szCs w:val="32"/>
          <w:lang w:val="en-US" w:eastAsia="zh-CN"/>
        </w:rPr>
        <w:t>食品安全国家标准</w:t>
      </w:r>
      <w:r>
        <w:rPr>
          <w:rFonts w:ascii="仿宋_GB2312" w:hAnsi="仿宋_GB2312" w:cs="仿宋_GB2312" w:eastAsia="仿宋_GB2312"/>
          <w:color w:val="000000"/>
          <w:sz w:val="32"/>
          <w:szCs w:val="32"/>
          <w:lang w:val="en-US" w:eastAsia="zh-CN"/>
        </w:rPr>
        <w:t>，制定本指引</w:t>
      </w:r>
      <w:r>
        <w:rPr>
          <w:rFonts w:ascii="仿宋_GB2312" w:hAnsi="仿宋_GB2312" w:cs="仿宋_GB2312" w:eastAsia="仿宋_GB2312"/>
          <w:color w:val="000000"/>
          <w:sz w:val="32"/>
          <w:szCs w:val="32"/>
          <w:lang w:val="en-US" w:eastAsia="zh-CN"/>
        </w:rPr>
        <w:t>。</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（二）</w:t>
      </w:r>
      <w:r>
        <w:rPr>
          <w:rFonts w:ascii="楷体" w:hAnsi="楷体" w:cs="楷体" w:eastAsia="楷体"/>
          <w:color w:val="000000"/>
          <w:sz w:val="32"/>
          <w:szCs w:val="32"/>
          <w:lang w:val="en-US" w:eastAsia="zh-CN"/>
        </w:rPr>
        <w:t>适用范围</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适用于本市依法取得食品生产许可从事食品生产活动的企业。食品添加剂、特殊食品（保健食品、婴幼儿配方食品、特医食品）生产企业需</w:t>
      </w:r>
      <w:r>
        <w:rPr>
          <w:rFonts w:ascii="仿宋_GB2312" w:hAnsi="仿宋_GB2312" w:cs="仿宋_GB2312" w:eastAsia="仿宋_GB2312"/>
          <w:color w:val="000000"/>
          <w:sz w:val="32"/>
          <w:szCs w:val="32"/>
          <w:lang w:val="en-US" w:eastAsia="zh-CN"/>
        </w:rPr>
        <w:t>严格</w:t>
      </w:r>
      <w:r>
        <w:rPr>
          <w:rFonts w:ascii="仿宋_GB2312" w:hAnsi="仿宋_GB2312" w:cs="仿宋_GB2312" w:eastAsia="仿宋_GB2312"/>
          <w:color w:val="000000"/>
          <w:sz w:val="32"/>
          <w:szCs w:val="32"/>
          <w:lang w:val="en-US" w:eastAsia="zh-CN"/>
        </w:rPr>
        <w:t>遵守专项</w:t>
      </w:r>
      <w:r>
        <w:rPr>
          <w:rFonts w:ascii="仿宋_GB2312" w:hAnsi="仿宋_GB2312" w:cs="仿宋_GB2312" w:eastAsia="仿宋_GB2312"/>
          <w:color w:val="000000"/>
          <w:sz w:val="32"/>
          <w:szCs w:val="32"/>
          <w:lang w:val="en-US" w:eastAsia="zh-CN"/>
        </w:rPr>
        <w:t>规定</w:t>
      </w:r>
      <w:r>
        <w:rPr>
          <w:rFonts w:ascii="仿宋_GB2312" w:hAnsi="仿宋_GB2312" w:cs="仿宋_GB2312" w:eastAsia="仿宋_GB2312"/>
          <w:color w:val="000000"/>
          <w:sz w:val="32"/>
          <w:szCs w:val="32"/>
          <w:lang w:val="en-US" w:eastAsia="zh-CN"/>
        </w:rPr>
        <w:t>要求。</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（三）</w:t>
      </w:r>
      <w:r>
        <w:rPr>
          <w:rFonts w:ascii="楷体" w:hAnsi="楷体" w:cs="楷体" w:eastAsia="楷体"/>
          <w:color w:val="000000"/>
          <w:sz w:val="32"/>
          <w:szCs w:val="32"/>
          <w:lang w:val="en-US" w:eastAsia="zh-CN"/>
        </w:rPr>
        <w:t>基本原则</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食品生产企业可遵循预防为主、风险导向、全面覆盖、持续改进的原则。</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预防为主：系统识别、评估并控制食品生产过程中的潜在合规风险，实现从被动处置向主动预防和事中控制转变。</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风险导向：聚焦高发、易发的合规风险点，合理配置管理资源。</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全面覆盖：将合规要求嵌入采购、生产、检验、贮运等</w:t>
      </w:r>
      <w:r>
        <w:rPr>
          <w:rFonts w:ascii="仿宋_GB2312" w:hAnsi="仿宋_GB2312" w:cs="仿宋_GB2312" w:eastAsia="仿宋_GB2312"/>
          <w:color w:val="000000"/>
          <w:sz w:val="32"/>
          <w:szCs w:val="32"/>
          <w:lang w:val="en-US" w:eastAsia="zh-CN"/>
        </w:rPr>
        <w:t>食品生产</w:t>
      </w:r>
      <w:r>
        <w:rPr>
          <w:rFonts w:ascii="仿宋_GB2312" w:hAnsi="仿宋_GB2312" w:cs="仿宋_GB2312" w:eastAsia="仿宋_GB2312"/>
          <w:color w:val="000000"/>
          <w:sz w:val="32"/>
          <w:szCs w:val="32"/>
          <w:lang w:val="en-US" w:eastAsia="zh-CN"/>
        </w:rPr>
        <w:t>全链条。</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持续改进：根据</w:t>
      </w:r>
      <w:r>
        <w:rPr>
          <w:rFonts w:ascii="仿宋_GB2312" w:hAnsi="仿宋_GB2312" w:cs="仿宋_GB2312" w:eastAsia="仿宋_GB2312"/>
          <w:color w:val="000000"/>
          <w:sz w:val="32"/>
          <w:szCs w:val="32"/>
          <w:lang w:val="en-US" w:eastAsia="zh-CN"/>
        </w:rPr>
        <w:t>法律</w:t>
      </w:r>
      <w:r>
        <w:rPr>
          <w:rFonts w:ascii="仿宋_GB2312" w:hAnsi="仿宋_GB2312" w:cs="仿宋_GB2312" w:eastAsia="仿宋_GB2312"/>
          <w:color w:val="000000"/>
          <w:sz w:val="32"/>
          <w:szCs w:val="32"/>
          <w:lang w:val="en-US" w:eastAsia="zh-CN"/>
        </w:rPr>
        <w:t>法规</w:t>
      </w:r>
      <w:r>
        <w:rPr>
          <w:rFonts w:ascii="仿宋_GB2312" w:hAnsi="仿宋_GB2312" w:cs="仿宋_GB2312" w:eastAsia="仿宋_GB2312"/>
          <w:color w:val="000000"/>
          <w:sz w:val="32"/>
          <w:szCs w:val="32"/>
          <w:lang w:val="en-US" w:eastAsia="zh-CN"/>
        </w:rPr>
        <w:t>及标准</w:t>
      </w:r>
      <w:r>
        <w:rPr>
          <w:rFonts w:ascii="仿宋_GB2312" w:hAnsi="仿宋_GB2312" w:cs="仿宋_GB2312" w:eastAsia="仿宋_GB2312"/>
          <w:color w:val="000000"/>
          <w:sz w:val="32"/>
          <w:szCs w:val="32"/>
          <w:lang w:val="en-US" w:eastAsia="zh-CN"/>
        </w:rPr>
        <w:t>变化、企业发展和</w:t>
      </w:r>
      <w:r>
        <w:rPr>
          <w:rFonts w:ascii="仿宋_GB2312" w:hAnsi="仿宋_GB2312" w:cs="仿宋_GB2312" w:eastAsia="仿宋_GB2312"/>
          <w:color w:val="000000"/>
          <w:sz w:val="32"/>
          <w:szCs w:val="32"/>
          <w:lang w:val="en-US" w:eastAsia="zh-CN"/>
        </w:rPr>
        <w:t>存在</w:t>
      </w:r>
      <w:r>
        <w:rPr>
          <w:rFonts w:ascii="仿宋_GB2312" w:hAnsi="仿宋_GB2312" w:cs="仿宋_GB2312" w:eastAsia="仿宋_GB2312"/>
          <w:color w:val="000000"/>
          <w:sz w:val="32"/>
          <w:szCs w:val="32"/>
          <w:lang w:val="en-US" w:eastAsia="zh-CN"/>
        </w:rPr>
        <w:t>问题，动态完善合规体系。</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（四）</w:t>
      </w:r>
      <w:r>
        <w:rPr>
          <w:rFonts w:ascii="楷体" w:hAnsi="楷体" w:cs="楷体" w:eastAsia="楷体"/>
          <w:color w:val="000000"/>
          <w:sz w:val="32"/>
          <w:szCs w:val="32"/>
          <w:lang w:val="en-US" w:eastAsia="zh-CN"/>
        </w:rPr>
        <w:t>核心定义</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食品生产企业：依法取得食品生产许可，从事食品生产和加工活动的主体。‌</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合规</w:t>
      </w:r>
      <w:r>
        <w:rPr>
          <w:rFonts w:eastAsia="仿宋_GB2312" w:cs="仿宋_GB2312" w:ascii="仿宋_GB2312" w:hAnsi="仿宋_GB2312"/>
          <w:color w:val="000000"/>
          <w:sz w:val="32"/>
          <w:szCs w:val="32"/>
          <w:lang w:val="en-US" w:eastAsia="zh-CN"/>
        </w:rPr>
        <w:t>:</w:t>
      </w:r>
      <w:r>
        <w:rPr>
          <w:rFonts w:ascii="仿宋_GB2312" w:hAnsi="仿宋_GB2312" w:cs="仿宋_GB2312" w:eastAsia="仿宋_GB2312"/>
          <w:color w:val="000000"/>
          <w:sz w:val="32"/>
          <w:szCs w:val="32"/>
          <w:lang w:val="en-US" w:eastAsia="zh-CN"/>
        </w:rPr>
        <w:t>指食品生产企业的生产管理活动符合必须遵守的法律法规、规章、标准、行政许可及其他强制性要求，以及符合自愿选择遵守的行业准则、合同约定、企业内部章程、规章制度、适用的国际条约等。</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合规风险</w:t>
      </w:r>
      <w:r>
        <w:rPr>
          <w:rFonts w:eastAsia="仿宋_GB2312" w:cs="仿宋_GB2312" w:ascii="仿宋_GB2312" w:hAnsi="仿宋_GB2312"/>
          <w:color w:val="000000"/>
          <w:sz w:val="32"/>
          <w:szCs w:val="32"/>
          <w:lang w:val="en-US" w:eastAsia="zh-CN"/>
        </w:rPr>
        <w:t>:</w:t>
      </w:r>
      <w:r>
        <w:rPr>
          <w:rFonts w:ascii="仿宋_GB2312" w:hAnsi="仿宋_GB2312" w:cs="仿宋_GB2312" w:eastAsia="仿宋_GB2312"/>
          <w:color w:val="000000"/>
          <w:sz w:val="32"/>
          <w:szCs w:val="32"/>
          <w:lang w:val="en-US" w:eastAsia="zh-CN"/>
        </w:rPr>
        <w:t>因食品生产企业未遵守合规行为而发生不合规的可能性及其后果。</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食品生产合规：食品生产企业的食品生产行为符合其全部合规要求。</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val="en-US" w:eastAsia="zh-CN"/>
        </w:rPr>
        <w:t>合规管理体系：为实现食品生产合规，防控合规风险而建立的相互关联或相互作用的一组要件。</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黑体" w:hAnsi="黑体" w:eastAsia="黑体" w:cs="黑体"/>
          <w:color w:val="000000"/>
          <w:sz w:val="32"/>
          <w:szCs w:val="32"/>
          <w:lang w:eastAsia="zh-CN"/>
        </w:rPr>
      </w:pPr>
      <w:r>
        <w:rPr>
          <w:rFonts w:ascii="黑体" w:hAnsi="黑体" w:cs="黑体" w:eastAsia="黑体"/>
          <w:color w:val="000000"/>
          <w:sz w:val="32"/>
          <w:szCs w:val="32"/>
          <w:lang w:eastAsia="zh-CN"/>
        </w:rPr>
        <w:t>二、企业合规管理体系</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eastAsia="zh-CN"/>
        </w:rPr>
      </w:pPr>
      <w:r>
        <w:rPr>
          <w:rFonts w:ascii="楷体" w:hAnsi="楷体" w:cs="楷体" w:eastAsia="楷体"/>
          <w:color w:val="000000"/>
          <w:sz w:val="32"/>
          <w:szCs w:val="32"/>
          <w:lang w:eastAsia="zh-CN"/>
        </w:rPr>
        <w:t>（一）总体要求</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食品生产企业宜结合自身规模、产品特性、风险水平等，参照</w:t>
      </w:r>
      <w:r>
        <w:rPr>
          <w:rFonts w:ascii="仿宋_GB2312" w:hAnsi="仿宋_GB2312" w:cs="仿宋_GB2312" w:eastAsia="仿宋_GB2312"/>
          <w:color w:val="000000"/>
          <w:sz w:val="32"/>
          <w:szCs w:val="32"/>
          <w:lang w:val="en-US" w:eastAsia="zh-CN"/>
        </w:rPr>
        <w:t>《合规管理体系 要求及使用指南》</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GB/T 35770-2022</w:t>
      </w:r>
      <w:r>
        <w:rPr>
          <w:rFonts w:ascii="Times New Roman" w:hAnsi="Times New Roman" w:cs="Times New Roman" w:eastAsia="仿宋_GB2312"/>
          <w:color w:val="000000"/>
          <w:sz w:val="32"/>
          <w:szCs w:val="32"/>
          <w:lang w:val="en-US" w:eastAsia="zh-CN"/>
        </w:rPr>
        <w:t>）</w:t>
      </w:r>
      <w:r>
        <w:rPr>
          <w:rFonts w:ascii="仿宋_GB2312" w:hAnsi="仿宋_GB2312" w:cs="仿宋_GB2312" w:eastAsia="仿宋_GB2312"/>
          <w:color w:val="000000"/>
          <w:sz w:val="32"/>
          <w:szCs w:val="32"/>
          <w:lang w:eastAsia="zh-CN"/>
        </w:rPr>
        <w:t>的规定，建立、实施、维护并持续改进食品生产合规管理体系。该体系应覆盖食品生产活动全过程，确保合规管理要求嵌入各业务环节并实现常态化运行。</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楷体" w:hAnsi="楷体" w:cs="楷体" w:eastAsia="楷体"/>
          <w:color w:val="000000"/>
          <w:sz w:val="32"/>
          <w:szCs w:val="32"/>
          <w:lang w:eastAsia="zh-CN"/>
        </w:rPr>
        <w:t>（二）组织架构</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企业应搭建与其生产规模、产品特性和风险水平等相适应的合规管理组织架构，明确各层级、各部门及岗位在合规管理中的职责、权限与报告关系。食品生产企业应依法建立并落实食品安全主体责任长效机制，配备符合要求的食品安全总监、食品安全员及必要的食品安全专业技术人员，以确保合规管理体系的有效运行。</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组织架构可分为以下层级：</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决策层：企业主要负责人为合规管理第一责任人，对合规管理体系的建立与有效运行全面负责，并做出合规承诺。</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管理层：由食品安全总监、合规管理负责人及相关职能部门负责人等组成，负责组织、落实与协调合规管理。</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执行层：由食品安全管理员、采购、生产、仓储、品控等业务部门成员组成，负责在具体业务活动中执行合规要求。</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楷体" w:hAnsi="楷体" w:cs="楷体" w:eastAsia="楷体"/>
          <w:color w:val="000000"/>
          <w:sz w:val="32"/>
          <w:szCs w:val="32"/>
          <w:lang w:eastAsia="zh-CN"/>
        </w:rPr>
        <w:t>（三）管理职责</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决策层应就合规管理体系的有效运行履行以下职责：组织制定并推动实施食品生产合规方针与目标，确保其与企业发展战略一致；提供合规管理所需的人员、技术、财务及基础设施等资源保障；主持重大合规事项决策，定期组织评审合规管理体系绩效，推动持续改进；持续向全体员工传达合规管理及遵守合规义务的重要性，培育全员合规意识；确保合规运行情况能够及时获知并得到妥善处理，保障合规管理体系实现预期结果。</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管理层应就合规管理体系的有效运行履行以下职责：制定合规管理方案并组织实施；组织合规风险排查与评估，审核合规管理制度；向企业负责人报告合规管理绩效与重大合规事项；协调各业务部门落实合规要求，指导合规管理日常工作开展。</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执行层应就合规管理体系的有效运行履行以下职责：执行合规管理制度与业务流程要求；持续关注业务运行中的合规状态，主动识别偏差与风险苗头，发现问题如实记录并按规定路径及时上报；参加合规培训并通过能力考核，配合完成合规检查、事件调查与问题整改，在发生重大合规风险事件时按预案参与应急处置。</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楷体" w:hAnsi="楷体" w:cs="楷体" w:eastAsia="楷体"/>
          <w:color w:val="000000"/>
          <w:sz w:val="32"/>
          <w:szCs w:val="32"/>
          <w:lang w:eastAsia="zh-CN"/>
        </w:rPr>
        <w:t>（四）管理制度与文件控制</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eastAsia="仿宋_GB2312" w:cs="Times New Roman" w:ascii="Times New Roman" w:hAnsi="Times New Roman"/>
          <w:color w:val="000000"/>
          <w:sz w:val="32"/>
          <w:szCs w:val="32"/>
          <w:lang w:val="en-US" w:eastAsia="zh-CN"/>
        </w:rPr>
        <w:t>1.</w:t>
      </w:r>
      <w:r>
        <w:rPr>
          <w:rFonts w:ascii="仿宋_GB2312" w:hAnsi="仿宋_GB2312" w:cs="仿宋_GB2312" w:eastAsia="仿宋_GB2312"/>
          <w:color w:val="000000"/>
          <w:sz w:val="32"/>
          <w:szCs w:val="32"/>
          <w:lang w:eastAsia="zh-CN"/>
        </w:rPr>
        <w:t>制度建设</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基本制度：制定合规管理总纲性规程，明确合规目标、组织架构、职责分配、运行机制与考核评价等核心要素，作为合规管理体系的纲领性文件。</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专项制度：围绕食品生产企业活动特点，建立并保持文件化的专项合规管理制度，包括但不限于：</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Times New Roman" w:hAnsi="Times New Roman" w:cs="Times New Roman" w:eastAsia="仿宋_GB2312"/>
          <w:color w:val="000000"/>
          <w:sz w:val="32"/>
          <w:szCs w:val="32"/>
          <w:lang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eastAsia="zh-CN"/>
        </w:rPr>
        <w:t>）</w:t>
      </w:r>
      <w:r>
        <w:rPr>
          <w:rFonts w:ascii="仿宋_GB2312" w:hAnsi="仿宋_GB2312" w:cs="仿宋_GB2312" w:eastAsia="仿宋_GB2312"/>
          <w:color w:val="000000"/>
          <w:sz w:val="32"/>
          <w:szCs w:val="32"/>
          <w:lang w:eastAsia="zh-CN"/>
        </w:rPr>
        <w:t>生产过程控制类：食品生产卫生管理、进货查验记录、生产过程控制、出厂检验记录、食品添加剂管理等；</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Times New Roman" w:hAnsi="Times New Roman" w:cs="Times New Roman" w:eastAsia="仿宋_GB2312"/>
          <w:color w:val="000000"/>
          <w:sz w:val="32"/>
          <w:szCs w:val="32"/>
          <w:lang w:eastAsia="zh-CN"/>
        </w:rPr>
        <w:t>（</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eastAsia="zh-CN"/>
        </w:rPr>
        <w:t>）</w:t>
      </w:r>
      <w:r>
        <w:rPr>
          <w:rFonts w:ascii="仿宋_GB2312" w:hAnsi="仿宋_GB2312" w:cs="仿宋_GB2312" w:eastAsia="仿宋_GB2312"/>
          <w:color w:val="000000"/>
          <w:sz w:val="32"/>
          <w:szCs w:val="32"/>
          <w:lang w:eastAsia="zh-CN"/>
        </w:rPr>
        <w:t>风险应对类：食品安全自查、不合格品管理、食品安全事故处置、追溯召回管理等；</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Times New Roman" w:hAnsi="Times New Roman" w:cs="Times New Roman" w:eastAsia="仿宋_GB2312"/>
          <w:color w:val="000000"/>
          <w:sz w:val="32"/>
          <w:szCs w:val="32"/>
          <w:lang w:eastAsia="zh-CN"/>
        </w:rPr>
        <w:t>（</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eastAsia="zh-CN"/>
        </w:rPr>
        <w:t>）</w:t>
      </w:r>
      <w:r>
        <w:rPr>
          <w:rFonts w:ascii="仿宋_GB2312" w:hAnsi="仿宋_GB2312" w:cs="仿宋_GB2312" w:eastAsia="仿宋_GB2312"/>
          <w:color w:val="000000"/>
          <w:sz w:val="32"/>
          <w:szCs w:val="32"/>
          <w:lang w:eastAsia="zh-CN"/>
        </w:rPr>
        <w:t>保障支持类：员工培训、健康管理、设备维护保养、合规审查等；</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Times New Roman" w:hAnsi="Times New Roman" w:cs="Times New Roman" w:eastAsia="仿宋_GB2312"/>
          <w:color w:val="000000"/>
          <w:sz w:val="32"/>
          <w:szCs w:val="32"/>
          <w:lang w:eastAsia="zh-CN"/>
        </w:rPr>
        <w:t>（</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eastAsia="zh-CN"/>
        </w:rPr>
        <w:t>）</w:t>
      </w:r>
      <w:r>
        <w:rPr>
          <w:rFonts w:ascii="仿宋_GB2312" w:hAnsi="仿宋_GB2312" w:cs="仿宋_GB2312" w:eastAsia="仿宋_GB2312"/>
          <w:color w:val="000000"/>
          <w:sz w:val="32"/>
          <w:szCs w:val="32"/>
          <w:lang w:eastAsia="zh-CN"/>
        </w:rPr>
        <w:t>合规运行类：合规举报、合规事件调查、合规管理问责、合规报告等。</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eastAsia="仿宋_GB2312" w:cs="Times New Roman" w:ascii="Times New Roman" w:hAnsi="Times New Roman"/>
          <w:color w:val="000000"/>
          <w:sz w:val="32"/>
          <w:szCs w:val="32"/>
          <w:lang w:val="en-US" w:eastAsia="zh-CN"/>
        </w:rPr>
        <w:t>2.</w:t>
      </w:r>
      <w:r>
        <w:rPr>
          <w:rFonts w:ascii="仿宋_GB2312" w:hAnsi="仿宋_GB2312" w:cs="仿宋_GB2312" w:eastAsia="仿宋_GB2312"/>
          <w:color w:val="000000"/>
          <w:sz w:val="32"/>
          <w:szCs w:val="32"/>
          <w:lang w:val="en-US" w:eastAsia="zh-CN"/>
        </w:rPr>
        <w:t>制度管理</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建立制度的起草、审批、发布、修订与废止流程，确保制度内容与现行法律法规、标准保持衔接，并及时将更新情况传达至相关岗位。</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eastAsia="仿宋_GB2312" w:cs="Times New Roman" w:ascii="Times New Roman" w:hAnsi="Times New Roman"/>
          <w:color w:val="000000"/>
          <w:sz w:val="32"/>
          <w:szCs w:val="32"/>
          <w:lang w:val="en-US" w:eastAsia="zh-CN"/>
        </w:rPr>
        <w:t>3.</w:t>
      </w:r>
      <w:r>
        <w:rPr>
          <w:rFonts w:ascii="仿宋_GB2312" w:hAnsi="仿宋_GB2312" w:cs="仿宋_GB2312" w:eastAsia="仿宋_GB2312"/>
          <w:color w:val="000000"/>
          <w:sz w:val="32"/>
          <w:szCs w:val="32"/>
          <w:lang w:eastAsia="zh-CN"/>
        </w:rPr>
        <w:t>文件控制</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建立并实施文件控制程序，对合规管理体系所涉及的文件进行识别、分类与控制，确保：</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Times New Roman" w:hAnsi="Times New Roman" w:cs="Times New Roman" w:eastAsia="仿宋_GB2312"/>
          <w:color w:val="000000"/>
          <w:sz w:val="32"/>
          <w:szCs w:val="32"/>
          <w:lang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eastAsia="zh-CN"/>
        </w:rPr>
        <w:t>）</w:t>
      </w:r>
      <w:r>
        <w:rPr>
          <w:rFonts w:ascii="仿宋_GB2312" w:hAnsi="仿宋_GB2312" w:cs="仿宋_GB2312" w:eastAsia="仿宋_GB2312"/>
          <w:color w:val="000000"/>
          <w:sz w:val="32"/>
          <w:szCs w:val="32"/>
          <w:lang w:eastAsia="zh-CN"/>
        </w:rPr>
        <w:t>文件发布前经充分审批，确认其内容的完整性与适宜性；</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Times New Roman" w:hAnsi="Times New Roman" w:cs="Times New Roman" w:eastAsia="仿宋_GB2312"/>
          <w:color w:val="000000"/>
          <w:sz w:val="32"/>
          <w:szCs w:val="32"/>
          <w:lang w:eastAsia="zh-CN"/>
        </w:rPr>
        <w:t>（</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eastAsia="zh-CN"/>
        </w:rPr>
        <w:t>）</w:t>
      </w:r>
      <w:r>
        <w:rPr>
          <w:rFonts w:ascii="仿宋_GB2312" w:hAnsi="仿宋_GB2312" w:cs="仿宋_GB2312" w:eastAsia="仿宋_GB2312"/>
          <w:color w:val="000000"/>
          <w:sz w:val="32"/>
          <w:szCs w:val="32"/>
          <w:lang w:eastAsia="zh-CN"/>
        </w:rPr>
        <w:t>文件在必要时进行评审与更新，相关人员能够及时获取有效版本；</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Times New Roman" w:hAnsi="Times New Roman" w:cs="Times New Roman" w:eastAsia="仿宋_GB2312"/>
          <w:color w:val="000000"/>
          <w:sz w:val="32"/>
          <w:szCs w:val="32"/>
          <w:lang w:eastAsia="zh-CN"/>
        </w:rPr>
        <w:t>（</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eastAsia="zh-CN"/>
        </w:rPr>
        <w:t>）</w:t>
      </w:r>
      <w:r>
        <w:rPr>
          <w:rFonts w:ascii="仿宋_GB2312" w:hAnsi="仿宋_GB2312" w:cs="仿宋_GB2312" w:eastAsia="仿宋_GB2312"/>
          <w:color w:val="000000"/>
          <w:sz w:val="32"/>
          <w:szCs w:val="32"/>
          <w:lang w:eastAsia="zh-CN"/>
        </w:rPr>
        <w:t>作废文件及时撤除或予以明确标识，防止误用。</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eastAsia="仿宋_GB2312" w:cs="Times New Roman" w:ascii="Times New Roman" w:hAnsi="Times New Roman"/>
          <w:color w:val="000000"/>
          <w:sz w:val="32"/>
          <w:szCs w:val="32"/>
          <w:lang w:eastAsia="zh-CN"/>
        </w:rPr>
        <w:t>4.</w:t>
      </w:r>
      <w:r>
        <w:rPr>
          <w:rFonts w:ascii="仿宋_GB2312" w:hAnsi="仿宋_GB2312" w:cs="仿宋_GB2312" w:eastAsia="仿宋_GB2312"/>
          <w:color w:val="000000"/>
          <w:sz w:val="32"/>
          <w:szCs w:val="32"/>
          <w:lang w:eastAsia="zh-CN"/>
        </w:rPr>
        <w:t>记录管理</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建立并实施记录控制程序，对合规管理相关记录予以规范管理，确保：</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Times New Roman" w:hAnsi="Times New Roman" w:cs="Times New Roman" w:eastAsia="仿宋_GB2312"/>
          <w:color w:val="000000"/>
          <w:sz w:val="32"/>
          <w:szCs w:val="32"/>
          <w:lang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eastAsia="zh-CN"/>
        </w:rPr>
        <w:t>）</w:t>
      </w:r>
      <w:r>
        <w:rPr>
          <w:rFonts w:ascii="仿宋_GB2312" w:hAnsi="仿宋_GB2312" w:cs="仿宋_GB2312" w:eastAsia="仿宋_GB2312"/>
          <w:color w:val="000000"/>
          <w:sz w:val="32"/>
          <w:szCs w:val="32"/>
          <w:lang w:eastAsia="zh-CN"/>
        </w:rPr>
        <w:t>记录真实、准确、完整；</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Times New Roman" w:hAnsi="Times New Roman" w:cs="Times New Roman" w:eastAsia="仿宋_GB2312"/>
          <w:color w:val="000000"/>
          <w:sz w:val="32"/>
          <w:szCs w:val="32"/>
          <w:lang w:eastAsia="zh-CN"/>
        </w:rPr>
        <w:t>（</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eastAsia="zh-CN"/>
        </w:rPr>
        <w:t>）</w:t>
      </w:r>
      <w:r>
        <w:rPr>
          <w:rFonts w:ascii="仿宋_GB2312" w:hAnsi="仿宋_GB2312" w:cs="仿宋_GB2312" w:eastAsia="仿宋_GB2312"/>
          <w:color w:val="000000"/>
          <w:sz w:val="32"/>
          <w:szCs w:val="32"/>
          <w:lang w:eastAsia="zh-CN"/>
        </w:rPr>
        <w:t>记录清晰可读、标识明确，便于检索；</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Times New Roman" w:hAnsi="Times New Roman" w:cs="Times New Roman" w:eastAsia="仿宋_GB2312"/>
          <w:color w:val="000000"/>
          <w:sz w:val="32"/>
          <w:szCs w:val="32"/>
          <w:lang w:eastAsia="zh-CN"/>
        </w:rPr>
        <w:t>（</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eastAsia="zh-CN"/>
        </w:rPr>
        <w:t>）</w:t>
      </w:r>
      <w:r>
        <w:rPr>
          <w:rFonts w:ascii="仿宋_GB2312" w:hAnsi="仿宋_GB2312" w:cs="仿宋_GB2312" w:eastAsia="仿宋_GB2312"/>
          <w:color w:val="000000"/>
          <w:sz w:val="32"/>
          <w:szCs w:val="32"/>
          <w:lang w:eastAsia="zh-CN"/>
        </w:rPr>
        <w:t>记录保存期限符合法律法规及相关方要求；</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Times New Roman" w:hAnsi="Times New Roman" w:cs="Times New Roman" w:eastAsia="仿宋_GB2312"/>
          <w:color w:val="000000"/>
          <w:sz w:val="32"/>
          <w:szCs w:val="32"/>
          <w:lang w:eastAsia="zh-CN"/>
        </w:rPr>
        <w:t>（</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eastAsia="zh-CN"/>
        </w:rPr>
        <w:t>）</w:t>
      </w:r>
      <w:r>
        <w:rPr>
          <w:rFonts w:ascii="仿宋_GB2312" w:hAnsi="仿宋_GB2312" w:cs="仿宋_GB2312" w:eastAsia="仿宋_GB2312"/>
          <w:color w:val="000000"/>
          <w:sz w:val="32"/>
          <w:szCs w:val="32"/>
          <w:lang w:eastAsia="zh-CN"/>
        </w:rPr>
        <w:t>记录具备可追溯性，能完整再现合规管理过程。</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黑体" w:hAnsi="黑体" w:eastAsia="黑体" w:cs="黑体"/>
          <w:color w:val="000000"/>
          <w:sz w:val="32"/>
          <w:szCs w:val="32"/>
          <w:lang w:eastAsia="zh-CN"/>
        </w:rPr>
      </w:pPr>
      <w:r>
        <w:rPr>
          <w:rFonts w:ascii="黑体" w:hAnsi="黑体" w:cs="黑体" w:eastAsia="黑体"/>
          <w:color w:val="000000"/>
          <w:sz w:val="32"/>
          <w:szCs w:val="32"/>
          <w:lang w:eastAsia="zh-CN"/>
        </w:rPr>
        <w:t>三、企业合规常见风险与应对</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楷体" w:hAnsi="楷体" w:cs="楷体" w:eastAsia="楷体"/>
          <w:color w:val="000000"/>
          <w:sz w:val="32"/>
          <w:szCs w:val="32"/>
          <w:lang w:val="en-US" w:eastAsia="zh-CN"/>
        </w:rPr>
        <w:t>（一）资质许可类风险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风险点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无证生产；</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超范围生产；</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许可证过期未延续；</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地址、名称、生产条件等变化未申请变更</w:t>
      </w:r>
      <w:r>
        <w:rPr>
          <w:rFonts w:ascii="Times New Roman" w:hAnsi="Times New Roman" w:cs="Times New Roman" w:eastAsia="仿宋_GB2312"/>
          <w:color w:val="000000"/>
          <w:sz w:val="32"/>
          <w:szCs w:val="32"/>
          <w:lang w:val="en-US" w:eastAsia="zh-CN"/>
        </w:rPr>
        <w:t>。</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应对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国家对食品、食品添加剂生产实行许可制度。从事食品生产、食品添加剂生产应当依法取得许可；</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市场监督管理部门按照食品的风险程度，结合食品原料、生产工艺等因素，对食品生产实施分类许可，具体许可目录依据国家市场监督管理总局《关于修订公布食品生产许可分类目录的公告》（</w:t>
      </w:r>
      <w:r>
        <w:rPr>
          <w:rFonts w:eastAsia="仿宋_GB2312" w:cs="Times New Roman" w:ascii="Times New Roman" w:hAnsi="Times New Roman"/>
          <w:color w:val="000000"/>
          <w:sz w:val="32"/>
          <w:szCs w:val="32"/>
          <w:lang w:val="en-US" w:eastAsia="zh-CN"/>
        </w:rPr>
        <w:t>2020</w:t>
      </w:r>
      <w:r>
        <w:rPr>
          <w:rFonts w:ascii="Times New Roman" w:hAnsi="Times New Roman" w:cs="Times New Roman" w:eastAsia="仿宋_GB2312"/>
          <w:color w:val="000000"/>
          <w:sz w:val="32"/>
          <w:szCs w:val="32"/>
          <w:lang w:val="en-US" w:eastAsia="zh-CN"/>
        </w:rPr>
        <w:t>年第</w:t>
      </w:r>
      <w:r>
        <w:rPr>
          <w:rFonts w:eastAsia="仿宋_GB2312" w:cs="Times New Roman" w:ascii="Times New Roman" w:hAnsi="Times New Roman"/>
          <w:color w:val="000000"/>
          <w:sz w:val="32"/>
          <w:szCs w:val="32"/>
          <w:lang w:val="en-US" w:eastAsia="zh-CN"/>
        </w:rPr>
        <w:t>8</w:t>
      </w:r>
      <w:r>
        <w:rPr>
          <w:rFonts w:ascii="Times New Roman" w:hAnsi="Times New Roman" w:cs="Times New Roman" w:eastAsia="仿宋_GB2312"/>
          <w:color w:val="000000"/>
          <w:sz w:val="32"/>
          <w:szCs w:val="32"/>
          <w:lang w:val="en-US" w:eastAsia="zh-CN"/>
        </w:rPr>
        <w:t>号）文件规定执行，许可分类为</w:t>
      </w:r>
      <w:r>
        <w:rPr>
          <w:rFonts w:eastAsia="仿宋_GB2312" w:cs="Times New Roman" w:ascii="Times New Roman" w:hAnsi="Times New Roman"/>
          <w:color w:val="000000"/>
          <w:sz w:val="32"/>
          <w:szCs w:val="32"/>
          <w:lang w:val="en-US" w:eastAsia="zh-CN"/>
        </w:rPr>
        <w:t>32</w:t>
      </w:r>
      <w:r>
        <w:rPr>
          <w:rFonts w:ascii="Times New Roman" w:hAnsi="Times New Roman" w:cs="Times New Roman" w:eastAsia="仿宋_GB2312"/>
          <w:color w:val="000000"/>
          <w:sz w:val="32"/>
          <w:szCs w:val="32"/>
          <w:lang w:val="en-US" w:eastAsia="zh-CN"/>
        </w:rPr>
        <w:t>大类；</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食品生产许可的有效期为</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年，食品生产者需要延续依法取得的食品生产许可的有效期的，应当在该食品生产许可有效期届满</w:t>
      </w:r>
      <w:r>
        <w:rPr>
          <w:rFonts w:eastAsia="仿宋_GB2312" w:cs="Times New Roman" w:ascii="Times New Roman" w:hAnsi="Times New Roman"/>
          <w:color w:val="000000"/>
          <w:sz w:val="32"/>
          <w:szCs w:val="32"/>
          <w:lang w:val="en-US" w:eastAsia="zh-CN"/>
        </w:rPr>
        <w:t>30</w:t>
      </w:r>
      <w:r>
        <w:rPr>
          <w:rFonts w:ascii="Times New Roman" w:hAnsi="Times New Roman" w:cs="Times New Roman" w:eastAsia="仿宋_GB2312"/>
          <w:color w:val="000000"/>
          <w:sz w:val="32"/>
          <w:szCs w:val="32"/>
          <w:lang w:val="en-US" w:eastAsia="zh-CN"/>
        </w:rPr>
        <w:t>个工作日前，向原发证的市场监督管理部门提出申请；</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食品生产许可证有效期内，食品生产者名称、现有设备布局和工艺流程、主要生产设备设施、食品类别等事项发生变化，需要变更食品生产许可证载明的许可事项的，食品生产者应当在变化后</w:t>
      </w:r>
      <w:r>
        <w:rPr>
          <w:rFonts w:eastAsia="仿宋_GB2312" w:cs="Times New Roman" w:ascii="Times New Roman" w:hAnsi="Times New Roman"/>
          <w:color w:val="000000"/>
          <w:sz w:val="32"/>
          <w:szCs w:val="32"/>
          <w:lang w:val="en-US" w:eastAsia="zh-CN"/>
        </w:rPr>
        <w:t>10</w:t>
      </w:r>
      <w:r>
        <w:rPr>
          <w:rFonts w:ascii="Times New Roman" w:hAnsi="Times New Roman" w:cs="Times New Roman" w:eastAsia="仿宋_GB2312"/>
          <w:color w:val="000000"/>
          <w:sz w:val="32"/>
          <w:szCs w:val="32"/>
          <w:lang w:val="en-US" w:eastAsia="zh-CN"/>
        </w:rPr>
        <w:t>个工作日内向原发证的市场监督管理部门提出变更申请。食品生产者的生产场所迁址的，应当重新申请食品生产许可。食品生产者的生产条件发生变化，不再符合食品生产要求，需要重新办理许可手续的，应当依法办理</w:t>
      </w:r>
      <w:r>
        <w:rPr>
          <w:rFonts w:ascii="Times New Roman" w:hAnsi="Times New Roman" w:cs="Times New Roman" w:eastAsia="仿宋_GB2312"/>
          <w:color w:val="000000"/>
          <w:sz w:val="32"/>
          <w:szCs w:val="32"/>
          <w:lang w:val="en-US" w:eastAsia="zh-CN"/>
        </w:rPr>
        <w:t>。</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（二）生产场所</w:t>
      </w:r>
      <w:r>
        <w:rPr>
          <w:rFonts w:ascii="楷体" w:hAnsi="楷体" w:cs="楷体" w:eastAsia="楷体"/>
          <w:color w:val="000000"/>
          <w:sz w:val="32"/>
          <w:szCs w:val="32"/>
          <w:lang w:val="en-US" w:eastAsia="zh-CN"/>
        </w:rPr>
        <w:t>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b/>
          <w:bCs/>
          <w:color w:val="000000"/>
          <w:sz w:val="32"/>
          <w:szCs w:val="32"/>
          <w:lang w:val="en-US" w:eastAsia="zh-CN"/>
        </w:rPr>
        <w:t>风险点</w:t>
      </w:r>
      <w:r>
        <w:rPr>
          <w:rFonts w:ascii="仿宋_GB2312" w:hAnsi="仿宋_GB2312" w:cs="仿宋_GB2312"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生产场所附近有影响生产或可能污染食品的污染源，且无污染源防范措施，或者污染源防范措施无效果；</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厂区环境不整洁，布局不合理，生活区与生产区未保持适当距离或分隔，存在交叉污染风险；</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作业区布局和划分不合理，检验室未与生产区域分隔；</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生产车间及库房的墙面及地面有污垢、霉变、积水，散落的食品原料、半成品、成品、与生产无关的杂物未及时清理。</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b/>
          <w:bCs/>
          <w:color w:val="000000"/>
          <w:sz w:val="32"/>
          <w:szCs w:val="32"/>
          <w:lang w:val="en-US" w:eastAsia="zh-CN"/>
        </w:rPr>
        <w:t>应对</w:t>
      </w:r>
      <w:r>
        <w:rPr>
          <w:rFonts w:ascii="仿宋_GB2312" w:hAnsi="仿宋_GB2312" w:cs="仿宋_GB2312"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检查厂区附近</w:t>
      </w:r>
      <w:r>
        <w:rPr>
          <w:rFonts w:ascii="Times New Roman" w:hAnsi="Times New Roman" w:cs="Times New Roman" w:eastAsia="仿宋_GB2312"/>
          <w:color w:val="000000"/>
          <w:sz w:val="32"/>
          <w:szCs w:val="32"/>
          <w:lang w:val="en-US" w:eastAsia="zh-CN"/>
        </w:rPr>
        <w:t>不应</w:t>
      </w:r>
      <w:r>
        <w:rPr>
          <w:rFonts w:ascii="Times New Roman" w:hAnsi="Times New Roman" w:cs="Times New Roman" w:eastAsia="仿宋_GB2312"/>
          <w:color w:val="000000"/>
          <w:sz w:val="32"/>
          <w:szCs w:val="32"/>
          <w:lang w:val="en-US" w:eastAsia="zh-CN"/>
        </w:rPr>
        <w:t>存在对生产有影响的污染源，如粉尘、有害气体、放射性物质、垃圾处理场和其他扩散性污染源等，判断是否能够通过有效措施清除，如不能则放弃该选址；若存在一定污染源，能够通过采取有效防范措施，不对食品生产产生影响可以进行选址；</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厂区的</w:t>
      </w:r>
      <w:r>
        <w:rPr>
          <w:rFonts w:ascii="Times New Roman" w:hAnsi="Times New Roman" w:cs="Times New Roman" w:eastAsia="仿宋_GB2312"/>
          <w:color w:val="000000"/>
          <w:sz w:val="32"/>
          <w:szCs w:val="32"/>
          <w:lang w:val="en-US" w:eastAsia="zh-CN"/>
        </w:rPr>
        <w:t>环境应保持干净整洁，</w:t>
      </w:r>
      <w:r>
        <w:rPr>
          <w:rFonts w:ascii="Times New Roman" w:hAnsi="Times New Roman" w:cs="Times New Roman" w:eastAsia="仿宋_GB2312"/>
          <w:color w:val="000000"/>
          <w:sz w:val="32"/>
          <w:szCs w:val="32"/>
          <w:lang w:val="en-US" w:eastAsia="zh-CN"/>
        </w:rPr>
        <w:t>不会对食品的生产造成污染；生产、生活和辅助区的总体布局应合理，不互相妨碍；</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企业需确保厂房和车间内部设计与布局满足食品卫生操作要求</w:t>
      </w:r>
      <w:r>
        <w:rPr>
          <w:rFonts w:ascii="Times New Roman" w:hAnsi="Times New Roman" w:cs="Times New Roman" w:eastAsia="仿宋_GB2312"/>
          <w:color w:val="000000"/>
          <w:sz w:val="32"/>
          <w:szCs w:val="32"/>
          <w:lang w:val="en-US" w:eastAsia="zh-CN"/>
        </w:rPr>
        <w:t>，</w:t>
      </w:r>
      <w:r>
        <w:rPr>
          <w:rFonts w:ascii="Times New Roman" w:hAnsi="Times New Roman" w:cs="Times New Roman" w:eastAsia="仿宋_GB2312"/>
          <w:color w:val="000000"/>
          <w:sz w:val="32"/>
          <w:szCs w:val="32"/>
          <w:lang w:val="en-US" w:eastAsia="zh-CN"/>
        </w:rPr>
        <w:t>依据产品特点、生产工艺、生产特性及清洁程度要求，明确划分作业区，检验室应与生产区域进行物理分隔，形成独立空间避免交叉污染</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车间保持清洁，顶棚、墙壁、门窗和地面应当采用无毒、无味、防渗透、防霉、不易破损脱落的材料建造，结构合理，易于清洁；门窗应当闭合严密，不透水、不变形，并有防止虫害侵入的措施；地面应当平坦防滑、无裂缝厂区及车间内不得堆放杂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（三）设备设施</w:t>
      </w:r>
      <w:r>
        <w:rPr>
          <w:rFonts w:ascii="楷体" w:hAnsi="楷体" w:cs="楷体" w:eastAsia="楷体"/>
          <w:color w:val="000000"/>
          <w:sz w:val="32"/>
          <w:szCs w:val="32"/>
          <w:lang w:val="en-US" w:eastAsia="zh-CN"/>
        </w:rPr>
        <w:t>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b/>
          <w:bCs/>
          <w:color w:val="000000"/>
          <w:sz w:val="32"/>
          <w:szCs w:val="32"/>
          <w:lang w:val="en-US" w:eastAsia="zh-CN"/>
        </w:rPr>
        <w:t>风险点</w:t>
      </w:r>
      <w:r>
        <w:rPr>
          <w:rFonts w:ascii="仿宋_GB2312" w:hAnsi="仿宋_GB2312" w:cs="仿宋_GB2312"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设备布局、主要生产设备设施与准予食品生产许可时不一致；</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洗手、干手、消毒等卫生设备设施不能正常使用，更衣室内工作服与个人物品混放；</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卫生间与生产、包装或贮存等区域直接连通；</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防尘、排水、照明、温控、防虫害、防鼠等设备设施不能正常运行，存放垃圾、废弃物的设备设施标识不清晰，无有效防护；</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生产设备设施缺少定期维护保养记录，无状态标识牌；</w:t>
      </w:r>
      <w:r>
        <w:rPr>
          <w:rFonts w:eastAsia="仿宋_GB2312" w:cs="Times New Roman" w:ascii="Times New Roman" w:hAnsi="Times New Roman"/>
          <w:color w:val="000000"/>
          <w:sz w:val="32"/>
          <w:szCs w:val="32"/>
          <w:lang w:val="en-US" w:eastAsia="zh-CN"/>
        </w:rPr>
        <w:t>6.</w:t>
      </w:r>
      <w:r>
        <w:rPr>
          <w:rFonts w:ascii="Times New Roman" w:hAnsi="Times New Roman" w:cs="Times New Roman" w:eastAsia="仿宋_GB2312"/>
          <w:color w:val="000000"/>
          <w:sz w:val="32"/>
          <w:szCs w:val="32"/>
          <w:lang w:val="en-US" w:eastAsia="zh-CN"/>
        </w:rPr>
        <w:t>监控设备（压力表、温度计等）未定期检定、校准、维护。</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b/>
          <w:bCs/>
          <w:color w:val="000000"/>
          <w:sz w:val="32"/>
          <w:szCs w:val="32"/>
          <w:lang w:val="en-US" w:eastAsia="zh-CN"/>
        </w:rPr>
        <w:t>应对</w:t>
      </w:r>
      <w:r>
        <w:rPr>
          <w:rFonts w:ascii="仿宋_GB2312" w:hAnsi="仿宋_GB2312" w:cs="仿宋_GB2312"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设备布局、主要生产设备设施</w:t>
      </w:r>
      <w:r>
        <w:rPr>
          <w:rFonts w:ascii="Times New Roman" w:hAnsi="Times New Roman" w:cs="Times New Roman" w:eastAsia="仿宋_GB2312"/>
          <w:color w:val="000000"/>
          <w:sz w:val="32"/>
          <w:szCs w:val="32"/>
          <w:lang w:val="en-US" w:eastAsia="zh-CN"/>
        </w:rPr>
        <w:t>应</w:t>
      </w:r>
      <w:r>
        <w:rPr>
          <w:rFonts w:ascii="Times New Roman" w:hAnsi="Times New Roman" w:cs="Times New Roman" w:eastAsia="仿宋_GB2312"/>
          <w:color w:val="000000"/>
          <w:sz w:val="32"/>
          <w:szCs w:val="32"/>
          <w:lang w:val="en-US" w:eastAsia="zh-CN"/>
        </w:rPr>
        <w:t>与准予食品生产许可时</w:t>
      </w:r>
      <w:r>
        <w:rPr>
          <w:rFonts w:ascii="Times New Roman" w:hAnsi="Times New Roman" w:cs="Times New Roman" w:eastAsia="仿宋_GB2312"/>
          <w:color w:val="000000"/>
          <w:sz w:val="32"/>
          <w:szCs w:val="32"/>
          <w:lang w:val="en-US" w:eastAsia="zh-CN"/>
        </w:rPr>
        <w:t>保持</w:t>
      </w:r>
      <w:r>
        <w:rPr>
          <w:rFonts w:ascii="Times New Roman" w:hAnsi="Times New Roman" w:cs="Times New Roman" w:eastAsia="仿宋_GB2312"/>
          <w:color w:val="000000"/>
          <w:sz w:val="32"/>
          <w:szCs w:val="32"/>
          <w:lang w:val="en-US" w:eastAsia="zh-CN"/>
        </w:rPr>
        <w:t>一致</w:t>
      </w:r>
      <w:r>
        <w:rPr>
          <w:rFonts w:ascii="Times New Roman" w:hAnsi="Times New Roman" w:cs="Times New Roman" w:eastAsia="仿宋_GB2312"/>
          <w:color w:val="000000"/>
          <w:sz w:val="32"/>
          <w:szCs w:val="32"/>
          <w:lang w:val="en-US" w:eastAsia="zh-CN"/>
        </w:rPr>
        <w:t>，需要变更食品生产许可证载明的许可事项的，应当在变化后</w:t>
      </w:r>
      <w:r>
        <w:rPr>
          <w:rFonts w:eastAsia="仿宋_GB2312" w:cs="Times New Roman" w:ascii="Times New Roman" w:hAnsi="Times New Roman"/>
          <w:color w:val="000000"/>
          <w:sz w:val="32"/>
          <w:szCs w:val="32"/>
          <w:lang w:val="en-US" w:eastAsia="zh-CN"/>
        </w:rPr>
        <w:t>10</w:t>
      </w:r>
      <w:r>
        <w:rPr>
          <w:rFonts w:ascii="Times New Roman" w:hAnsi="Times New Roman" w:cs="Times New Roman" w:eastAsia="仿宋_GB2312"/>
          <w:color w:val="000000"/>
          <w:sz w:val="32"/>
          <w:szCs w:val="32"/>
          <w:lang w:val="en-US" w:eastAsia="zh-CN"/>
        </w:rPr>
        <w:t>个工作日内向原发证的市场监督管理部门提出变更申请</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企业应根据生产规模和人员数量，在生产场所或生产车间入口处，合理规划更衣室数量和位置布局</w:t>
      </w:r>
      <w:r>
        <w:rPr>
          <w:rFonts w:ascii="Times New Roman" w:hAnsi="Times New Roman" w:cs="Times New Roman" w:eastAsia="仿宋_GB2312"/>
          <w:color w:val="000000"/>
          <w:sz w:val="32"/>
          <w:szCs w:val="32"/>
          <w:lang w:val="en-US" w:eastAsia="zh-CN"/>
        </w:rPr>
        <w:t>，</w:t>
      </w:r>
      <w:r>
        <w:rPr>
          <w:rFonts w:ascii="Times New Roman" w:hAnsi="Times New Roman" w:cs="Times New Roman" w:eastAsia="仿宋_GB2312"/>
          <w:color w:val="000000"/>
          <w:sz w:val="32"/>
          <w:szCs w:val="32"/>
          <w:lang w:val="en-US" w:eastAsia="zh-CN"/>
        </w:rPr>
        <w:t>不同洁净度要求的作业区，需要设置不同的更衣室或进行二次更衣，以防止交叉污染</w:t>
      </w:r>
      <w:r>
        <w:rPr>
          <w:rFonts w:ascii="Times New Roman" w:hAnsi="Times New Roman" w:cs="Times New Roman" w:eastAsia="仿宋_GB2312"/>
          <w:color w:val="000000"/>
          <w:sz w:val="32"/>
          <w:szCs w:val="32"/>
          <w:lang w:val="en-US" w:eastAsia="zh-CN"/>
        </w:rPr>
        <w:t>，</w:t>
      </w:r>
      <w:r>
        <w:rPr>
          <w:rFonts w:ascii="Times New Roman" w:hAnsi="Times New Roman" w:cs="Times New Roman" w:eastAsia="仿宋_GB2312"/>
          <w:color w:val="000000"/>
          <w:sz w:val="32"/>
          <w:szCs w:val="32"/>
          <w:lang w:val="en-US" w:eastAsia="zh-CN"/>
        </w:rPr>
        <w:t>更衣室应配备足够数量的衣柜、衣架等设施，工作服与个人服装及其他物品严格分开存放；</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卫生间应当易于保持清洁，不得与生产、包装或贮存等区域直接连通，卫生间内的适当位置应当设置洗手设施</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企业应具有与生产经营的食品品种、数量相适应的生产经营设备或者设施，有相应的消毒、更衣、盥洗、采光、照明、通风、防腐、防尘、防蝇、防鼠、防虫、洗涤以及处理废水、存放垃圾和废弃物的设备或者设施；</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企业应建立完善的设备维修保养制度，加强设备的日常巡检，定期进行检修，做好标识牌及记录；</w:t>
      </w:r>
      <w:r>
        <w:rPr>
          <w:rFonts w:eastAsia="仿宋_GB2312" w:cs="Times New Roman" w:ascii="Times New Roman" w:hAnsi="Times New Roman"/>
          <w:color w:val="000000"/>
          <w:sz w:val="32"/>
          <w:szCs w:val="32"/>
          <w:lang w:val="en-US" w:eastAsia="zh-CN"/>
        </w:rPr>
        <w:t>6.</w:t>
      </w:r>
      <w:r>
        <w:rPr>
          <w:rFonts w:ascii="Times New Roman" w:hAnsi="Times New Roman" w:cs="Times New Roman" w:eastAsia="仿宋_GB2312"/>
          <w:color w:val="000000"/>
          <w:sz w:val="32"/>
          <w:szCs w:val="32"/>
          <w:lang w:val="en-US" w:eastAsia="zh-CN"/>
        </w:rPr>
        <w:t>企业应当根据生产的需要，配备适宜用于监测温度和控制室温的设施设备，定期进行检修并做好记录。</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（四）人员管理</w:t>
      </w:r>
      <w:r>
        <w:rPr>
          <w:rFonts w:ascii="楷体" w:hAnsi="楷体" w:cs="楷体" w:eastAsia="楷体"/>
          <w:color w:val="000000"/>
          <w:sz w:val="32"/>
          <w:szCs w:val="32"/>
          <w:lang w:val="en-US" w:eastAsia="zh-CN"/>
        </w:rPr>
        <w:t>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b/>
          <w:bCs/>
          <w:color w:val="000000"/>
          <w:sz w:val="32"/>
          <w:szCs w:val="32"/>
          <w:lang w:val="en-US" w:eastAsia="zh-CN"/>
        </w:rPr>
        <w:t>风险点</w:t>
      </w:r>
      <w:r>
        <w:rPr>
          <w:rFonts w:ascii="仿宋_GB2312" w:hAnsi="仿宋_GB2312" w:cs="仿宋_GB2312"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未配备专职或兼职食品安全管理人员和食品安全专业技术人员，人员要求不符合有关规定；</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未根据岗位需求设计培训内容，如食品安全知识及卫生培训，未制定年度培训计划或未按计划开展培训工作；</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培训记录不完善，考核环节无记录，考核标准不严格，未真实反映从业人员的知识和技能掌握程度，对考核不合格者未采取有效措施；</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人员健康管理制度执行不完善，接触直接入口食品的食品生产加工人员未定期进行健康检查或健康证过期；</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非食品加工人员随意进入食品生产场所。</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仿宋_GB2312" w:hAnsi="仿宋_GB2312" w:cs="仿宋_GB2312" w:eastAsia="仿宋_GB2312"/>
          <w:b/>
          <w:bCs/>
          <w:color w:val="000000"/>
          <w:sz w:val="32"/>
          <w:szCs w:val="32"/>
          <w:lang w:val="en-US" w:eastAsia="zh-CN"/>
        </w:rPr>
        <w:t>应对</w:t>
      </w:r>
      <w:r>
        <w:rPr>
          <w:rFonts w:ascii="仿宋_GB2312" w:hAnsi="仿宋_GB2312" w:cs="仿宋_GB2312"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企业应根据生产经营规模、食品种类和复杂程度，合理配备专业人员。符合规定规模和风险等级的企业应至少配备</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名食品安全总监，需配备与其生产经营规模、风险等级相适应的经培训考试合格的食品安全管理人员；</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企</w:t>
      </w:r>
      <w:r>
        <w:rPr>
          <w:rFonts w:ascii="Times New Roman" w:hAnsi="Times New Roman" w:cs="Times New Roman" w:eastAsia="仿宋_GB2312"/>
          <w:color w:val="000000"/>
          <w:sz w:val="32"/>
          <w:szCs w:val="32"/>
          <w:lang w:val="en-US" w:eastAsia="zh-CN"/>
        </w:rPr>
        <w:t>业应根据不同岗位的实际需求，制定详细的食品安全年度培训计划，明确各岗位的培训内容、培训时间、培训及考核方式等；</w:t>
      </w:r>
      <w:r>
        <w:rPr>
          <w:rFonts w:ascii="Times New Roman" w:hAnsi="Times New Roman" w:cs="Times New Roman" w:eastAsia="仿宋_GB2312"/>
          <w:color w:val="000000"/>
          <w:sz w:val="32"/>
          <w:szCs w:val="32"/>
          <w:lang w:val="en-US" w:eastAsia="zh-CN"/>
        </w:rPr>
        <w:t>并</w:t>
      </w:r>
      <w:r>
        <w:rPr>
          <w:rFonts w:ascii="Times New Roman" w:hAnsi="Times New Roman" w:cs="Times New Roman" w:eastAsia="仿宋_GB2312"/>
          <w:color w:val="000000"/>
          <w:sz w:val="32"/>
          <w:szCs w:val="32"/>
          <w:lang w:val="en-US" w:eastAsia="zh-CN"/>
        </w:rPr>
        <w:t>严格按照计划执行</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做好培训记录，包括培训时间、地点、培训内容、培训讲师、参加培训人员签名、考核成绩等</w:t>
      </w:r>
      <w:r>
        <w:rPr>
          <w:rFonts w:ascii="Times New Roman" w:hAnsi="Times New Roman" w:cs="Times New Roman" w:eastAsia="仿宋_GB2312"/>
          <w:color w:val="000000"/>
          <w:sz w:val="32"/>
          <w:szCs w:val="32"/>
          <w:lang w:val="en-US" w:eastAsia="zh-CN"/>
        </w:rPr>
        <w:t>，考核合格者方可上岗</w:t>
      </w:r>
      <w:r>
        <w:rPr>
          <w:rFonts w:ascii="Times New Roman" w:hAnsi="Times New Roman" w:cs="Times New Roman" w:eastAsia="仿宋_GB2312"/>
          <w:color w:val="000000"/>
          <w:sz w:val="32"/>
          <w:szCs w:val="32"/>
          <w:lang w:val="en-US" w:eastAsia="zh-CN"/>
        </w:rPr>
        <w:t>，对不合格者安排补考或重新培训，确保从业人员真正掌握所需知识和技能</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4</w:t>
      </w:r>
      <w:r>
        <w:rPr>
          <w:rFonts w:eastAsia="仿宋_GB2312" w:cs="Times New Roman" w:ascii="Times New Roman" w:hAnsi="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企业应制定详细的食品加工人员健康管理制度。对从事接触直接入口食品工作的食品生产人员建立员工健康档案，记录检查时间、检查项目、检查结果、健康证明编号等信息，动态管理；及时收集健康证明，对未取得健康证明或证明过期的员工，禁止其从事直接接触食品工作。</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建立来访者登记制度，来访者进入生产场所前，严格按照食品加工人员卫生要求进行个人清洁和消毒，并由企业员工全程陪同，防止污染。</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（五）</w:t>
      </w:r>
      <w:r>
        <w:rPr>
          <w:rFonts w:ascii="楷体" w:hAnsi="楷体" w:cs="楷体" w:eastAsia="楷体"/>
          <w:color w:val="000000"/>
          <w:sz w:val="32"/>
          <w:szCs w:val="32"/>
          <w:lang w:val="en-US" w:eastAsia="zh-CN"/>
        </w:rPr>
        <w:t>原料风险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仿宋_GB2312" w:hAnsi="仿宋_GB2312" w:cs="仿宋_GB2312" w:eastAsia="仿宋_GB2312"/>
          <w:b/>
          <w:bCs/>
          <w:color w:val="000000"/>
          <w:sz w:val="32"/>
          <w:szCs w:val="32"/>
          <w:lang w:val="en-US" w:eastAsia="zh-CN"/>
        </w:rPr>
        <w:t>风险点</w:t>
      </w:r>
      <w:r>
        <w:rPr>
          <w:rFonts w:ascii="仿宋_GB2312" w:hAnsi="仿宋_GB2312" w:cs="仿宋_GB2312"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验收检验方法未按不同原料的要求制定</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验收人员未按照验收标准和流程进行操作，对食品原料、食品添加剂和食品相关产品的检验项目不全、检验方法不正确</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验收记录不完整、不准确，无法追溯产品的验收情况</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对验收不合格的产品，未按照规定进行标识、隔离和处理，存在误用的风险</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5</w:t>
      </w:r>
      <w:r>
        <w:rPr>
          <w:rFonts w:eastAsia="仿宋_GB2312" w:cs="Times New Roman" w:ascii="Times New Roman" w:hAnsi="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已开封的原料标识不清，无法追溯开封时间和保质期；</w:t>
      </w:r>
      <w:r>
        <w:rPr>
          <w:rFonts w:eastAsia="仿宋_GB2312" w:cs="Times New Roman" w:ascii="Times New Roman" w:hAnsi="Times New Roman"/>
          <w:color w:val="000000"/>
          <w:sz w:val="32"/>
          <w:szCs w:val="32"/>
          <w:lang w:val="en-US" w:eastAsia="zh-CN"/>
        </w:rPr>
        <w:t>6</w:t>
      </w:r>
      <w:r>
        <w:rPr>
          <w:rFonts w:eastAsia="仿宋_GB2312" w:cs="Times New Roman" w:ascii="Times New Roman" w:hAnsi="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仓库存放的</w:t>
      </w:r>
      <w:r>
        <w:rPr>
          <w:rFonts w:ascii="Times New Roman" w:hAnsi="Times New Roman" w:cs="Times New Roman" w:eastAsia="仿宋_GB2312"/>
          <w:color w:val="000000"/>
          <w:sz w:val="32"/>
          <w:szCs w:val="32"/>
          <w:lang w:val="en-US" w:eastAsia="zh-CN"/>
        </w:rPr>
        <w:t>原料过期未及时清理。</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仿宋_GB2312" w:hAnsi="仿宋_GB2312" w:eastAsia="仿宋_GB2312" w:cs="仿宋_GB2312"/>
          <w:color w:val="000000"/>
          <w:sz w:val="32"/>
          <w:szCs w:val="32"/>
          <w:lang w:val="en-US" w:eastAsia="zh-CN"/>
        </w:rPr>
      </w:pPr>
      <w:r>
        <w:rPr>
          <w:rFonts w:ascii="Times New Roman" w:hAnsi="Times New Roman" w:cs="Times New Roman" w:eastAsia="仿宋_GB2312"/>
          <w:b/>
          <w:bCs/>
          <w:color w:val="000000"/>
          <w:sz w:val="32"/>
          <w:szCs w:val="32"/>
          <w:lang w:val="en-US" w:eastAsia="zh-CN"/>
        </w:rPr>
        <w:t>应对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企业应根据自身需要制定合理的验收标准；</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采购人员采购食品原料时，必须严格查验供货者的有效资质文件和产品合格证明文件。对于进口食品原料，还需查验国家有关部门出具的入境货物证明等相关文件；</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企业应配备必要的检验设备和工具，验收人员应严格按照验收标准，对每批次食品原料进行检验，经验收合格的食品原料，办理入库手续，建立进货查验记录制度，详细记录</w:t>
      </w:r>
      <w:r>
        <w:rPr>
          <w:rFonts w:ascii="Times New Roman" w:hAnsi="Times New Roman" w:cs="Times New Roman" w:eastAsia="仿宋_GB2312"/>
          <w:color w:val="000000"/>
          <w:sz w:val="32"/>
          <w:szCs w:val="32"/>
          <w:lang w:val="en-US" w:eastAsia="zh-CN"/>
        </w:rPr>
        <w:t>供货商、</w:t>
      </w:r>
      <w:r>
        <w:rPr>
          <w:rFonts w:ascii="Times New Roman" w:hAnsi="Times New Roman" w:cs="Times New Roman" w:eastAsia="仿宋_GB2312"/>
          <w:color w:val="000000"/>
          <w:sz w:val="32"/>
          <w:szCs w:val="32"/>
          <w:lang w:val="en-US" w:eastAsia="zh-CN"/>
        </w:rPr>
        <w:t>验收时间、验收人员、验收结果等信息，便于追溯和查询；</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不合格的食品原料存放在指定区域，与合格品分开放置，并张贴明显的不合格标识；</w:t>
      </w:r>
      <w:r>
        <w:rPr>
          <w:rFonts w:eastAsia="仿宋_GB2312" w:cs="Times New Roman" w:ascii="Times New Roman" w:hAnsi="Times New Roman"/>
          <w:color w:val="000000"/>
          <w:sz w:val="32"/>
          <w:szCs w:val="32"/>
          <w:lang w:val="en-US" w:eastAsia="zh-CN"/>
        </w:rPr>
        <w:t>5</w:t>
      </w:r>
      <w:r>
        <w:rPr>
          <w:rFonts w:eastAsia="仿宋_GB2312" w:cs="Times New Roman" w:ascii="Times New Roman" w:hAnsi="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开封后的原料应有明确的标识，包括原料名称、批号、开封日期、使用期限等，确保可追溯；</w:t>
      </w:r>
      <w:r>
        <w:rPr>
          <w:rFonts w:eastAsia="仿宋_GB2312" w:cs="Times New Roman" w:ascii="Times New Roman" w:hAnsi="Times New Roman"/>
          <w:color w:val="000000"/>
          <w:sz w:val="32"/>
          <w:szCs w:val="32"/>
          <w:lang w:val="en-US" w:eastAsia="zh-CN"/>
        </w:rPr>
        <w:t>6</w:t>
      </w:r>
      <w:r>
        <w:rPr>
          <w:rFonts w:eastAsia="仿宋_GB2312" w:cs="Times New Roman" w:ascii="Times New Roman" w:hAnsi="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仓库管理人员应及时清理变质或超过保质期的食品原料，进行无害化处理，防止其流入生产环节</w:t>
      </w:r>
      <w:r>
        <w:rPr>
          <w:rFonts w:ascii="仿宋_GB2312" w:hAnsi="仿宋_GB2312" w:cs="仿宋_GB2312" w:eastAsia="仿宋_GB2312"/>
          <w:color w:val="000000"/>
          <w:sz w:val="32"/>
          <w:szCs w:val="32"/>
          <w:lang w:val="en-US" w:eastAsia="zh-CN"/>
        </w:rPr>
        <w:t>。</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（六）</w:t>
      </w:r>
      <w:r>
        <w:rPr>
          <w:rFonts w:ascii="楷体" w:hAnsi="楷体" w:cs="楷体" w:eastAsia="楷体"/>
          <w:color w:val="000000"/>
          <w:sz w:val="32"/>
          <w:szCs w:val="32"/>
          <w:lang w:val="en-US" w:eastAsia="zh-CN"/>
        </w:rPr>
        <w:t>生产过程控制风险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风险点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人员操作不规范，未按照工艺流程操作；</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生产现场发现人流、物流交叉污染，待加工食品与直接入口食品、原料与成品交叉污染；</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生产投料记录不完善，生产记录中的生产工艺和参数与准予食品生产许可时不一致；</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食品生产企业未对生产关键环节实施控制，明确控制参数；</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清洁消毒制度内容简单，未涵盖所有需要清洁消毒的区域、设备和器具，对清洁消毒方法、频率等规定不明确；</w:t>
      </w:r>
      <w:r>
        <w:rPr>
          <w:rFonts w:eastAsia="仿宋_GB2312" w:cs="Times New Roman" w:ascii="Times New Roman" w:hAnsi="Times New Roman"/>
          <w:color w:val="000000"/>
          <w:sz w:val="32"/>
          <w:szCs w:val="32"/>
          <w:lang w:val="en-US" w:eastAsia="zh-CN"/>
        </w:rPr>
        <w:t>6.</w:t>
      </w:r>
      <w:r>
        <w:rPr>
          <w:rFonts w:ascii="Times New Roman" w:hAnsi="Times New Roman" w:cs="Times New Roman" w:eastAsia="仿宋_GB2312"/>
          <w:color w:val="000000"/>
          <w:sz w:val="32"/>
          <w:szCs w:val="32"/>
          <w:lang w:val="en-US" w:eastAsia="zh-CN"/>
        </w:rPr>
        <w:t>未对环境微生物进行监控，微生物监控取样点设置不合理、监控频率过低。</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应对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可在生产关键区域悬挂或放置清晰易懂的岗位操作规程等文件，详细规定操作步骤、工艺参数、质量控制等要点；</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设置物理隔断和独立的人流、物流通道，物料传递口应采取密闭、消毒等有效措施避免交叉污染；</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企业应建立和保存生产投料记录，记录内容包括投料名称、日期、数量等，生产记录中的生产工艺和参数应与准予食品生产许可时保持一致；</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食品生产企业应对生产关键环节实施控制的要求，开展生产过程的危害分析，结合生产工艺特点，识别关键控制环节并形成清单，明确每个环节的控制参数、标准及监控方法，建立相应的食品安全控制措施；</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企业应根据食品原料、产品特性和生产工艺，制定全面、有效的清洁消毒制度，并建立清洁消毒效果的验证方法和程序，定期对清洁消毒效果进行监测；</w:t>
      </w:r>
      <w:r>
        <w:rPr>
          <w:rFonts w:eastAsia="仿宋_GB2312" w:cs="Times New Roman" w:ascii="Times New Roman" w:hAnsi="Times New Roman"/>
          <w:color w:val="000000"/>
          <w:sz w:val="32"/>
          <w:szCs w:val="32"/>
          <w:lang w:val="en-US" w:eastAsia="zh-CN"/>
        </w:rPr>
        <w:t>6.</w:t>
      </w:r>
      <w:r>
        <w:rPr>
          <w:rFonts w:ascii="Times New Roman" w:hAnsi="Times New Roman" w:cs="Times New Roman" w:eastAsia="仿宋_GB2312"/>
          <w:color w:val="000000"/>
          <w:sz w:val="32"/>
          <w:szCs w:val="32"/>
          <w:lang w:val="en-US" w:eastAsia="zh-CN"/>
        </w:rPr>
        <w:t>企业应根据生产工艺和产品特点确定关键控制环节进行微生物监控</w:t>
      </w:r>
      <w:r>
        <w:rPr>
          <w:rFonts w:ascii="Times New Roman" w:hAnsi="Times New Roman" w:cs="Times New Roman" w:eastAsia="仿宋_GB2312"/>
          <w:color w:val="000000"/>
          <w:sz w:val="32"/>
          <w:szCs w:val="32"/>
          <w:lang w:val="en-US" w:eastAsia="zh-CN"/>
        </w:rPr>
        <w:t>，</w:t>
      </w:r>
      <w:r>
        <w:rPr>
          <w:rFonts w:ascii="Times New Roman" w:hAnsi="Times New Roman" w:cs="Times New Roman" w:eastAsia="仿宋_GB2312"/>
          <w:color w:val="000000"/>
          <w:sz w:val="32"/>
          <w:szCs w:val="32"/>
          <w:lang w:val="en-US" w:eastAsia="zh-CN"/>
        </w:rPr>
        <w:t>防止微生物生长繁殖及产生毒素的风险</w:t>
      </w:r>
      <w:r>
        <w:rPr>
          <w:rFonts w:ascii="Times New Roman" w:hAnsi="Times New Roman" w:cs="Times New Roman" w:eastAsia="仿宋_GB2312"/>
          <w:color w:val="000000"/>
          <w:sz w:val="32"/>
          <w:szCs w:val="32"/>
          <w:lang w:val="en-US" w:eastAsia="zh-CN"/>
        </w:rPr>
        <w:t>；</w:t>
      </w:r>
      <w:r>
        <w:rPr>
          <w:rFonts w:ascii="Times New Roman" w:hAnsi="Times New Roman" w:cs="Times New Roman" w:eastAsia="仿宋_GB2312"/>
          <w:color w:val="000000"/>
          <w:sz w:val="32"/>
          <w:szCs w:val="32"/>
          <w:lang w:val="en-US" w:eastAsia="zh-CN"/>
        </w:rPr>
        <w:t>必要时应建立食品生产过程的微生物监控程序</w:t>
      </w:r>
      <w:r>
        <w:rPr>
          <w:rFonts w:ascii="Times New Roman" w:hAnsi="Times New Roman" w:cs="Times New Roman" w:eastAsia="仿宋_GB2312"/>
          <w:color w:val="000000"/>
          <w:sz w:val="32"/>
          <w:szCs w:val="32"/>
          <w:lang w:val="en-US" w:eastAsia="zh-CN"/>
        </w:rPr>
        <w:t>，</w:t>
      </w:r>
      <w:r>
        <w:rPr>
          <w:rFonts w:ascii="Times New Roman" w:hAnsi="Times New Roman" w:cs="Times New Roman" w:eastAsia="仿宋_GB2312"/>
          <w:color w:val="000000"/>
          <w:sz w:val="32"/>
          <w:szCs w:val="32"/>
          <w:lang w:val="en-US" w:eastAsia="zh-CN"/>
        </w:rPr>
        <w:t>包括生产环境的微生物监控和过程产品的微生物监控。</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（七）</w:t>
      </w:r>
      <w:r>
        <w:rPr>
          <w:rFonts w:ascii="楷体" w:hAnsi="楷体" w:cs="楷体" w:eastAsia="楷体"/>
          <w:color w:val="000000"/>
          <w:sz w:val="32"/>
          <w:szCs w:val="32"/>
          <w:lang w:val="en-US" w:eastAsia="zh-CN"/>
        </w:rPr>
        <w:t>食品添加剂风险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风险点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超范围、超限量使用</w:t>
      </w:r>
      <w:r>
        <w:rPr>
          <w:rFonts w:ascii="Times New Roman" w:hAnsi="Times New Roman" w:cs="Times New Roman" w:eastAsia="仿宋_GB2312"/>
          <w:color w:val="000000"/>
          <w:sz w:val="32"/>
          <w:szCs w:val="32"/>
          <w:lang w:val="en-US" w:eastAsia="zh-CN"/>
        </w:rPr>
        <w:t>食品</w:t>
      </w:r>
      <w:r>
        <w:rPr>
          <w:rFonts w:ascii="Times New Roman" w:hAnsi="Times New Roman" w:cs="Times New Roman" w:eastAsia="仿宋_GB2312"/>
          <w:color w:val="000000"/>
          <w:sz w:val="32"/>
          <w:szCs w:val="32"/>
          <w:lang w:val="en-US" w:eastAsia="zh-CN"/>
        </w:rPr>
        <w:t>添加剂</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食品添加剂使用、出入库台账记录不完善；</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食品添加剂未专人专库，与其他食品原料混放</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已开封的</w:t>
      </w:r>
      <w:r>
        <w:rPr>
          <w:rFonts w:ascii="Times New Roman" w:hAnsi="Times New Roman" w:cs="Times New Roman" w:eastAsia="仿宋_GB2312"/>
          <w:color w:val="000000"/>
          <w:sz w:val="32"/>
          <w:szCs w:val="32"/>
          <w:lang w:val="en-US" w:eastAsia="zh-CN"/>
        </w:rPr>
        <w:t>食品添加剂</w:t>
      </w:r>
      <w:r>
        <w:rPr>
          <w:rFonts w:ascii="Times New Roman" w:hAnsi="Times New Roman" w:cs="Times New Roman" w:eastAsia="仿宋_GB2312"/>
          <w:color w:val="000000"/>
          <w:sz w:val="32"/>
          <w:szCs w:val="32"/>
          <w:lang w:val="en-US" w:eastAsia="zh-CN"/>
        </w:rPr>
        <w:t>标识不清，无法追溯开封时间和保质期</w:t>
      </w:r>
      <w:r>
        <w:rPr>
          <w:rFonts w:ascii="Times New Roman" w:hAnsi="Times New Roman" w:cs="Times New Roman" w:eastAsia="仿宋_GB2312"/>
          <w:color w:val="000000"/>
          <w:sz w:val="32"/>
          <w:szCs w:val="32"/>
          <w:lang w:val="en-US" w:eastAsia="zh-CN"/>
        </w:rPr>
        <w:t>。</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应对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企业应建立食品添加剂采购清单，明确允许使用的食品添加剂种类、规格、使用范围和最大使用量等信息，采购人员按照清单进行采购。采购时，必须严格查验供货者的有效资质文件和产品合格证明文件</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专人负责食品添加剂的管理工作，负责日常的入库验收、库存盘点、保管巡查等工作，记录出入库和使用情况，避免遗漏；</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食品添加剂贮存应遵循专人专库（或专区）原则，并按标示的贮存条件贮存，与食品原料和其他物品分开存放，避免混淆和交叉污染；</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对已开封的食品添加剂重新张贴标识，内容包括添加剂名称、批号、开封日期、建议使用期限等。</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（八）</w:t>
      </w:r>
      <w:r>
        <w:rPr>
          <w:rFonts w:ascii="楷体" w:hAnsi="楷体" w:cs="楷体" w:eastAsia="楷体"/>
          <w:color w:val="000000"/>
          <w:sz w:val="32"/>
          <w:szCs w:val="32"/>
          <w:lang w:val="en-US" w:eastAsia="zh-CN"/>
        </w:rPr>
        <w:t>标签标识风险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仿宋_GB2312" w:hAnsi="仿宋_GB2312" w:cs="仿宋_GB2312" w:eastAsia="仿宋_GB2312"/>
          <w:b/>
          <w:bCs/>
          <w:color w:val="000000"/>
          <w:sz w:val="32"/>
          <w:szCs w:val="32"/>
          <w:lang w:val="en-US" w:eastAsia="zh-CN"/>
        </w:rPr>
        <w:t>风险点</w:t>
      </w:r>
      <w:r>
        <w:rPr>
          <w:rFonts w:ascii="仿宋_GB2312" w:hAnsi="仿宋_GB2312" w:cs="仿宋_GB2312"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产品名称不规范，使用易引起消费者误解的名称；</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配料表标注不规范，配料的顺序不符合递减原则，未准确标注配料的具体名称；</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生产日期、保质期等</w:t>
      </w:r>
      <w:r>
        <w:rPr>
          <w:rFonts w:ascii="Times New Roman" w:hAnsi="Times New Roman" w:cs="Times New Roman" w:eastAsia="仿宋_GB2312"/>
          <w:color w:val="000000"/>
          <w:sz w:val="32"/>
          <w:szCs w:val="32"/>
          <w:lang w:val="en-US" w:eastAsia="zh-CN"/>
        </w:rPr>
        <w:t>日期</w:t>
      </w:r>
      <w:r>
        <w:rPr>
          <w:rFonts w:ascii="Times New Roman" w:hAnsi="Times New Roman" w:cs="Times New Roman" w:eastAsia="仿宋_GB2312"/>
          <w:color w:val="000000"/>
          <w:sz w:val="32"/>
          <w:szCs w:val="32"/>
          <w:lang w:val="en-US" w:eastAsia="zh-CN"/>
        </w:rPr>
        <w:t>信息未标注在显著位置，不利于消费者辨识；</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标签未标注食品生产许可证编号、产品标准代号等强制标注的内容；</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产品标签上</w:t>
      </w:r>
      <w:r>
        <w:rPr>
          <w:rFonts w:ascii="Times New Roman" w:hAnsi="Times New Roman" w:cs="Times New Roman" w:eastAsia="仿宋_GB2312"/>
          <w:color w:val="000000"/>
          <w:sz w:val="32"/>
          <w:szCs w:val="32"/>
          <w:lang w:val="en-US" w:eastAsia="zh-CN"/>
        </w:rPr>
        <w:t>字号、颜色</w:t>
      </w:r>
      <w:r>
        <w:rPr>
          <w:rFonts w:ascii="Times New Roman" w:hAnsi="Times New Roman" w:cs="Times New Roman" w:eastAsia="仿宋_GB2312"/>
          <w:color w:val="000000"/>
          <w:sz w:val="32"/>
          <w:szCs w:val="32"/>
          <w:lang w:val="en-US" w:eastAsia="zh-CN"/>
        </w:rPr>
        <w:t>、字符高度</w:t>
      </w:r>
      <w:r>
        <w:rPr>
          <w:rFonts w:ascii="Times New Roman" w:hAnsi="Times New Roman" w:cs="Times New Roman" w:eastAsia="仿宋_GB2312"/>
          <w:color w:val="000000"/>
          <w:sz w:val="32"/>
          <w:szCs w:val="32"/>
          <w:lang w:val="en-US" w:eastAsia="zh-CN"/>
        </w:rPr>
        <w:t>等</w:t>
      </w:r>
      <w:r>
        <w:rPr>
          <w:rFonts w:ascii="Times New Roman" w:hAnsi="Times New Roman" w:cs="Times New Roman" w:eastAsia="仿宋_GB2312"/>
          <w:color w:val="000000"/>
          <w:sz w:val="32"/>
          <w:szCs w:val="32"/>
          <w:lang w:val="en-US" w:eastAsia="zh-CN"/>
        </w:rPr>
        <w:t>不符合规定</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6.</w:t>
      </w:r>
      <w:r>
        <w:rPr>
          <w:rFonts w:ascii="Times New Roman" w:hAnsi="Times New Roman" w:cs="Times New Roman" w:eastAsia="仿宋_GB2312"/>
          <w:color w:val="000000"/>
          <w:sz w:val="32"/>
          <w:szCs w:val="32"/>
          <w:lang w:val="en-US" w:eastAsia="zh-CN"/>
        </w:rPr>
        <w:t>营养声称和营养成分功能声称（如</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高钙</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低脂</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低</w:t>
      </w:r>
      <w:r>
        <w:rPr>
          <w:rFonts w:ascii="Times New Roman" w:hAnsi="Times New Roman" w:cs="Times New Roman" w:eastAsia="仿宋_GB2312"/>
          <w:color w:val="000000"/>
          <w:sz w:val="32"/>
          <w:szCs w:val="32"/>
          <w:lang w:val="en-US" w:eastAsia="zh-CN"/>
        </w:rPr>
        <w:t>糖</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）不符合标准规定的条件和要求；</w:t>
      </w:r>
      <w:r>
        <w:rPr>
          <w:rFonts w:eastAsia="仿宋_GB2312" w:cs="Times New Roman" w:ascii="Times New Roman" w:hAnsi="Times New Roman"/>
          <w:color w:val="000000"/>
          <w:sz w:val="32"/>
          <w:szCs w:val="32"/>
          <w:lang w:val="en-US" w:eastAsia="zh-CN"/>
        </w:rPr>
        <w:t>7.</w:t>
      </w:r>
      <w:r>
        <w:rPr>
          <w:rFonts w:ascii="Times New Roman" w:hAnsi="Times New Roman" w:cs="Times New Roman" w:eastAsia="仿宋_GB2312"/>
          <w:color w:val="000000"/>
          <w:sz w:val="32"/>
          <w:szCs w:val="32"/>
          <w:lang w:val="en-US" w:eastAsia="zh-CN"/>
        </w:rPr>
        <w:t>在食品标签、食品说明书上特别强调添加、含有一种或多种有价值、有特性的配料、成分时未标示所强调配料、成分的添加量或含量；</w:t>
      </w:r>
      <w:r>
        <w:rPr>
          <w:rFonts w:eastAsia="仿宋_GB2312" w:cs="Times New Roman" w:ascii="Times New Roman" w:hAnsi="Times New Roman"/>
          <w:color w:val="000000"/>
          <w:sz w:val="32"/>
          <w:szCs w:val="32"/>
          <w:lang w:val="en-US" w:eastAsia="zh-CN"/>
        </w:rPr>
        <w:t>8.</w:t>
      </w:r>
      <w:r>
        <w:rPr>
          <w:rFonts w:ascii="Times New Roman" w:hAnsi="Times New Roman" w:cs="Times New Roman" w:eastAsia="仿宋_GB2312"/>
          <w:color w:val="000000"/>
          <w:sz w:val="32"/>
          <w:szCs w:val="32"/>
          <w:lang w:val="en-US" w:eastAsia="zh-CN"/>
        </w:rPr>
        <w:t>标识存在虚假宣传、暗示功效等违法违规情形，如普通食品在食品标识中声称具有保健功能；</w:t>
      </w:r>
      <w:r>
        <w:rPr>
          <w:rFonts w:eastAsia="仿宋_GB2312" w:cs="Times New Roman" w:ascii="Times New Roman" w:hAnsi="Times New Roman"/>
          <w:color w:val="000000"/>
          <w:sz w:val="32"/>
          <w:szCs w:val="32"/>
          <w:lang w:val="en-US" w:eastAsia="zh-CN"/>
        </w:rPr>
        <w:t>9.</w:t>
      </w:r>
      <w:r>
        <w:rPr>
          <w:rFonts w:ascii="Times New Roman" w:hAnsi="Times New Roman" w:cs="Times New Roman" w:eastAsia="仿宋_GB2312"/>
          <w:color w:val="000000"/>
          <w:sz w:val="32"/>
          <w:szCs w:val="32"/>
          <w:lang w:val="en-US" w:eastAsia="zh-CN"/>
        </w:rPr>
        <w:t>食品添加剂标签未标注使用范围、用量、使用方法，未在标签上载明</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食品添加剂</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字样；</w:t>
      </w:r>
      <w:r>
        <w:rPr>
          <w:rFonts w:eastAsia="仿宋_GB2312" w:cs="Times New Roman" w:ascii="Times New Roman" w:hAnsi="Times New Roman"/>
          <w:color w:val="000000"/>
          <w:sz w:val="32"/>
          <w:szCs w:val="32"/>
          <w:lang w:val="en-US" w:eastAsia="zh-CN"/>
        </w:rPr>
        <w:t>10.</w:t>
      </w:r>
      <w:r>
        <w:rPr>
          <w:rFonts w:ascii="Times New Roman" w:hAnsi="Times New Roman" w:cs="Times New Roman" w:eastAsia="仿宋_GB2312"/>
          <w:color w:val="000000"/>
          <w:sz w:val="32"/>
          <w:szCs w:val="32"/>
          <w:lang w:val="en-US" w:eastAsia="zh-CN"/>
        </w:rPr>
        <w:t>保健食品标签与注册或者备案的标签、说明书</w:t>
      </w:r>
      <w:r>
        <w:rPr>
          <w:rFonts w:ascii="Times New Roman" w:hAnsi="Times New Roman" w:cs="Times New Roman" w:eastAsia="仿宋_GB2312"/>
          <w:color w:val="000000"/>
          <w:sz w:val="32"/>
          <w:szCs w:val="32"/>
          <w:lang w:val="en-US" w:eastAsia="zh-CN"/>
        </w:rPr>
        <w:t>不</w:t>
      </w:r>
      <w:r>
        <w:rPr>
          <w:rFonts w:ascii="Times New Roman" w:hAnsi="Times New Roman" w:cs="Times New Roman" w:eastAsia="仿宋_GB2312"/>
          <w:color w:val="000000"/>
          <w:sz w:val="32"/>
          <w:szCs w:val="32"/>
          <w:lang w:val="en-US" w:eastAsia="zh-CN"/>
        </w:rPr>
        <w:t>一致，标签含有虚假内容，夸大保健功能未按规定标注警示语、未明确标注适宜人群、不适宜人群</w:t>
      </w:r>
      <w:r>
        <w:rPr>
          <w:rFonts w:ascii="Times New Roman" w:hAnsi="Times New Roman" w:cs="Times New Roman" w:eastAsia="仿宋_GB2312"/>
          <w:color w:val="000000"/>
          <w:sz w:val="32"/>
          <w:szCs w:val="32"/>
          <w:lang w:val="en-US" w:eastAsia="zh-CN"/>
        </w:rPr>
        <w:t>等违规情形</w:t>
      </w:r>
      <w:r>
        <w:rPr>
          <w:rFonts w:ascii="Times New Roman" w:hAnsi="Times New Roman" w:cs="Times New Roman" w:eastAsia="仿宋_GB2312"/>
          <w:color w:val="000000"/>
          <w:sz w:val="32"/>
          <w:szCs w:val="32"/>
          <w:lang w:val="en-US" w:eastAsia="zh-CN"/>
        </w:rPr>
        <w:t>。</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color w:val="000000"/>
          <w:sz w:val="32"/>
          <w:szCs w:val="32"/>
          <w:lang w:val="en-US" w:eastAsia="zh-CN"/>
        </w:rPr>
        <w:t>应对：</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预包装食品标签应当标注反映食品真实属性的名称，不得欺骗、误导消费者。存在下列情形的，食品名称应当按照相应要求标注</w:t>
      </w:r>
      <w:r>
        <w:rPr>
          <w:rFonts w:ascii="Times New Roman" w:hAnsi="Times New Roman" w:cs="Times New Roman" w:eastAsia="仿宋_GB2312"/>
          <w:color w:val="000000"/>
          <w:sz w:val="32"/>
          <w:szCs w:val="32"/>
          <w:lang w:val="en-US" w:eastAsia="zh-CN"/>
        </w:rPr>
        <w:t>，如</w:t>
      </w:r>
      <w:r>
        <w:rPr>
          <w:rFonts w:ascii="Times New Roman" w:hAnsi="Times New Roman" w:cs="Times New Roman" w:eastAsia="仿宋_GB2312"/>
          <w:color w:val="000000"/>
          <w:sz w:val="32"/>
          <w:szCs w:val="32"/>
          <w:lang w:val="en-US" w:eastAsia="zh-CN"/>
        </w:rPr>
        <w:t>以植物源性食品原料制成的模拟动物源性食品，应当在名称中冠以</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仿</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素</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或者</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某植物</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等字样</w:t>
      </w:r>
      <w:r>
        <w:rPr>
          <w:rFonts w:ascii="Times New Roman" w:hAnsi="Times New Roman" w:cs="Times New Roman" w:eastAsia="仿宋_GB2312"/>
          <w:color w:val="000000"/>
          <w:sz w:val="32"/>
          <w:szCs w:val="32"/>
          <w:lang w:val="en-US" w:eastAsia="zh-CN"/>
        </w:rPr>
        <w:t>、</w:t>
      </w:r>
      <w:r>
        <w:rPr>
          <w:rFonts w:ascii="Times New Roman" w:hAnsi="Times New Roman" w:cs="Times New Roman" w:eastAsia="仿宋_GB2312"/>
          <w:color w:val="000000"/>
          <w:sz w:val="32"/>
          <w:szCs w:val="32"/>
          <w:lang w:val="en-US" w:eastAsia="zh-CN"/>
        </w:rPr>
        <w:t>食品中没有添加某种配料，仅使用食品用香精、香料调配出该配料风味的食品，且在食品名称中体现该配料风味的，应当在名称中冠以</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某味</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某风味</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等字样；</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各种配料应按制造或加工食品时加入量的递减顺序一一排列；加入量不超过</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的配料可以不按递减顺序排列</w:t>
      </w:r>
      <w:r>
        <w:rPr>
          <w:rFonts w:ascii="Times New Roman" w:hAnsi="Times New Roman" w:cs="Times New Roman" w:eastAsia="仿宋_GB2312"/>
          <w:color w:val="000000"/>
          <w:sz w:val="32"/>
          <w:szCs w:val="32"/>
          <w:lang w:val="en-US" w:eastAsia="zh-CN"/>
        </w:rPr>
        <w:t>，</w:t>
      </w:r>
      <w:r>
        <w:rPr>
          <w:rFonts w:ascii="Times New Roman" w:hAnsi="Times New Roman" w:cs="Times New Roman" w:eastAsia="仿宋_GB2312"/>
          <w:color w:val="000000"/>
          <w:sz w:val="32"/>
          <w:szCs w:val="32"/>
          <w:lang w:val="en-US" w:eastAsia="zh-CN"/>
        </w:rPr>
        <w:t>如果某种配料是由两种或两种以上的其他配料构成的复合配料（不包括复合食品添加剂），应在配料表中标示复合配料的名称，随后将复合配料的原始配料在括号内按加入量的递减顺序标示。当某种复合配料已有国家标准、行业标准或地方标准，且其加入量小于食品总量的</w:t>
      </w:r>
      <w:r>
        <w:rPr>
          <w:rFonts w:eastAsia="仿宋_GB2312" w:cs="Times New Roman" w:ascii="Times New Roman" w:hAnsi="Times New Roman"/>
          <w:color w:val="000000"/>
          <w:sz w:val="32"/>
          <w:szCs w:val="32"/>
          <w:lang w:val="en-US" w:eastAsia="zh-CN"/>
        </w:rPr>
        <w:t>25</w:t>
      </w:r>
      <w:r>
        <w:rPr>
          <w:rFonts w:ascii="Times New Roman" w:hAnsi="Times New Roman" w:cs="Times New Roman" w:eastAsia="仿宋_GB2312"/>
          <w:color w:val="000000"/>
          <w:sz w:val="32"/>
          <w:szCs w:val="32"/>
          <w:lang w:val="en-US" w:eastAsia="zh-CN"/>
        </w:rPr>
        <w:t>％时，不需要标示复合配料的原始配料；</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预包装食品的生产日期和保质期到期日应当在包装上设置独立区域具体标注，且标注的具体日期不易脱落。独立区域未设置在包装主要展示版面的，应当在主要展示版面上标注</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见包装物某部位</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字样，且清晰明显、描述准确，标注具体日期的部位应当易于查找；</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预包装食品的包装上应当有标签。标签应当标明下列事项：（一）名称、规格、净含量、生产日期；（二）成分或者配料表；（三）生产者的名称、地址、联系方式；（四）保质期；（五）产品标准代号；（六）贮存条件；（七）所使用的食品添加剂在国家标准中的通用名称；（八）生产许可证编号；（九）法律、法规或者食品安全标准规定应当标明的其他事项；</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预包装食品标签强制标示事项使用的文字应当为规范汉字</w:t>
      </w:r>
      <w:r>
        <w:rPr>
          <w:rFonts w:ascii="Times New Roman" w:hAnsi="Times New Roman" w:cs="Times New Roman" w:eastAsia="仿宋_GB2312"/>
          <w:color w:val="000000"/>
          <w:sz w:val="32"/>
          <w:szCs w:val="32"/>
          <w:lang w:val="en-US" w:eastAsia="zh-CN"/>
        </w:rPr>
        <w:t>，强制标示事项应当使用高度不小于</w:t>
      </w:r>
      <w:r>
        <w:rPr>
          <w:rFonts w:eastAsia="仿宋_GB2312" w:cs="Times New Roman" w:ascii="Times New Roman" w:hAnsi="Times New Roman"/>
          <w:color w:val="000000"/>
          <w:sz w:val="32"/>
          <w:szCs w:val="32"/>
          <w:lang w:val="en-US" w:eastAsia="zh-CN"/>
        </w:rPr>
        <w:t>1.8</w:t>
      </w:r>
      <w:r>
        <w:rPr>
          <w:rFonts w:ascii="Times New Roman" w:hAnsi="Times New Roman" w:cs="Times New Roman" w:eastAsia="仿宋_GB2312"/>
          <w:color w:val="000000"/>
          <w:sz w:val="32"/>
          <w:szCs w:val="32"/>
          <w:lang w:val="en-US" w:eastAsia="zh-CN"/>
        </w:rPr>
        <w:t>毫米的文字、符号、数字进行标注，且字体的高度与宽度比值应当不大于</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6.</w:t>
      </w:r>
      <w:r>
        <w:rPr>
          <w:rFonts w:ascii="Times New Roman" w:hAnsi="Times New Roman" w:cs="Times New Roman" w:eastAsia="仿宋_GB2312"/>
          <w:color w:val="000000"/>
          <w:sz w:val="32"/>
          <w:szCs w:val="32"/>
          <w:lang w:val="en-US" w:eastAsia="zh-CN"/>
        </w:rPr>
        <w:t>进行营养声称（</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高钙</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低脂</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低</w:t>
      </w:r>
      <w:r>
        <w:rPr>
          <w:rFonts w:ascii="Times New Roman" w:hAnsi="Times New Roman" w:cs="Times New Roman" w:eastAsia="仿宋_GB2312"/>
          <w:color w:val="000000"/>
          <w:sz w:val="32"/>
          <w:szCs w:val="32"/>
          <w:lang w:val="en-US" w:eastAsia="zh-CN"/>
        </w:rPr>
        <w:t>糖</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）和营养成分功能声称时，必须满足标准中规定的条件</w:t>
      </w:r>
      <w:r>
        <w:rPr>
          <w:rFonts w:ascii="Times New Roman" w:hAnsi="Times New Roman" w:cs="Times New Roman" w:eastAsia="仿宋_GB2312"/>
          <w:color w:val="000000"/>
          <w:sz w:val="32"/>
          <w:szCs w:val="32"/>
          <w:lang w:val="en-US" w:eastAsia="zh-CN"/>
        </w:rPr>
        <w:t>，如产品声称“低糖”，应符合标准中对低糖食品的界定，即每</w:t>
      </w:r>
      <w:r>
        <w:rPr>
          <w:rFonts w:eastAsia="仿宋_GB2312" w:cs="Times New Roman" w:ascii="Times New Roman" w:hAnsi="Times New Roman"/>
          <w:color w:val="000000"/>
          <w:sz w:val="32"/>
          <w:szCs w:val="32"/>
          <w:lang w:val="en-US" w:eastAsia="zh-CN"/>
        </w:rPr>
        <w:t>100</w:t>
      </w:r>
      <w:r>
        <w:rPr>
          <w:rFonts w:ascii="Times New Roman" w:hAnsi="Times New Roman" w:cs="Times New Roman" w:eastAsia="仿宋_GB2312"/>
          <w:color w:val="000000"/>
          <w:sz w:val="32"/>
          <w:szCs w:val="32"/>
          <w:lang w:val="en-US" w:eastAsia="zh-CN"/>
        </w:rPr>
        <w:t>克或</w:t>
      </w:r>
      <w:r>
        <w:rPr>
          <w:rFonts w:eastAsia="仿宋_GB2312" w:cs="Times New Roman" w:ascii="Times New Roman" w:hAnsi="Times New Roman"/>
          <w:color w:val="000000"/>
          <w:sz w:val="32"/>
          <w:szCs w:val="32"/>
          <w:lang w:val="en-US" w:eastAsia="zh-CN"/>
        </w:rPr>
        <w:t>100</w:t>
      </w:r>
      <w:r>
        <w:rPr>
          <w:rFonts w:ascii="Times New Roman" w:hAnsi="Times New Roman" w:cs="Times New Roman" w:eastAsia="仿宋_GB2312"/>
          <w:color w:val="000000"/>
          <w:sz w:val="32"/>
          <w:szCs w:val="32"/>
          <w:lang w:val="en-US" w:eastAsia="zh-CN"/>
        </w:rPr>
        <w:t>毫升中糖含量不超过</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克</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7.</w:t>
      </w:r>
      <w:r>
        <w:rPr>
          <w:rFonts w:ascii="Times New Roman" w:hAnsi="Times New Roman" w:cs="Times New Roman" w:eastAsia="仿宋_GB2312"/>
          <w:color w:val="000000"/>
          <w:sz w:val="32"/>
          <w:szCs w:val="32"/>
          <w:lang w:val="en-US" w:eastAsia="zh-CN"/>
        </w:rPr>
        <w:t>如果在食品标签或食品说明书上特别强调添加了或含有一种或多种有价值、有特性的配料或成分，应标示所强调配料或成分的添加量或在成品中的含量；</w:t>
      </w:r>
      <w:r>
        <w:rPr>
          <w:rFonts w:eastAsia="仿宋_GB2312" w:cs="Times New Roman" w:ascii="Times New Roman" w:hAnsi="Times New Roman"/>
          <w:color w:val="000000"/>
          <w:sz w:val="32"/>
          <w:szCs w:val="32"/>
          <w:lang w:val="en-US" w:eastAsia="zh-CN"/>
        </w:rPr>
        <w:t>8.</w:t>
      </w:r>
      <w:r>
        <w:rPr>
          <w:rFonts w:ascii="Times New Roman" w:hAnsi="Times New Roman" w:cs="Times New Roman" w:eastAsia="仿宋_GB2312"/>
          <w:color w:val="000000"/>
          <w:sz w:val="32"/>
          <w:szCs w:val="32"/>
          <w:lang w:val="en-US" w:eastAsia="zh-CN"/>
        </w:rPr>
        <w:t>标识存在虚假宣传、暗示功效等违法违规情形，如普通食品在食品标识中声称具有保健功能；</w:t>
      </w:r>
      <w:r>
        <w:rPr>
          <w:rFonts w:eastAsia="仿宋_GB2312" w:cs="Times New Roman" w:ascii="Times New Roman" w:hAnsi="Times New Roman"/>
          <w:color w:val="000000"/>
          <w:sz w:val="32"/>
          <w:szCs w:val="32"/>
          <w:lang w:val="en-US" w:eastAsia="zh-CN"/>
        </w:rPr>
        <w:t>9.</w:t>
      </w:r>
      <w:r>
        <w:rPr>
          <w:rFonts w:ascii="Times New Roman" w:hAnsi="Times New Roman" w:cs="Times New Roman" w:eastAsia="仿宋_GB2312"/>
          <w:color w:val="000000"/>
          <w:sz w:val="32"/>
          <w:szCs w:val="32"/>
          <w:lang w:val="en-US" w:eastAsia="zh-CN"/>
        </w:rPr>
        <w:t>食品标识不得标注下列内容：（一）涉及疾病预防、治疗功能；（二）以欺骗、误导、夸大等方式作虚假描述；（三）违背科学常识、有违公序良俗、宣扬封建迷信；（四）标称</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特供</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专供</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内供</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党政机关或者军队等；（五）法律、法规、规章和食品安全国家标准禁止标注的其他内容。保健食品之外的其他食品不得在食品标识中声称具有保健功能（功效）；</w:t>
      </w:r>
      <w:r>
        <w:rPr>
          <w:rFonts w:eastAsia="仿宋_GB2312" w:cs="Times New Roman" w:ascii="Times New Roman" w:hAnsi="Times New Roman"/>
          <w:color w:val="000000"/>
          <w:sz w:val="32"/>
          <w:szCs w:val="32"/>
          <w:lang w:val="en-US" w:eastAsia="zh-CN"/>
        </w:rPr>
        <w:t>10.</w:t>
      </w:r>
      <w:r>
        <w:rPr>
          <w:rFonts w:ascii="Times New Roman" w:hAnsi="Times New Roman" w:cs="Times New Roman" w:eastAsia="仿宋_GB2312"/>
          <w:color w:val="000000"/>
          <w:sz w:val="32"/>
          <w:szCs w:val="32"/>
          <w:lang w:val="en-US" w:eastAsia="zh-CN"/>
        </w:rPr>
        <w:t>保健食品的标签、说明书不得涉及疾病预防、治疗功能，内容应当真实，与注册或者备案的内容相一致，载明适宜人群、不适宜人群、功效成分或者标志性成分及其含量等，并声明</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本品不能代替药物</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。保健食品的功能和成分应当与标签、说明书相一致。</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（九）</w:t>
      </w:r>
      <w:r>
        <w:rPr>
          <w:rFonts w:ascii="楷体" w:hAnsi="楷体" w:cs="楷体" w:eastAsia="楷体"/>
          <w:color w:val="000000"/>
          <w:sz w:val="32"/>
          <w:szCs w:val="32"/>
          <w:lang w:val="en-US" w:eastAsia="zh-CN"/>
        </w:rPr>
        <w:t>检验与留样风险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风险点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企业检验室建设不足，未配备相应的设备、化学试剂和检验人员；</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检验仪器未按期检定或校准，检验人员操作不熟练；</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检验室管理制度不完善，检验数据记录不规范，</w:t>
      </w:r>
      <w:r>
        <w:rPr>
          <w:rFonts w:ascii="Times New Roman" w:hAnsi="Times New Roman" w:cs="Times New Roman" w:eastAsia="仿宋_GB2312"/>
          <w:color w:val="000000"/>
          <w:sz w:val="32"/>
          <w:szCs w:val="32"/>
          <w:lang w:val="en-US" w:eastAsia="zh-CN"/>
        </w:rPr>
        <w:t>篡改真实检验数据；</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检验项目</w:t>
      </w:r>
      <w:r>
        <w:rPr>
          <w:rFonts w:ascii="Times New Roman" w:hAnsi="Times New Roman" w:cs="Times New Roman" w:eastAsia="仿宋_GB2312"/>
          <w:color w:val="000000"/>
          <w:sz w:val="32"/>
          <w:szCs w:val="32"/>
          <w:lang w:val="en-US" w:eastAsia="zh-CN"/>
        </w:rPr>
        <w:t>不足或</w:t>
      </w:r>
      <w:r>
        <w:rPr>
          <w:rFonts w:ascii="Times New Roman" w:hAnsi="Times New Roman" w:cs="Times New Roman" w:eastAsia="仿宋_GB2312"/>
          <w:color w:val="000000"/>
          <w:sz w:val="32"/>
          <w:szCs w:val="32"/>
          <w:lang w:val="en-US" w:eastAsia="zh-CN"/>
        </w:rPr>
        <w:t>检验频次过低</w:t>
      </w:r>
      <w:r>
        <w:rPr>
          <w:rFonts w:ascii="Times New Roman" w:hAnsi="Times New Roman" w:cs="Times New Roman" w:eastAsia="仿宋_GB2312"/>
          <w:color w:val="000000"/>
          <w:sz w:val="32"/>
          <w:szCs w:val="32"/>
          <w:lang w:val="en-US" w:eastAsia="zh-CN"/>
        </w:rPr>
        <w:t>，</w:t>
      </w:r>
      <w:r>
        <w:rPr>
          <w:rFonts w:ascii="Times New Roman" w:hAnsi="Times New Roman" w:cs="Times New Roman" w:eastAsia="仿宋_GB2312"/>
          <w:color w:val="000000"/>
          <w:sz w:val="32"/>
          <w:szCs w:val="32"/>
          <w:lang w:val="en-US" w:eastAsia="zh-CN"/>
        </w:rPr>
        <w:t>无法有效控制产品质量</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企业自行检验的，未定期开展能力验证；</w:t>
      </w:r>
      <w:r>
        <w:rPr>
          <w:rFonts w:eastAsia="仿宋_GB2312" w:cs="Times New Roman" w:ascii="Times New Roman" w:hAnsi="Times New Roman"/>
          <w:color w:val="000000"/>
          <w:sz w:val="32"/>
          <w:szCs w:val="32"/>
          <w:lang w:val="en-US" w:eastAsia="zh-CN"/>
        </w:rPr>
        <w:t>6.</w:t>
      </w:r>
      <w:r>
        <w:rPr>
          <w:rFonts w:ascii="Times New Roman" w:hAnsi="Times New Roman" w:cs="Times New Roman" w:eastAsia="仿宋_GB2312"/>
          <w:color w:val="000000"/>
          <w:sz w:val="32"/>
          <w:szCs w:val="32"/>
          <w:lang w:val="en-US" w:eastAsia="zh-CN"/>
        </w:rPr>
        <w:t>委托的检验机构不具备相应资质，资质范围未涵盖所需检验项目；</w:t>
      </w:r>
      <w:r>
        <w:rPr>
          <w:rFonts w:eastAsia="仿宋_GB2312" w:cs="Times New Roman" w:ascii="Times New Roman" w:hAnsi="Times New Roman"/>
          <w:color w:val="000000"/>
          <w:sz w:val="32"/>
          <w:szCs w:val="32"/>
          <w:lang w:val="en-US" w:eastAsia="zh-CN"/>
        </w:rPr>
        <w:t>7.</w:t>
      </w:r>
      <w:r>
        <w:rPr>
          <w:rFonts w:ascii="Times New Roman" w:hAnsi="Times New Roman" w:cs="Times New Roman" w:eastAsia="仿宋_GB2312"/>
          <w:color w:val="000000"/>
          <w:sz w:val="32"/>
          <w:szCs w:val="32"/>
          <w:lang w:val="en-US" w:eastAsia="zh-CN"/>
        </w:rPr>
        <w:t>留样量不足，无法满足复检要求；</w:t>
      </w:r>
      <w:r>
        <w:rPr>
          <w:rFonts w:eastAsia="仿宋_GB2312" w:cs="Times New Roman" w:ascii="Times New Roman" w:hAnsi="Times New Roman"/>
          <w:color w:val="000000"/>
          <w:sz w:val="32"/>
          <w:szCs w:val="32"/>
          <w:lang w:val="en-US" w:eastAsia="zh-CN"/>
        </w:rPr>
        <w:t>8.</w:t>
      </w:r>
      <w:r>
        <w:rPr>
          <w:rFonts w:ascii="Times New Roman" w:hAnsi="Times New Roman" w:cs="Times New Roman" w:eastAsia="仿宋_GB2312"/>
          <w:color w:val="000000"/>
          <w:sz w:val="32"/>
          <w:szCs w:val="32"/>
          <w:lang w:val="en-US" w:eastAsia="zh-CN"/>
        </w:rPr>
        <w:t>留样存储条件不符合要求；</w:t>
      </w:r>
      <w:r>
        <w:rPr>
          <w:rFonts w:eastAsia="仿宋_GB2312" w:cs="Times New Roman" w:ascii="Times New Roman" w:hAnsi="Times New Roman"/>
          <w:color w:val="000000"/>
          <w:sz w:val="32"/>
          <w:szCs w:val="32"/>
          <w:lang w:val="en-US" w:eastAsia="zh-CN"/>
        </w:rPr>
        <w:t>9.</w:t>
      </w:r>
      <w:r>
        <w:rPr>
          <w:rFonts w:ascii="Times New Roman" w:hAnsi="Times New Roman" w:cs="Times New Roman" w:eastAsia="仿宋_GB2312"/>
          <w:color w:val="000000"/>
          <w:sz w:val="32"/>
          <w:szCs w:val="32"/>
          <w:lang w:val="en-US" w:eastAsia="zh-CN"/>
        </w:rPr>
        <w:t>未按规定时限保存留样并记录留样情况。</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应对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企业自检的，应具备与所检项目适配的检验室和检验能力，包括检验场地、设备、人员、试剂及合适的检验方法等；</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检验人员应具备相应岗位能力，严格按照国家强制性标准的检验方法或经过验证的国内外检验方法操作，检验仪器设备的精度应满足检验需要，依据要求定期进行检定或校准；</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企业应当依据相关法规标准和实际情况，不断完善检验室管理制度，要求检验人员如实填写检验数据、检验时间、检验人员等信息，确保记录真实、完整、可追溯；</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应综合考虑产品特性、工艺特点、原料控制情况等因素合理确定检验项目和检验频次、检验取样点，以验证生产过程中的控制措施有效实施。容易受生产过程影响而变化的检验项目的检验频次应不少于其他检验项目，如净含量、感官要求等；</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企业自行检验的，应定期开展能力验证，验证范围应覆盖企业所有的检验项目，验证不合格的应暂停出厂检验，及时进行整改，整改期间，出厂检验须委托具备资质的第三方实验室开展；</w:t>
      </w:r>
      <w:r>
        <w:rPr>
          <w:rFonts w:eastAsia="仿宋_GB2312" w:cs="Times New Roman" w:ascii="Times New Roman" w:hAnsi="Times New Roman"/>
          <w:color w:val="000000"/>
          <w:sz w:val="32"/>
          <w:szCs w:val="32"/>
          <w:lang w:val="en-US" w:eastAsia="zh-CN"/>
        </w:rPr>
        <w:t>6.</w:t>
      </w:r>
      <w:r>
        <w:rPr>
          <w:rFonts w:ascii="Times New Roman" w:hAnsi="Times New Roman" w:cs="Times New Roman" w:eastAsia="仿宋_GB2312"/>
          <w:color w:val="000000"/>
          <w:sz w:val="32"/>
          <w:szCs w:val="32"/>
          <w:lang w:val="en-US" w:eastAsia="zh-CN"/>
        </w:rPr>
        <w:t>企业委托检验时，需选择具备相应资质的食品检验机构且在资质认定范围内开展检验活动的食品检验机构进行检验；</w:t>
      </w:r>
      <w:r>
        <w:rPr>
          <w:rFonts w:eastAsia="仿宋_GB2312" w:cs="Times New Roman" w:ascii="Times New Roman" w:hAnsi="Times New Roman"/>
          <w:color w:val="000000"/>
          <w:sz w:val="32"/>
          <w:szCs w:val="32"/>
          <w:lang w:val="en-US" w:eastAsia="zh-CN"/>
        </w:rPr>
        <w:t>7.</w:t>
      </w:r>
      <w:r>
        <w:rPr>
          <w:rFonts w:ascii="Times New Roman" w:hAnsi="Times New Roman" w:cs="Times New Roman" w:eastAsia="仿宋_GB2312"/>
          <w:color w:val="000000"/>
          <w:sz w:val="32"/>
          <w:szCs w:val="32"/>
          <w:lang w:val="en-US" w:eastAsia="zh-CN"/>
        </w:rPr>
        <w:t>企业应建立产品留样制度，及时保留样品，留样应具有代表性，留样量应满足复检及其他必要检测的需求；</w:t>
      </w:r>
      <w:r>
        <w:rPr>
          <w:rFonts w:eastAsia="仿宋_GB2312" w:cs="Times New Roman" w:ascii="Times New Roman" w:hAnsi="Times New Roman"/>
          <w:color w:val="000000"/>
          <w:sz w:val="32"/>
          <w:szCs w:val="32"/>
          <w:lang w:val="en-US" w:eastAsia="zh-CN"/>
        </w:rPr>
        <w:t>8.</w:t>
      </w:r>
      <w:r>
        <w:rPr>
          <w:rFonts w:ascii="Times New Roman" w:hAnsi="Times New Roman" w:cs="Times New Roman" w:eastAsia="仿宋_GB2312"/>
          <w:color w:val="000000"/>
          <w:sz w:val="32"/>
          <w:szCs w:val="32"/>
          <w:lang w:val="en-US" w:eastAsia="zh-CN"/>
        </w:rPr>
        <w:t>按要求设立专门的留样区域，配备必要的留样设备，根据产品特性设置适宜的存储温度和湿度条件；</w:t>
      </w:r>
      <w:r>
        <w:rPr>
          <w:rFonts w:eastAsia="仿宋_GB2312" w:cs="Times New Roman" w:ascii="Times New Roman" w:hAnsi="Times New Roman"/>
          <w:color w:val="000000"/>
          <w:sz w:val="32"/>
          <w:szCs w:val="32"/>
          <w:lang w:val="en-US" w:eastAsia="zh-CN"/>
        </w:rPr>
        <w:t>9.</w:t>
      </w:r>
      <w:r>
        <w:rPr>
          <w:rFonts w:ascii="Times New Roman" w:hAnsi="Times New Roman" w:cs="Times New Roman" w:eastAsia="仿宋_GB2312"/>
          <w:color w:val="000000"/>
          <w:sz w:val="32"/>
          <w:szCs w:val="32"/>
          <w:lang w:val="en-US" w:eastAsia="zh-CN"/>
        </w:rPr>
        <w:t>应按规定保存留样，产品保质期少于</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年的，保存期限不得少于产品的保质期，产品保质期超过</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年的，保存期限不宜少于</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年，并留存相关记录。</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（十）</w:t>
      </w:r>
      <w:r>
        <w:rPr>
          <w:rFonts w:ascii="楷体" w:hAnsi="楷体" w:cs="楷体" w:eastAsia="楷体"/>
          <w:color w:val="000000"/>
          <w:sz w:val="32"/>
          <w:szCs w:val="32"/>
          <w:lang w:val="en-US" w:eastAsia="zh-CN"/>
        </w:rPr>
        <w:t>贮存运输与交付风险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风险点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eastAsia="仿宋_GB2312" w:cs="Times New Roman" w:ascii="Times New Roman" w:hAnsi="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在贮存过程中，仓库环境不符合要求，温度、湿度控制不当，通风不良</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成品与原料</w:t>
      </w:r>
      <w:r>
        <w:rPr>
          <w:rFonts w:ascii="Times New Roman" w:hAnsi="Times New Roman" w:cs="Times New Roman" w:eastAsia="仿宋_GB2312"/>
          <w:color w:val="000000"/>
          <w:sz w:val="32"/>
          <w:szCs w:val="32"/>
          <w:lang w:val="en-US" w:eastAsia="zh-CN"/>
        </w:rPr>
        <w:t>、</w:t>
      </w:r>
      <w:r>
        <w:rPr>
          <w:rFonts w:ascii="Times New Roman" w:hAnsi="Times New Roman" w:cs="Times New Roman" w:eastAsia="仿宋_GB2312"/>
          <w:color w:val="000000"/>
          <w:sz w:val="32"/>
          <w:szCs w:val="32"/>
          <w:lang w:val="en-US" w:eastAsia="zh-CN"/>
        </w:rPr>
        <w:t>半成品</w:t>
      </w:r>
      <w:r>
        <w:rPr>
          <w:rFonts w:ascii="Times New Roman" w:hAnsi="Times New Roman" w:cs="Times New Roman" w:eastAsia="仿宋_GB2312"/>
          <w:color w:val="000000"/>
          <w:sz w:val="32"/>
          <w:szCs w:val="32"/>
          <w:lang w:val="en-US" w:eastAsia="zh-CN"/>
        </w:rPr>
        <w:t>或不合格品</w:t>
      </w:r>
      <w:r>
        <w:rPr>
          <w:rFonts w:ascii="Times New Roman" w:hAnsi="Times New Roman" w:cs="Times New Roman" w:eastAsia="仿宋_GB2312"/>
          <w:color w:val="000000"/>
          <w:sz w:val="32"/>
          <w:szCs w:val="32"/>
          <w:lang w:val="en-US" w:eastAsia="zh-CN"/>
        </w:rPr>
        <w:t>混放</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运输车辆</w:t>
      </w:r>
      <w:r>
        <w:rPr>
          <w:rFonts w:ascii="Times New Roman" w:hAnsi="Times New Roman" w:cs="Times New Roman" w:eastAsia="仿宋_GB2312"/>
          <w:color w:val="000000"/>
          <w:sz w:val="32"/>
          <w:szCs w:val="32"/>
          <w:lang w:val="en-US" w:eastAsia="zh-CN"/>
        </w:rPr>
        <w:t>未清</w:t>
      </w:r>
      <w:r>
        <w:rPr>
          <w:rFonts w:ascii="Times New Roman" w:hAnsi="Times New Roman" w:cs="Times New Roman" w:eastAsia="仿宋_GB2312"/>
          <w:color w:val="000000"/>
          <w:sz w:val="32"/>
          <w:szCs w:val="32"/>
          <w:lang w:val="en-US" w:eastAsia="zh-CN"/>
        </w:rPr>
        <w:t>洁</w:t>
      </w:r>
      <w:r>
        <w:rPr>
          <w:rFonts w:ascii="Times New Roman" w:hAnsi="Times New Roman" w:cs="Times New Roman" w:eastAsia="仿宋_GB2312"/>
          <w:color w:val="000000"/>
          <w:sz w:val="32"/>
          <w:szCs w:val="32"/>
          <w:lang w:val="en-US" w:eastAsia="zh-CN"/>
        </w:rPr>
        <w:t>，运输过程中防护措施不足，污染损坏产品；</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未按规定开展重点液态食品道路散装运输工作；</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产品出厂记录</w:t>
      </w:r>
      <w:r>
        <w:rPr>
          <w:rFonts w:ascii="Times New Roman" w:hAnsi="Times New Roman" w:cs="Times New Roman" w:eastAsia="仿宋_GB2312"/>
          <w:color w:val="000000"/>
          <w:sz w:val="32"/>
          <w:szCs w:val="32"/>
          <w:lang w:val="en-US" w:eastAsia="zh-CN"/>
        </w:rPr>
        <w:t>不</w:t>
      </w:r>
      <w:r>
        <w:rPr>
          <w:rFonts w:ascii="Times New Roman" w:hAnsi="Times New Roman" w:cs="Times New Roman" w:eastAsia="仿宋_GB2312"/>
          <w:color w:val="000000"/>
          <w:sz w:val="32"/>
          <w:szCs w:val="32"/>
          <w:lang w:val="en-US" w:eastAsia="zh-CN"/>
        </w:rPr>
        <w:t>完善，交付后未保留可行的追溯凭证，如发货记录、运输单等，</w:t>
      </w:r>
      <w:r>
        <w:rPr>
          <w:rFonts w:ascii="Times New Roman" w:hAnsi="Times New Roman" w:cs="Times New Roman" w:eastAsia="仿宋_GB2312"/>
          <w:color w:val="000000"/>
          <w:sz w:val="32"/>
          <w:szCs w:val="32"/>
          <w:lang w:val="en-US" w:eastAsia="zh-CN"/>
        </w:rPr>
        <w:t>无法追溯。</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应对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eastAsia="仿宋_GB2312" w:cs="Times New Roman" w:ascii="Times New Roman" w:hAnsi="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应根据原料</w:t>
      </w:r>
      <w:r>
        <w:rPr>
          <w:rFonts w:ascii="Times New Roman" w:hAnsi="Times New Roman" w:cs="Times New Roman" w:eastAsia="仿宋_GB2312"/>
          <w:color w:val="000000"/>
          <w:sz w:val="32"/>
          <w:szCs w:val="32"/>
          <w:lang w:val="en-US" w:eastAsia="zh-CN"/>
        </w:rPr>
        <w:t>、成品、食品相关产品</w:t>
      </w:r>
      <w:r>
        <w:rPr>
          <w:rFonts w:ascii="Times New Roman" w:hAnsi="Times New Roman" w:cs="Times New Roman" w:eastAsia="仿宋_GB2312"/>
          <w:color w:val="000000"/>
          <w:sz w:val="32"/>
          <w:szCs w:val="32"/>
          <w:lang w:val="en-US" w:eastAsia="zh-CN"/>
        </w:rPr>
        <w:t>的特点选择合适的贮存设施，仓库应保持通风良好、干燥清洁，地面进行防潮处理，货架设置合理，隔墙离地分类存放；</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企业应建立和执行适当的仓储制度，专人管理，根据其实际情况与生产需要，在各存储区域设置清晰醒目的标识牌，标明区域用途、存储物品名称、检验状态、保质期、产品批号、入库日期等；</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贮存、运输和装卸食品、食品添加剂、食品相关产品的容器、工器具和设备应当安全、无害，保持清洁，降低食品污染的风险；</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国家对重点液态食品道路散装运输实行许可管理，食品生产经营者使用自有运输容器对其生产经营的重点液态食品进行道路散装运输的，无需取得准运许可，但运输容器、运输过程应符合有关法律法规的要求，发货方、承运方、收货方三方应严格执行运输联单管理工作；</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产品销售应有出厂记录，如实记录食品的名称、规格、数量、生产日期或者生产批号、检验合格证明、销售日期以及购货者名称、地址、联系方式等内容，留存发货记录、运输单。</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楷体" w:hAnsi="楷体" w:cs="楷体" w:eastAsia="楷体"/>
          <w:color w:val="000000"/>
          <w:sz w:val="32"/>
          <w:szCs w:val="32"/>
          <w:lang w:val="en-US" w:eastAsia="zh-CN"/>
        </w:rPr>
        <w:t>（十一）</w:t>
      </w:r>
      <w:r>
        <w:rPr>
          <w:rFonts w:ascii="楷体" w:hAnsi="楷体" w:cs="楷体" w:eastAsia="楷体"/>
          <w:color w:val="000000"/>
          <w:sz w:val="32"/>
          <w:szCs w:val="32"/>
          <w:lang w:val="en-US" w:eastAsia="zh-CN"/>
        </w:rPr>
        <w:t>委托生产风险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仿宋_GB2312" w:hAnsi="仿宋_GB2312" w:cs="仿宋_GB2312" w:eastAsia="仿宋_GB2312"/>
          <w:b/>
          <w:bCs/>
          <w:color w:val="000000"/>
          <w:sz w:val="32"/>
          <w:szCs w:val="32"/>
          <w:lang w:val="en-US" w:eastAsia="zh-CN"/>
        </w:rPr>
        <w:t>风险点</w:t>
      </w:r>
      <w:r>
        <w:rPr>
          <w:rFonts w:ascii="仿宋_GB2312" w:hAnsi="仿宋_GB2312" w:cs="仿宋_GB2312"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受托方不具备相应的食品生产许可；</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委托双方</w:t>
      </w:r>
      <w:r>
        <w:rPr>
          <w:rFonts w:ascii="Times New Roman" w:hAnsi="Times New Roman" w:cs="Times New Roman" w:eastAsia="仿宋_GB2312"/>
          <w:color w:val="000000"/>
          <w:sz w:val="32"/>
          <w:szCs w:val="32"/>
          <w:lang w:val="en-US" w:eastAsia="zh-CN"/>
        </w:rPr>
        <w:t>通过</w:t>
      </w:r>
      <w:r>
        <w:rPr>
          <w:rFonts w:ascii="Times New Roman" w:hAnsi="Times New Roman" w:cs="Times New Roman" w:eastAsia="仿宋_GB2312"/>
          <w:color w:val="000000"/>
          <w:sz w:val="32"/>
          <w:szCs w:val="32"/>
          <w:lang w:val="en-US" w:eastAsia="zh-CN"/>
        </w:rPr>
        <w:t>委托</w:t>
      </w:r>
      <w:r>
        <w:rPr>
          <w:rFonts w:ascii="Times New Roman" w:hAnsi="Times New Roman" w:cs="Times New Roman" w:eastAsia="仿宋_GB2312"/>
          <w:color w:val="000000"/>
          <w:sz w:val="32"/>
          <w:szCs w:val="32"/>
          <w:lang w:val="en-US" w:eastAsia="zh-CN"/>
        </w:rPr>
        <w:t>生产合同减轻自身食品安全责任</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委托方对受托方生产过程缺乏有效监督，无监督记录；</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委托生产的食品标签未清晰标注委托方、受托方的名称、地址、联系方式等信息。</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应对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委托方应核查受托方食品生产许可证原件，确认有效期及许可类别与委托产品一致，受托方应当依法取得食品生产许可，食品生产许可证副本载明的食品类别和品种明细应当包括受托生产的食品类别和品种，并具备相应的生产能力和食品安全保障能力；</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合同约定事项不得违反法律法规、食品安全标准等相关规定。委托双方不得通过订立的委托生产合同，或者假借订立商标许可合同、特许经营合同等方式，减轻或者免除自身依法应当承担的食品安全责任；</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委托方可以采取自行或者聘用第三方机构驻厂、巡查等形式对受托方的生产行为实施监督</w:t>
      </w:r>
      <w:r>
        <w:rPr>
          <w:rFonts w:ascii="Times New Roman" w:hAnsi="Times New Roman" w:cs="Times New Roman" w:eastAsia="仿宋_GB2312"/>
          <w:color w:val="000000"/>
          <w:sz w:val="32"/>
          <w:szCs w:val="32"/>
          <w:lang w:val="en-US" w:eastAsia="zh-CN"/>
        </w:rPr>
        <w:t>，</w:t>
      </w:r>
      <w:r>
        <w:rPr>
          <w:rFonts w:ascii="Times New Roman" w:hAnsi="Times New Roman" w:cs="Times New Roman" w:eastAsia="仿宋_GB2312"/>
          <w:color w:val="000000"/>
          <w:sz w:val="32"/>
          <w:szCs w:val="32"/>
          <w:lang w:val="en-US" w:eastAsia="zh-CN"/>
        </w:rPr>
        <w:t>委托方应当记录其对受托方生产行为进行监督的情况，相关记录由委托双方确认并分别留存；</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委托生产的预包装食品，其标签上应当在紧邻位置标注委托方的名称、地址、联系方式和受托方的名称、地址，在名称前冠以</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委托方、受托方</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或者</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委托单位、受托单位</w:t>
      </w:r>
      <w:r>
        <w:rPr>
          <w:rFonts w:ascii="Times New Roman" w:hAnsi="Times New Roman" w:cs="Times New Roman" w:eastAsia="Times New Roman"/>
          <w:color w:val="000000"/>
          <w:sz w:val="32"/>
          <w:szCs w:val="32"/>
          <w:lang w:val="en-US" w:eastAsia="zh-CN"/>
        </w:rPr>
        <w:t>”</w:t>
      </w:r>
      <w:r>
        <w:rPr>
          <w:rFonts w:ascii="Times New Roman" w:hAnsi="Times New Roman" w:cs="Times New Roman" w:eastAsia="仿宋_GB2312"/>
          <w:color w:val="000000"/>
          <w:sz w:val="32"/>
          <w:szCs w:val="32"/>
          <w:lang w:val="en-US" w:eastAsia="zh-CN"/>
        </w:rPr>
        <w:t>等字样。</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Times New Roman" w:hAnsi="Times New Roman" w:eastAsia="楷体" w:cs="Times New Roman"/>
          <w:color w:val="000000"/>
          <w:sz w:val="32"/>
          <w:szCs w:val="32"/>
          <w:lang w:val="en-US" w:eastAsia="zh-CN"/>
        </w:rPr>
      </w:pPr>
      <w:r>
        <w:rPr>
          <w:rFonts w:ascii="Times New Roman" w:hAnsi="Times New Roman" w:cs="Times New Roman" w:eastAsia="楷体"/>
          <w:color w:val="000000"/>
          <w:sz w:val="32"/>
          <w:szCs w:val="32"/>
          <w:lang w:val="en-US" w:eastAsia="zh-CN"/>
        </w:rPr>
        <w:t>（十二）不合格品管理与食品召回风险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风险点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未建立不合格品专区或标识不清，导致不合格品流入生产环节或出厂销售；</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企业对不合格品的判定、处置、记录不规范，未及时采取有效措施；</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企业未建立食品召回管理制度，制度内容不符合相关规定或难以执行；</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涉及食品安全问题的不合格品，未按照相关规定启动食品召回程序，或者召回计划、公告内容不完整、不准确，未向监管部门报告召回情况</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召回后的食品未依法采取无害化处理、销毁等措施，未记录处理结果，导致问题食品再次流入市场。</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应对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企业应当设立专门的不合格品存放区域，并设置醒目标识，与合格品及原辅料有效隔离，防止误用或混入生产流程；</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建立不合格品管理制度，明确判定标准、处置流程和记录要求，对不合格品进行分类统计和分析，及时查明原因并采取纠正措施，相关记录应完整、可追溯；</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企业应建立并实施食品召回管理制度，明确各部门在召回过程中的职责分工，制定清晰、简洁且高效的召回操作流程，并定期开展召回演练；</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食品生产企业发现其生产的食品不符合食品安全标准或者有证据证明可能危害人体健康的，应当立即停止生产经营，依法实施召回，确定召回等级，制定召回计划，向相关生产经营者发出召回通知，向社会发布召回公告，并向市场监督管理部门报告召回计划；</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对召回后的食品，应当依据风险评估结果，采取无害化处理或销毁等措施，防止二次流入市场。</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val="en-US" w:eastAsia="zh-CN"/>
        </w:rPr>
      </w:pPr>
      <w:r>
        <w:rPr>
          <w:rFonts w:ascii="Times New Roman" w:hAnsi="Times New Roman" w:cs="Times New Roman" w:eastAsia="楷体"/>
          <w:color w:val="000000"/>
          <w:sz w:val="32"/>
          <w:szCs w:val="32"/>
          <w:lang w:val="en-US" w:eastAsia="zh-CN"/>
        </w:rPr>
        <w:t>（十</w:t>
      </w:r>
      <w:r>
        <w:rPr>
          <w:rFonts w:ascii="Times New Roman" w:hAnsi="Times New Roman" w:cs="Times New Roman" w:eastAsia="楷体"/>
          <w:color w:val="000000"/>
          <w:sz w:val="32"/>
          <w:szCs w:val="32"/>
          <w:lang w:val="en-US" w:eastAsia="zh-CN"/>
        </w:rPr>
        <w:t>三</w:t>
      </w:r>
      <w:r>
        <w:rPr>
          <w:rFonts w:ascii="Times New Roman" w:hAnsi="Times New Roman" w:cs="Times New Roman" w:eastAsia="楷体"/>
          <w:color w:val="000000"/>
          <w:sz w:val="32"/>
          <w:szCs w:val="32"/>
          <w:lang w:val="en-US" w:eastAsia="zh-CN"/>
        </w:rPr>
        <w:t>）</w:t>
      </w:r>
      <w:r>
        <w:rPr>
          <w:rFonts w:ascii="楷体" w:hAnsi="楷体" w:cs="楷体" w:eastAsia="楷体"/>
          <w:color w:val="000000"/>
          <w:sz w:val="32"/>
          <w:szCs w:val="32"/>
          <w:lang w:val="en-US" w:eastAsia="zh-CN"/>
        </w:rPr>
        <w:t>食品安全自查与事故处置风险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风险点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企业未落实自查要求，建立食品安全自查制度，制定《食品安全风险管控清单》，建立健全日管控、周排查、月调度工作制度和机制；</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自查发现食品安全问题后，未及时评估风险、制定整改方案，或整改措施未落实到位、未形成闭环管理；</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未建立食品安全事故应急预案，或预案内容不符合实际，缺乏针对性和可操作性，未明确事故分级、处置机构及职责分工；</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发生食品安全事故或疑似事故时，未按规定程序立即采取控制措施，如停止生产销售、召回问题产品等；</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事故报告不及时、不规范，未在规定期限内向市场监管部门报告，或报告内容隐瞒、遗漏关键信息，影响行政处置和善后工作。</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应对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企业应依法建立食品安全自查制度，明确自查频次、内容和方法，制定符合企业实际的风险管控清单，并严格落实日管控、周排查、月调度机制，确保自查记录完整、真实；</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自查发现风险后，应立即组织评估并制定纠正措施，明确整改责任人与时限，跟踪验证整改效果，形成闭环管理记录；</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建立完善的食品安全事故应急预案，覆盖事故分级、应急指挥结构、各部门职责和处置流程，并定期组织开展模拟演练；</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发生食品安全事故时，应第一时间启动应急预案，封存相关原料、产品和设备，暂停相关产品的生产和销售，隔离问题产品，并依法配合后续处置；</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食品安全事故发生后，在</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小时内如实向所在地市场监督管理部门报告，报告内容应包含事故时间、地点、原因、波及范围及初步控制措施，不得漏报、瞒报或迟报，报告后持续跟踪事故进展，事故处理结束后提交总结报告。</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Times New Roman" w:hAnsi="Times New Roman" w:eastAsia="楷体" w:cs="Times New Roman"/>
          <w:color w:val="000000"/>
          <w:sz w:val="32"/>
          <w:szCs w:val="32"/>
          <w:lang w:val="en-US" w:eastAsia="zh-CN"/>
        </w:rPr>
      </w:pPr>
      <w:r>
        <w:rPr>
          <w:rFonts w:ascii="Times New Roman" w:hAnsi="Times New Roman" w:cs="Times New Roman" w:eastAsia="楷体"/>
          <w:color w:val="000000"/>
          <w:sz w:val="32"/>
          <w:szCs w:val="32"/>
          <w:lang w:val="en-US" w:eastAsia="zh-CN"/>
        </w:rPr>
        <w:t>（十四）记录和文件制度管理风险</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仿宋_GB2312"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风险点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记录制度不完善，记录不完整、不规范，没有对生产各环节详细记录确保可追溯性，如缺少原料采购、投料、检验、销售等关键环节记录；</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记录存在涂改、伪造或随意销毁现象，未按规定期限保存档案资料；</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企业未建立或未有效执行食品安全管理制度，制度内容与实际生产经营不符，流于形式；</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企业文件管理制度混乱，文件制定缺乏统一规划，长期未进行制度修订，内容存在矛盾、重复或不完整的情况；</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文件发布后，未有效控制版本，使用的文件版本不一致，法规标准更新后未及时调整内部文件。</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3"/>
        <w:jc w:val="both"/>
        <w:textAlignment w:val="auto"/>
        <w:rPr>
          <w:rFonts w:ascii="Times New Roman" w:hAnsi="Times New Roman" w:eastAsia="楷体" w:cs="Times New Roman"/>
          <w:color w:val="000000"/>
          <w:sz w:val="32"/>
          <w:szCs w:val="32"/>
          <w:lang w:val="en-US" w:eastAsia="zh-CN"/>
        </w:rPr>
      </w:pPr>
      <w:r>
        <w:rPr>
          <w:rFonts w:ascii="Times New Roman" w:hAnsi="Times New Roman" w:cs="Times New Roman" w:eastAsia="仿宋_GB2312"/>
          <w:b/>
          <w:bCs/>
          <w:color w:val="000000"/>
          <w:sz w:val="32"/>
          <w:szCs w:val="32"/>
          <w:lang w:val="en-US" w:eastAsia="zh-CN"/>
        </w:rPr>
        <w:t>应对</w:t>
      </w:r>
      <w:r>
        <w:rPr>
          <w:rFonts w:ascii="Times New Roman" w:hAnsi="Times New Roman" w:cs="Times New Roman" w:eastAsia="仿宋_GB2312"/>
          <w:color w:val="000000"/>
          <w:sz w:val="32"/>
          <w:szCs w:val="32"/>
          <w:lang w:val="en-US" w:eastAsia="zh-CN"/>
        </w:rPr>
        <w:t>：</w:t>
      </w:r>
      <w:r>
        <w:rPr>
          <w:rFonts w:eastAsia="仿宋_GB2312" w:cs="Times New Roman" w:ascii="Times New Roman" w:hAnsi="Times New Roman"/>
          <w:color w:val="000000"/>
          <w:sz w:val="32"/>
          <w:szCs w:val="32"/>
          <w:lang w:val="en-US" w:eastAsia="zh-CN"/>
        </w:rPr>
        <w:t>1.</w:t>
      </w:r>
      <w:r>
        <w:rPr>
          <w:rFonts w:ascii="Times New Roman" w:hAnsi="Times New Roman" w:cs="Times New Roman" w:eastAsia="仿宋_GB2312"/>
          <w:color w:val="000000"/>
          <w:sz w:val="32"/>
          <w:szCs w:val="32"/>
          <w:lang w:val="en-US" w:eastAsia="zh-CN"/>
        </w:rPr>
        <w:t>企业应对食品生产中采购、加工、贮存、检验、销售等环节详细记录。记录内容应完整、真实，确保对产品从原料采购到产品销售的所有环节都可进行有效追溯；</w:t>
      </w:r>
      <w:r>
        <w:rPr>
          <w:rFonts w:eastAsia="仿宋_GB2312" w:cs="Times New Roman" w:ascii="Times New Roman" w:hAnsi="Times New Roman"/>
          <w:color w:val="000000"/>
          <w:sz w:val="32"/>
          <w:szCs w:val="32"/>
          <w:lang w:val="en-US" w:eastAsia="zh-CN"/>
        </w:rPr>
        <w:t>2.</w:t>
      </w:r>
      <w:r>
        <w:rPr>
          <w:rFonts w:ascii="Times New Roman" w:hAnsi="Times New Roman" w:cs="Times New Roman" w:eastAsia="仿宋_GB2312"/>
          <w:color w:val="000000"/>
          <w:sz w:val="32"/>
          <w:szCs w:val="32"/>
          <w:lang w:val="en-US" w:eastAsia="zh-CN"/>
        </w:rPr>
        <w:t>企业应制定记录审核流程，明确规定相关记录填写后需经审核人员复核签名进行严格审查，要建立专门的记录档案管理库，记录妥善保管，便于随时查阅和追溯；</w:t>
      </w:r>
      <w:r>
        <w:rPr>
          <w:rFonts w:eastAsia="仿宋_GB2312" w:cs="Times New Roman" w:ascii="Times New Roman" w:hAnsi="Times New Roman"/>
          <w:color w:val="000000"/>
          <w:sz w:val="32"/>
          <w:szCs w:val="32"/>
          <w:lang w:val="en-US" w:eastAsia="zh-CN"/>
        </w:rPr>
        <w:t>3.</w:t>
      </w:r>
      <w:r>
        <w:rPr>
          <w:rFonts w:ascii="Times New Roman" w:hAnsi="Times New Roman" w:cs="Times New Roman" w:eastAsia="仿宋_GB2312"/>
          <w:color w:val="000000"/>
          <w:sz w:val="32"/>
          <w:szCs w:val="32"/>
          <w:lang w:val="en-US" w:eastAsia="zh-CN"/>
        </w:rPr>
        <w:t>企业应结合自身生产规模、生产工艺、产品种类、实际情况，对照现行法律法规和标准，系统梳理并制定完善食品安全管理制度，确保制度内容与实际生产经营活动一致有效防控食品安全风险；</w:t>
      </w:r>
      <w:r>
        <w:rPr>
          <w:rFonts w:eastAsia="仿宋_GB2312" w:cs="Times New Roman" w:ascii="Times New Roman" w:hAnsi="Times New Roman"/>
          <w:color w:val="000000"/>
          <w:sz w:val="32"/>
          <w:szCs w:val="32"/>
          <w:lang w:val="en-US" w:eastAsia="zh-CN"/>
        </w:rPr>
        <w:t>4.</w:t>
      </w:r>
      <w:r>
        <w:rPr>
          <w:rFonts w:ascii="Times New Roman" w:hAnsi="Times New Roman" w:cs="Times New Roman" w:eastAsia="仿宋_GB2312"/>
          <w:color w:val="000000"/>
          <w:sz w:val="32"/>
          <w:szCs w:val="32"/>
          <w:lang w:val="en-US" w:eastAsia="zh-CN"/>
        </w:rPr>
        <w:t>企业应建立全面的文件管理制度，明确文件的制定、审核、批准、发布、修订、废止等流程，统一文件编写规则与格式要求，对现行文件进行梳理，建立《受控文件清单》；</w:t>
      </w:r>
      <w:r>
        <w:rPr>
          <w:rFonts w:eastAsia="仿宋_GB2312" w:cs="Times New Roman" w:ascii="Times New Roman" w:hAnsi="Times New Roman"/>
          <w:color w:val="000000"/>
          <w:sz w:val="32"/>
          <w:szCs w:val="32"/>
          <w:lang w:val="en-US" w:eastAsia="zh-CN"/>
        </w:rPr>
        <w:t>5.</w:t>
      </w:r>
      <w:r>
        <w:rPr>
          <w:rFonts w:ascii="Times New Roman" w:hAnsi="Times New Roman" w:cs="Times New Roman" w:eastAsia="仿宋_GB2312"/>
          <w:color w:val="000000"/>
          <w:sz w:val="32"/>
          <w:szCs w:val="32"/>
          <w:lang w:val="en-US" w:eastAsia="zh-CN"/>
        </w:rPr>
        <w:t>实行文件版本统一管理，发布修订文件时同步作废旧版，当法规标准更新、生产工艺调整、组织架构变化时，及时对文件进行修订，确保与外部要求保持同步。</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黑体" w:hAnsi="黑体" w:eastAsia="黑体" w:cs="黑体"/>
          <w:color w:val="000000"/>
          <w:sz w:val="32"/>
          <w:szCs w:val="32"/>
          <w:lang w:eastAsia="zh-CN"/>
        </w:rPr>
      </w:pPr>
      <w:r>
        <w:rPr>
          <w:rFonts w:ascii="黑体" w:hAnsi="黑体" w:cs="黑体" w:eastAsia="黑体"/>
          <w:color w:val="000000"/>
          <w:sz w:val="32"/>
          <w:szCs w:val="32"/>
          <w:lang w:eastAsia="zh-CN"/>
        </w:rPr>
        <w:t>四、企业合规运行与保障</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eastAsia="zh-CN"/>
        </w:rPr>
      </w:pPr>
      <w:r>
        <w:rPr>
          <w:rFonts w:ascii="楷体" w:hAnsi="楷体" w:cs="楷体" w:eastAsia="楷体"/>
          <w:color w:val="000000"/>
          <w:sz w:val="32"/>
          <w:szCs w:val="32"/>
          <w:lang w:eastAsia="zh-CN"/>
        </w:rPr>
        <w:t>（一）合规风险识别预警管理</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Times New Roman" w:hAnsi="Times New Roman" w:eastAsia="仿宋_GB2312" w:cs="Times New Roman"/>
          <w:color w:val="000000"/>
          <w:sz w:val="32"/>
          <w:szCs w:val="32"/>
          <w:lang w:eastAsia="zh-CN"/>
        </w:rPr>
      </w:pPr>
      <w:r>
        <w:rPr>
          <w:rFonts w:eastAsia="仿宋_GB2312" w:cs="Times New Roman" w:ascii="Times New Roman" w:hAnsi="Times New Roman"/>
          <w:color w:val="000000"/>
          <w:sz w:val="32"/>
          <w:szCs w:val="32"/>
          <w:lang w:eastAsia="zh-CN"/>
        </w:rPr>
        <w:t>1.</w:t>
      </w:r>
      <w:r>
        <w:rPr>
          <w:rFonts w:ascii="Times New Roman" w:hAnsi="Times New Roman" w:cs="Times New Roman" w:eastAsia="仿宋_GB2312"/>
          <w:color w:val="000000"/>
          <w:sz w:val="32"/>
          <w:szCs w:val="32"/>
          <w:lang w:eastAsia="zh-CN"/>
        </w:rPr>
        <w:t>合规风险识别</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Times New Roman" w:hAnsi="Times New Roman" w:eastAsia="仿宋_GB2312" w:cs="Times New Roman"/>
          <w:color w:val="000000"/>
          <w:sz w:val="32"/>
          <w:szCs w:val="32"/>
          <w:lang w:eastAsia="zh-CN"/>
        </w:rPr>
      </w:pPr>
      <w:r>
        <w:rPr>
          <w:rFonts w:ascii="Times New Roman" w:hAnsi="Times New Roman" w:cs="Times New Roman" w:eastAsia="仿宋_GB2312"/>
          <w:color w:val="000000"/>
          <w:sz w:val="32"/>
          <w:szCs w:val="32"/>
          <w:lang w:eastAsia="zh-CN"/>
        </w:rPr>
        <w:t>系统、持续识别与食品生产活动相关的合规风险，覆盖法律法规、行政许可与资质、食品安全标准、相关方要求、企业内部制度等类别。建立合规风险清单或数据库，明确各项义务的来源依据、适用范围及责任岗位，定期评审并动态更新。</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Times New Roman" w:hAnsi="Times New Roman" w:eastAsia="仿宋_GB2312" w:cs="Times New Roman"/>
          <w:color w:val="000000"/>
          <w:sz w:val="32"/>
          <w:szCs w:val="32"/>
          <w:lang w:eastAsia="zh-CN"/>
        </w:rPr>
      </w:pPr>
      <w:r>
        <w:rPr>
          <w:rFonts w:eastAsia="仿宋_GB2312" w:cs="Times New Roman" w:ascii="Times New Roman" w:hAnsi="Times New Roman"/>
          <w:color w:val="000000"/>
          <w:sz w:val="32"/>
          <w:szCs w:val="32"/>
          <w:lang w:eastAsia="zh-CN"/>
        </w:rPr>
        <w:t>2</w:t>
      </w:r>
      <w:r>
        <w:rPr>
          <w:rFonts w:eastAsia="仿宋_GB2312" w:cs="Times New Roman" w:ascii="Times New Roman" w:hAnsi="Times New Roman"/>
          <w:color w:val="000000"/>
          <w:sz w:val="32"/>
          <w:szCs w:val="32"/>
          <w:lang w:val="en-US" w:eastAsia="zh-CN"/>
        </w:rPr>
        <w:t>.</w:t>
      </w:r>
      <w:r>
        <w:rPr>
          <w:rFonts w:ascii="Times New Roman" w:hAnsi="Times New Roman" w:cs="Times New Roman" w:eastAsia="仿宋_GB2312"/>
          <w:color w:val="000000"/>
          <w:sz w:val="32"/>
          <w:szCs w:val="32"/>
          <w:lang w:eastAsia="zh-CN"/>
        </w:rPr>
        <w:t>合规风险分析与评价</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Times New Roman" w:hAnsi="Times New Roman" w:eastAsia="仿宋_GB2312" w:cs="Times New Roman"/>
          <w:color w:val="000000"/>
          <w:sz w:val="32"/>
          <w:szCs w:val="32"/>
          <w:lang w:eastAsia="zh-CN"/>
        </w:rPr>
      </w:pPr>
      <w:r>
        <w:rPr>
          <w:rFonts w:ascii="Times New Roman" w:hAnsi="Times New Roman" w:cs="Times New Roman" w:eastAsia="仿宋_GB2312"/>
          <w:color w:val="000000"/>
          <w:sz w:val="32"/>
          <w:szCs w:val="32"/>
          <w:lang w:eastAsia="zh-CN"/>
        </w:rPr>
        <w:t>将合规义务与生产活动、产品及运行过程相结合，系统识别各环节潜在的合规风险。对风险发生的可能性与影响程度进行分析评价，确定风险等级和优先序。建立长效机制，明确分析频次、方法及责任主体；外部环境或内部条件发生重大变化时，及时启动专项评估。</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eastAsia="仿宋_GB2312" w:cs="Times New Roman" w:ascii="Times New Roman" w:hAnsi="Times New Roman"/>
          <w:color w:val="000000"/>
          <w:sz w:val="32"/>
          <w:szCs w:val="32"/>
          <w:lang w:eastAsia="zh-CN"/>
        </w:rPr>
        <w:t>3</w:t>
      </w:r>
      <w:r>
        <w:rPr>
          <w:rFonts w:eastAsia="仿宋_GB2312" w:cs="Times New Roman" w:ascii="Times New Roman" w:hAnsi="Times New Roman"/>
          <w:color w:val="000000"/>
          <w:sz w:val="32"/>
          <w:szCs w:val="32"/>
          <w:lang w:val="en-US" w:eastAsia="zh-CN"/>
        </w:rPr>
        <w:t>.</w:t>
      </w:r>
      <w:r>
        <w:rPr>
          <w:rFonts w:ascii="仿宋_GB2312" w:hAnsi="仿宋_GB2312" w:cs="仿宋_GB2312" w:eastAsia="仿宋_GB2312"/>
          <w:color w:val="000000"/>
          <w:sz w:val="32"/>
          <w:szCs w:val="32"/>
          <w:lang w:eastAsia="zh-CN"/>
        </w:rPr>
        <w:t>合规风险应对与控制措施</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根据产品类别和生产特点，识别并确定重点合规风险环节，将控制措施纳入相应管理制度与操作规范。定期评估控制措施的实施效果，结合内外部变化及时调整完善。</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各业务部门按岗位职责开展合规自查，及时发现并纠正不合规行为，留存检查记录。企业定期开展全面合规审查，评估体系运行情况，识别系统性风险与改进需求。</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针对不同风险等级选择适宜的控制措施，确保措施具有预防性和有效性。</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eastAsia="zh-CN"/>
        </w:rPr>
      </w:pPr>
      <w:r>
        <w:rPr>
          <w:rFonts w:ascii="楷体" w:hAnsi="楷体" w:cs="楷体" w:eastAsia="楷体"/>
          <w:color w:val="000000"/>
          <w:sz w:val="32"/>
          <w:szCs w:val="32"/>
          <w:lang w:eastAsia="zh-CN"/>
        </w:rPr>
        <w:t>（二）疑虑报告与举报</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建立便捷、安全的内部疑虑报告与举报渠道，鼓励员工和利益相关方主动报告潜在的合规问题或违规行为。举报渠道应保持独立性和保密性，确保举报人信息不被泄露。设立专人负责受理和跟进举报事项，对每项举报进行登记、分类、调查和处理。对经核实属实的举报，依照规定给予举报人适当奖励或保护。同时，建立内部吹哨人保护机制，明确保护措施。定期总结举报情况，分析合规风险趋势，为管理改进提供依据。</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eastAsia="zh-CN"/>
        </w:rPr>
      </w:pPr>
      <w:r>
        <w:rPr>
          <w:rFonts w:ascii="楷体" w:hAnsi="楷体" w:cs="楷体" w:eastAsia="楷体"/>
          <w:color w:val="000000"/>
          <w:sz w:val="32"/>
          <w:szCs w:val="32"/>
          <w:lang w:eastAsia="zh-CN"/>
        </w:rPr>
        <w:t>（三）不合规事件调查与处理</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调查过程应充分收集相关证据，包括书面记录、电子数据、人员访谈等。调查结束后出具调查报告，查明事件原因、责任主体和影响范围，提出处理建议和纠正预防措施。对确认的违规行为，依据企业规章制度严肃追责。强化整改跟踪与闭环管理，明确整改措施、完成时限和验收标准，由合规管理部门定期检查整改落实情况，直至问题彻底解决。同时，将调查结果纳入合规培训案例，举一反三，防止类似事件再次发生。</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eastAsia="zh-CN"/>
        </w:rPr>
      </w:pPr>
      <w:r>
        <w:rPr>
          <w:rFonts w:ascii="楷体" w:hAnsi="楷体" w:cs="楷体" w:eastAsia="楷体"/>
          <w:color w:val="000000"/>
          <w:sz w:val="32"/>
          <w:szCs w:val="32"/>
          <w:lang w:eastAsia="zh-CN"/>
        </w:rPr>
        <w:t>（四）合规报告机制</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建立分级分类合规报告机制，明确报告对象、频率及形式，确保信息传递及时、准确。合规报告一般可分为：</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定期报告：按季度向管理层、按年度向决策层报告合规运行情况；</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风险事件报告：识别到重大合规风险事件、系统性管理缺陷或潜在重大风险时，及时向管理层报告；</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外部报告：依法向监管部门报送相关信息；</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合规报告内容宜覆盖：供应链合规风险状况；生产过程合规关键点监控数据与偏差处理；产品检验、不合格品处理及召回实施情况；外部检查、投诉举报及食品安全事件应对；合规制度的执行与更新情况；合规文化建设及合规意识情况；员工合规行为反馈等。</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楷体" w:hAnsi="楷体" w:eastAsia="楷体" w:cs="楷体"/>
          <w:color w:val="000000"/>
          <w:sz w:val="32"/>
          <w:szCs w:val="32"/>
          <w:lang w:eastAsia="zh-CN"/>
        </w:rPr>
      </w:pPr>
      <w:r>
        <w:rPr>
          <w:rFonts w:ascii="楷体" w:hAnsi="楷体" w:cs="楷体" w:eastAsia="楷体"/>
          <w:color w:val="000000"/>
          <w:sz w:val="32"/>
          <w:szCs w:val="32"/>
          <w:lang w:eastAsia="zh-CN"/>
        </w:rPr>
        <w:t>（五）保障机制</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eastAsia="仿宋_GB2312" w:cs="Times New Roman" w:ascii="Times New Roman" w:hAnsi="Times New Roman"/>
          <w:color w:val="000000"/>
          <w:sz w:val="32"/>
          <w:szCs w:val="32"/>
          <w:lang w:val="en-US" w:eastAsia="zh-CN"/>
        </w:rPr>
        <w:t>1</w:t>
      </w:r>
      <w:r>
        <w:rPr>
          <w:rFonts w:eastAsia="仿宋_GB2312" w:cs="Times New Roman" w:ascii="Times New Roman" w:hAnsi="Times New Roman"/>
          <w:color w:val="000000"/>
          <w:sz w:val="32"/>
          <w:szCs w:val="32"/>
          <w:lang w:val="en-US" w:eastAsia="zh-CN"/>
        </w:rPr>
        <w:t>.</w:t>
      </w:r>
      <w:r>
        <w:rPr>
          <w:rFonts w:ascii="仿宋_GB2312" w:hAnsi="仿宋_GB2312" w:cs="仿宋_GB2312" w:eastAsia="仿宋_GB2312"/>
          <w:color w:val="000000"/>
          <w:sz w:val="32"/>
          <w:szCs w:val="32"/>
          <w:lang w:eastAsia="zh-CN"/>
        </w:rPr>
        <w:t>资源保障</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企业应确保合规管理所需的人力、物力、财力及技术资源得到充分配置。在人力资源方面，应配备专职或兼职的合规管理人员，明确其职责与权限。在经费保障方面，企业应将合规管理工作经费纳入年度预算，专项用于合规培训、风险评估、内部审查、外部沟通及信息化建设等。在基础设施与技术方面，应提供必要的办公场所、检测设备、信息化系统等，支持合规数据的采集、分析、预警与报告等。企业应定期审核资源配置是否满足合规需求，并及时调整优化。</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eastAsia="仿宋_GB2312" w:cs="Times New Roman" w:ascii="Times New Roman" w:hAnsi="Times New Roman"/>
          <w:color w:val="000000"/>
          <w:sz w:val="32"/>
          <w:szCs w:val="32"/>
          <w:lang w:eastAsia="zh-CN"/>
        </w:rPr>
        <w:t>2</w:t>
      </w:r>
      <w:r>
        <w:rPr>
          <w:rFonts w:eastAsia="仿宋_GB2312" w:cs="Times New Roman" w:ascii="Times New Roman" w:hAnsi="Times New Roman"/>
          <w:color w:val="000000"/>
          <w:sz w:val="32"/>
          <w:szCs w:val="32"/>
          <w:lang w:val="en-US" w:eastAsia="zh-CN"/>
        </w:rPr>
        <w:t>.</w:t>
      </w:r>
      <w:r>
        <w:rPr>
          <w:rFonts w:ascii="仿宋_GB2312" w:hAnsi="仿宋_GB2312" w:cs="仿宋_GB2312" w:eastAsia="仿宋_GB2312"/>
          <w:color w:val="000000"/>
          <w:sz w:val="32"/>
          <w:szCs w:val="32"/>
          <w:lang w:eastAsia="zh-CN"/>
        </w:rPr>
        <w:t>能力与培训</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val="en-US" w:eastAsia="zh-CN"/>
        </w:rPr>
      </w:pPr>
      <w:r>
        <w:rPr>
          <w:rFonts w:ascii="仿宋_GB2312" w:hAnsi="仿宋_GB2312" w:cs="仿宋_GB2312" w:eastAsia="仿宋_GB2312"/>
          <w:color w:val="000000"/>
          <w:sz w:val="32"/>
          <w:szCs w:val="32"/>
          <w:lang w:eastAsia="zh-CN"/>
        </w:rPr>
        <w:t>企业应建立系统化的合规能力提升与培训机制，确保合规管理岗位人员及关键岗位员工具备必要的知识、技能与意识。在培训对象上，应覆盖管理层、执行层，根据不同岗位的合规风险特点，制定差异化培训计划。培训内容应包括合规制度、法规标准、风险识别与应对、操作规范、案例分析及合规文化等方面，培训形式可采取集中授课、线上学习、实操演练及模拟演练等多种方式。企业应保存培训记录，包括培训计划、签到表、考核结果及改进反馈等，并对培训效果进行定期评估与优化，确保培训的针对性与实效性。</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eastAsia="仿宋_GB2312" w:cs="Times New Roman" w:ascii="Times New Roman" w:hAnsi="Times New Roman"/>
          <w:color w:val="000000"/>
          <w:sz w:val="32"/>
          <w:szCs w:val="32"/>
          <w:lang w:eastAsia="zh-CN"/>
        </w:rPr>
        <w:t>3</w:t>
      </w:r>
      <w:r>
        <w:rPr>
          <w:rFonts w:eastAsia="仿宋_GB2312" w:cs="Times New Roman" w:ascii="Times New Roman" w:hAnsi="Times New Roman"/>
          <w:color w:val="000000"/>
          <w:sz w:val="32"/>
          <w:szCs w:val="32"/>
          <w:lang w:val="en-US" w:eastAsia="zh-CN"/>
        </w:rPr>
        <w:t>.</w:t>
      </w:r>
      <w:r>
        <w:rPr>
          <w:rFonts w:ascii="Times New Roman" w:hAnsi="Times New Roman" w:cs="Times New Roman" w:eastAsia="仿宋_GB2312"/>
          <w:color w:val="000000"/>
          <w:sz w:val="32"/>
          <w:szCs w:val="32"/>
          <w:lang w:eastAsia="zh-CN"/>
        </w:rPr>
        <w:t>合规</w:t>
      </w:r>
      <w:r>
        <w:rPr>
          <w:rFonts w:ascii="仿宋_GB2312" w:hAnsi="仿宋_GB2312" w:cs="仿宋_GB2312" w:eastAsia="仿宋_GB2312"/>
          <w:color w:val="000000"/>
          <w:sz w:val="32"/>
          <w:szCs w:val="32"/>
          <w:lang w:eastAsia="zh-CN"/>
        </w:rPr>
        <w:t>意识培养</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引导从事食品生产及相关活动的人员提升合规意识，重点关注食品生产合规方针；不符合食品生产合规要求可能导致的后果，包括对消费者健康的危害、组织的法律责任及声誉影响；提出合规疑虑或报告的方法和程序；工作岗位关注的合规风险及控制要求，以及所在岗位需履行的合规义务与合规方针的关系。</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eastAsia="楷体" w:cs="Times New Roman" w:ascii="Times New Roman" w:hAnsi="Times New Roman"/>
          <w:color w:val="000000"/>
          <w:sz w:val="32"/>
          <w:szCs w:val="32"/>
          <w:lang w:eastAsia="zh-CN"/>
        </w:rPr>
        <w:t>4</w:t>
      </w:r>
      <w:r>
        <w:rPr>
          <w:rFonts w:eastAsia="楷体" w:cs="Times New Roman" w:ascii="Times New Roman" w:hAnsi="Times New Roman"/>
          <w:color w:val="000000"/>
          <w:sz w:val="32"/>
          <w:szCs w:val="32"/>
          <w:lang w:val="en-US" w:eastAsia="zh-CN"/>
        </w:rPr>
        <w:t>.</w:t>
      </w:r>
      <w:r>
        <w:rPr>
          <w:rFonts w:ascii="仿宋_GB2312" w:hAnsi="仿宋_GB2312" w:cs="仿宋_GB2312" w:eastAsia="仿宋_GB2312"/>
          <w:color w:val="000000"/>
          <w:sz w:val="32"/>
          <w:szCs w:val="32"/>
          <w:lang w:eastAsia="zh-CN"/>
        </w:rPr>
        <w:t>沟通机制</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建立并保持有效的内外部沟通机制，确保食品生产合规相关信息及时、准确地传递和处理：</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内部沟通：建立适宜的内部沟通渠道，有效传达合规义务、预警合规风险、宣贯合规制度、明确员工行为要求，确保合规信息在各层级与部门间顺畅传递与响应；</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外部沟通：与监管部门、客户、供应商等相关方保持必要沟通，及时获取并响应合规文化、合规目标、合规义务履行情况等相关信息与反馈。</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黑体" w:hAnsi="黑体" w:eastAsia="黑体" w:cs="黑体"/>
          <w:color w:val="000000"/>
          <w:sz w:val="32"/>
          <w:szCs w:val="32"/>
          <w:lang w:eastAsia="zh-CN"/>
        </w:rPr>
      </w:pPr>
      <w:r>
        <w:rPr>
          <w:rFonts w:ascii="黑体" w:hAnsi="黑体" w:cs="黑体" w:eastAsia="黑体"/>
          <w:color w:val="000000"/>
          <w:sz w:val="32"/>
          <w:szCs w:val="32"/>
          <w:lang w:eastAsia="zh-CN"/>
        </w:rPr>
        <w:t>五、附则</w:t>
      </w:r>
    </w:p>
    <w:p>
      <w:pPr>
        <w:pStyle w:val="Normal"/>
        <w:keepNext w:val="false"/>
        <w:keepLines w:val="false"/>
        <w:pageBreakBefore w:val="false"/>
        <w:widowControl w:val="false"/>
        <w:numPr>
          <w:ilvl w:val="0"/>
          <w:numId w:val="0"/>
        </w:numPr>
        <w:suppressAutoHyphens w:val="true"/>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本指引由珠海市市场监督管理局负责解释，若法律法规、规章制度、标准有更新，则依据最新要求执行。</w:t>
      </w:r>
    </w:p>
    <w:p>
      <w:pPr>
        <w:pStyle w:val="Normal"/>
        <w:keepNext w:val="false"/>
        <w:keepLines w:val="false"/>
        <w:pageBreakBefore w:val="false"/>
        <w:widowControl w:val="false"/>
        <w:numPr>
          <w:ilvl w:val="0"/>
          <w:numId w:val="0"/>
        </w:numPr>
        <w:kinsoku w:val="true"/>
        <w:overflowPunct w:val="true"/>
        <w:autoSpaceDE w:val="true"/>
        <w:bidi w:val="0"/>
        <w:snapToGrid w:val="true"/>
        <w:spacing w:lineRule="exact" w:line="579"/>
        <w:ind w:left="0" w:firstLine="640"/>
        <w:jc w:val="both"/>
        <w:textAlignment w:val="auto"/>
        <w:rPr>
          <w:rFonts w:ascii="仿宋_GB2312" w:hAnsi="仿宋_GB2312" w:eastAsia="仿宋_GB2312" w:cs="仿宋_GB2312"/>
          <w:color w:val="000000"/>
          <w:sz w:val="32"/>
          <w:szCs w:val="32"/>
          <w:lang w:eastAsia="zh-CN"/>
        </w:rPr>
      </w:pPr>
      <w:r>
        <w:rPr>
          <w:rFonts w:ascii="仿宋_GB2312" w:hAnsi="仿宋_GB2312" w:cs="仿宋_GB2312" w:eastAsia="仿宋_GB2312"/>
          <w:color w:val="000000"/>
          <w:sz w:val="32"/>
          <w:szCs w:val="32"/>
          <w:lang w:eastAsia="zh-CN"/>
        </w:rPr>
        <w:t>本指引并非规范性文件，仅对食品生产企业行为合规作出推荐性指引，不具有强制性，鼓励食品生产企业参照执行。若与法律法规冲突，以法律法规为准。</w:t>
      </w:r>
    </w:p>
    <w:sectPr>
      <w:footerReference w:type="default" r:id="rId2"/>
      <w:type w:val="nextPage"/>
      <w:pgSz w:w="11906" w:h="16838"/>
      <w:pgMar w:left="1531" w:right="1531" w:gutter="0" w:header="0" w:top="2041" w:footer="1531" w:bottom="2041"/>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altName w:val="Times New Roman"/>
    <w:charset w:val="00"/>
    <w:family w:val="swiss"/>
    <w:pitch w:val="default"/>
  </w:font>
  <w:font w:name="Liberation Sans">
    <w:altName w:val="Arial"/>
    <w:charset w:val="00"/>
    <w:family w:val="swiss"/>
    <w:pitch w:val="default"/>
  </w:font>
  <w:font w:name="方正小标宋简体">
    <w:charset w:val="86"/>
    <w:family w:val="auto"/>
    <w:pitch w:val="default"/>
  </w:font>
  <w:font w:name="黑体">
    <w:charset w:val="86"/>
    <w:family w:val="auto"/>
    <w:pitch w:val="default"/>
  </w:font>
  <w:font w:name="楷体">
    <w:charset w:val="86"/>
    <w:family w:val="auto"/>
    <w:pitch w:val="default"/>
  </w:font>
  <w:font w:name="仿宋_GB2312">
    <w:charset w:val="86"/>
    <w:family w:val="auto"/>
    <w:pitch w:val="default"/>
  </w:font>
  <w:font w:name="Times New Roman">
    <w:charset w:val="00"/>
    <w:family w:val="roman"/>
    <w:pitch w:val="default"/>
  </w:font>
  <w:font w:name="宋体">
    <w:charset w:val="86"/>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rPr>
    </w:pPr>
    <w:r>
      <w:rPr>
        <w:sz w:val="18"/>
      </w:rPr>
    </w:r>
    <w:r>
      <mc:AlternateContent>
        <mc:Choice Requires="wps">
          <w:drawing>
            <wp:anchor behindDoc="1" distT="0" distB="0" distL="114935" distR="0" simplePos="0" locked="0" layoutInCell="0" allowOverlap="1" relativeHeight="30">
              <wp:simplePos x="0" y="0"/>
              <wp:positionH relativeFrom="margin">
                <wp:align>right</wp:align>
              </wp:positionH>
              <wp:positionV relativeFrom="paragraph">
                <wp:posOffset>635</wp:posOffset>
              </wp:positionV>
              <wp:extent cx="920115" cy="259080"/>
              <wp:effectExtent l="0" t="0" r="0" b="0"/>
              <wp:wrapNone/>
              <wp:docPr id="1" name="Frame1"/>
              <a:graphic xmlns:a="http://schemas.openxmlformats.org/drawingml/2006/main">
                <a:graphicData uri="http://schemas.microsoft.com/office/word/2010/wordprocessingShape">
                  <wps:wsp>
                    <wps:cNvSpPr txBox="1"/>
                    <wps:spPr>
                      <a:xfrm>
                        <a:off x="0" y="0"/>
                        <a:ext cx="920115" cy="259080"/>
                      </a:xfrm>
                      <a:prstGeom prst="rect"/>
                      <a:solidFill>
                        <a:srgbClr val="FFFFFF">
                          <a:alpha val="0"/>
                        </a:srgbClr>
                      </a:solidFill>
                    </wps:spPr>
                    <wps:txbx>
                      <w:txbxContent>
                        <w:p>
                          <w:pPr>
                            <w:pStyle w:val="Footer"/>
                            <w:rPr/>
                          </w:pPr>
                          <w:r>
                            <w:rPr>
                              <w:rFonts w:eastAsia="宋体" w:cs="宋体" w:ascii="宋体" w:hAnsi="宋体"/>
                              <w:sz w:val="28"/>
                              <w:szCs w:val="28"/>
                            </w:rPr>
                            <w:t>—</w:t>
                          </w:r>
                          <w:r>
                            <w:rPr>
                              <w:rFonts w:ascii="宋体" w:hAnsi="宋体" w:cs="宋体"/>
                              <w:sz w:val="28"/>
                              <w:szCs w:val="28"/>
                            </w:rPr>
                            <w:t>　</w:t>
                          </w:r>
                          <w:r>
                            <w:rPr>
                              <w:rFonts w:ascii="宋体" w:hAnsi="宋体" w:cs="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29</w:t>
                          </w:r>
                          <w:r>
                            <w:rPr>
                              <w:sz w:val="28"/>
                              <w:szCs w:val="28"/>
                              <w:rFonts w:eastAsia="宋体" w:cs="宋体" w:ascii="宋体" w:hAnsi="宋体"/>
                            </w:rPr>
                            <w:fldChar w:fldCharType="end"/>
                          </w:r>
                          <w:r>
                            <w:rPr>
                              <w:rFonts w:ascii="宋体" w:hAnsi="宋体" w:cs="宋体"/>
                              <w:sz w:val="28"/>
                              <w:szCs w:val="28"/>
                            </w:rPr>
                            <w:t>　—</w:t>
                          </w:r>
                        </w:p>
                      </w:txbxContent>
                    </wps:txbx>
                    <wps:bodyPr anchor="t" lIns="635" tIns="635" rIns="635" bIns="635">
                      <a:spAutoFit/>
                    </wps:bodyPr>
                  </wps:wsp>
                </a:graphicData>
              </a:graphic>
            </wp:anchor>
          </w:drawing>
        </mc:Choice>
        <mc:Fallback>
          <w:pict>
            <v:rect fillcolor="#FFFFFF" style="position:absolute;rotation:-0;width:72.45pt;height:20.4pt;mso-wrap-distance-left:9.05pt;mso-wrap-distance-right:0pt;mso-wrap-distance-top:0pt;mso-wrap-distance-bottom:0pt;margin-top:0pt;mso-position-vertical-relative:text;margin-left:369.75pt;mso-position-horizontal:outside;mso-position-horizontal-relative:margin">
              <v:fill opacity="0f"/>
              <v:textbox inset="0.000694444444444444in,0.000694444444444444in,0.000694444444444444in,0.000694444444444444in">
                <w:txbxContent>
                  <w:p>
                    <w:pPr>
                      <w:pStyle w:val="Footer"/>
                      <w:rPr/>
                    </w:pPr>
                    <w:r>
                      <w:rPr>
                        <w:rFonts w:eastAsia="宋体" w:cs="宋体" w:ascii="宋体" w:hAnsi="宋体"/>
                        <w:sz w:val="28"/>
                        <w:szCs w:val="28"/>
                      </w:rPr>
                      <w:t>—</w:t>
                    </w:r>
                    <w:r>
                      <w:rPr>
                        <w:rFonts w:ascii="宋体" w:hAnsi="宋体" w:cs="宋体"/>
                        <w:sz w:val="28"/>
                        <w:szCs w:val="28"/>
                      </w:rPr>
                      <w:t>　</w:t>
                    </w:r>
                    <w:r>
                      <w:rPr>
                        <w:rFonts w:ascii="宋体" w:hAnsi="宋体" w:cs="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29</w:t>
                    </w:r>
                    <w:r>
                      <w:rPr>
                        <w:sz w:val="28"/>
                        <w:szCs w:val="28"/>
                        <w:rFonts w:eastAsia="宋体" w:cs="宋体" w:ascii="宋体" w:hAnsi="宋体"/>
                      </w:rPr>
                      <w:fldChar w:fldCharType="end"/>
                    </w:r>
                    <w:r>
                      <w:rPr>
                        <w:rFonts w:ascii="宋体" w:hAnsi="宋体" w:cs="宋体"/>
                        <w:sz w:val="28"/>
                        <w:szCs w:val="28"/>
                      </w:rPr>
                      <w:t>　—</w:t>
                    </w:r>
                  </w:p>
                </w:txbxContent>
              </v:textbox>
              <w10:wrap type="none"/>
            </v:rect>
          </w:pict>
        </mc:Fallback>
      </mc:AlternateContent>
    </w:r>
  </w:p>
</w:ftr>
</file>

<file path=word/settings.xml><?xml version="1.0" encoding="utf-8"?>
<w:settings xmlns:w="http://schemas.openxmlformats.org/wordprocessingml/2006/main">
  <w:zoom w:percent="100"/>
  <w:displayBackgroundShape/>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jc w:val="both"/>
    </w:pPr>
    <w:rPr>
      <w:rFonts w:ascii="Calibri;Times New Roman" w:hAnsi="Calibri;Times New Roman" w:eastAsia="宋体" w:cs="Times New Roman"/>
      <w:color w:val="000000"/>
      <w:kern w:val="2"/>
      <w:sz w:val="21"/>
      <w:szCs w:val="24"/>
      <w:lang w:val="en-US" w:eastAsia="zh-CN" w:bidi="ar-SA"/>
    </w:rPr>
  </w:style>
  <w:style w:type="character" w:styleId="Style14">
    <w:name w:val="默认段落字体"/>
    <w:qFormat/>
    <w:rPr/>
  </w:style>
  <w:style w:type="character" w:styleId="1">
    <w:name w:val="默认段落字体1"/>
    <w:qFormat/>
    <w:rPr/>
  </w:style>
  <w:style w:type="paragraph" w:styleId="Heading">
    <w:name w:val="Heading"/>
    <w:basedOn w:val="Normal"/>
    <w:next w:val="TextBody"/>
    <w:qFormat/>
    <w:pPr>
      <w:keepNext w:val="true"/>
      <w:widowControl w:val="false"/>
      <w:suppressAutoHyphens w:val="true"/>
      <w:spacing w:before="240" w:after="120"/>
    </w:pPr>
    <w:rPr>
      <w:rFonts w:ascii="Liberation Sans;宋体" w:hAnsi="Liberation Sans;宋体" w:eastAsia="Noto Sans CJK SC Regular;宋体" w:cs="Noto Sans CJK SC Regular;宋体"/>
      <w:sz w:val="28"/>
      <w:szCs w:val="28"/>
      <w:lang w:bidi="ar-SA"/>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widowControl w:val="false"/>
      <w:suppressLineNumbers/>
      <w:suppressAutoHyphens w:val="true"/>
    </w:pPr>
    <w:rPr/>
  </w:style>
  <w:style w:type="paragraph" w:styleId="Style15">
    <w:name w:val="题注"/>
    <w:basedOn w:val="Normal"/>
    <w:qFormat/>
    <w:pPr>
      <w:widowControl w:val="false"/>
      <w:suppressLineNumbers/>
      <w:suppressAutoHyphens w:val="true"/>
      <w:spacing w:before="120" w:after="120"/>
    </w:pPr>
    <w:rPr>
      <w:i/>
      <w:iCs/>
      <w:sz w:val="24"/>
      <w:szCs w:val="24"/>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rPr>
  </w:style>
  <w:style w:type="paragraph" w:styleId="Header">
    <w:name w:val="Header"/>
    <w:basedOn w:val="Normal"/>
    <w:pPr>
      <w:pBdr/>
      <w:tabs>
        <w:tab w:val="clear" w:pos="420"/>
        <w:tab w:val="center" w:pos="4153" w:leader="none"/>
        <w:tab w:val="right" w:pos="8306" w:leader="none"/>
      </w:tabs>
      <w:snapToGrid w:val="false"/>
      <w:spacing w:lineRule="auto" w:line="240"/>
      <w:jc w:val="both"/>
    </w:pPr>
    <w:rPr>
      <w:sz w:val="18"/>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15360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2018-12-01T01:47:00Z</dcterms:created>
  <dc:creator>admin1</dc:creator>
  <dc:description/>
  <dc:language>en-US</dc:language>
  <cp:lastModifiedBy>admin1</cp:lastModifiedBy>
  <dcterms:modified xsi:type="dcterms:W3CDTF">2026-09-30T16:31:16Z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A8F928E8D97EF6E0D4C8BC6A6B2B2B3C_43</vt:lpwstr>
  </property>
  <property fmtid="{D5CDD505-2E9C-101B-9397-08002B2CF9AE}" pid="3" name="KSOProductBuildVer">
    <vt:lpwstr>2052-12.1.2.26885</vt:lpwstr>
  </property>
</Properties>
</file>