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textAlignment w:val="auto"/>
        <w:rPr>
          <w:rFonts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cs="仿宋_GB2312" w:eastAsia="仿宋_GB2312"/>
          <w:sz w:val="32"/>
          <w:szCs w:val="32"/>
        </w:rPr>
        <w:t>附件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textAlignment w:val="auto"/>
        <w:rPr>
          <w:rFonts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eastAsia="华文仿宋" w:cs="华文仿宋" w:ascii="华文仿宋" w:hAnsi="华文仿宋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jc w:val="center"/>
        <w:textAlignment w:val="auto"/>
        <w:rPr>
          <w:rFonts w:ascii="方正公文小标宋;方正小标宋简体" w:hAnsi="方正公文小标宋;方正小标宋简体" w:eastAsia="方正公文小标宋;方正小标宋简体" w:cs="方正公文小标宋;方正小标宋简体"/>
          <w:sz w:val="32"/>
          <w:szCs w:val="32"/>
        </w:rPr>
      </w:pPr>
      <w:r>
        <w:rPr>
          <w:rFonts w:ascii="华文中宋" w:hAnsi="华文中宋" w:cs="华文中宋" w:eastAsia="华文中宋"/>
          <w:sz w:val="44"/>
          <w:szCs w:val="44"/>
        </w:rPr>
        <w:t>山西省林下经济林地利用范围及</w:t>
      </w:r>
      <w:r>
        <w:rPr>
          <w:rFonts w:ascii="华文中宋" w:hAnsi="华文中宋" w:cs="华文中宋" w:eastAsia="华文中宋"/>
          <w:sz w:val="44"/>
          <w:szCs w:val="44"/>
          <w:lang w:eastAsia="zh-CN"/>
        </w:rPr>
        <w:t>管控</w:t>
      </w:r>
      <w:r>
        <w:rPr>
          <w:rFonts w:ascii="华文中宋" w:hAnsi="华文中宋" w:cs="华文中宋" w:eastAsia="华文中宋"/>
          <w:sz w:val="44"/>
          <w:szCs w:val="44"/>
        </w:rPr>
        <w:t>要求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textAlignment w:val="auto"/>
        <w:rPr>
          <w:rFonts w:ascii="华文仿宋" w:hAnsi="华文仿宋" w:eastAsia="华文仿宋" w:cs="华文仿宋"/>
          <w:sz w:val="32"/>
          <w:szCs w:val="32"/>
        </w:rPr>
      </w:pPr>
      <w:r>
        <w:rPr>
          <w:rFonts w:eastAsia="华文仿宋" w:cs="华文仿宋" w:ascii="华文仿宋" w:hAnsi="华文仿宋"/>
          <w:sz w:val="32"/>
          <w:szCs w:val="32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华文仿宋" w:hAnsi="华文仿宋" w:eastAsia="华文仿宋" w:cs="华文仿宋"/>
          <w:sz w:val="32"/>
          <w:szCs w:val="32"/>
        </w:rPr>
      </w:pPr>
      <w:r>
        <w:rPr>
          <w:rFonts w:ascii="方正黑体_GBK" w:hAnsi="方正黑体_GBK" w:cs="方正黑体_GBK" w:eastAsia="方正黑体_GBK"/>
          <w:sz w:val="32"/>
          <w:szCs w:val="32"/>
        </w:rPr>
        <w:t>一、优先利用林地范围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cs="仿宋_GB2312" w:eastAsia="仿宋_GB2312"/>
          <w:sz w:val="32"/>
          <w:szCs w:val="32"/>
        </w:rPr>
        <w:t>优先利用商品林地。在维持森林生态系统健康稳定的前提下，可适度规模化、集约化开展林下经济活动。应科学设置必要措施，防止加剧或造成新的水土流失。在国有林地开展林下经济活动，应符合已有的森林经营方案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华文仿宋" w:hAnsi="华文仿宋" w:eastAsia="华文仿宋" w:cs="华文仿宋"/>
          <w:sz w:val="32"/>
          <w:szCs w:val="32"/>
        </w:rPr>
      </w:pPr>
      <w:r>
        <w:rPr>
          <w:rFonts w:ascii="方正黑体_GBK" w:hAnsi="方正黑体_GBK" w:cs="方正黑体_GBK" w:eastAsia="方正黑体_GBK"/>
          <w:sz w:val="32"/>
          <w:szCs w:val="32"/>
        </w:rPr>
        <w:t>二、限制利用林地范围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eastAsia="仿宋_GB2312" w:cs="仿宋_GB2312" w:ascii="仿宋_GB2312" w:hAnsi="仿宋_GB2312"/>
          <w:sz w:val="32"/>
          <w:szCs w:val="32"/>
          <w:lang w:val="en"/>
        </w:rPr>
        <w:t>1.</w:t>
      </w:r>
      <w:r>
        <w:rPr>
          <w:rFonts w:ascii="仿宋_GB2312" w:hAnsi="仿宋_GB2312" w:cs="仿宋_GB2312" w:eastAsia="仿宋_GB2312"/>
          <w:sz w:val="32"/>
          <w:szCs w:val="32"/>
        </w:rPr>
        <w:t>自然保护地一般控制区内的林地；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eastAsia="仿宋_GB2312" w:cs="仿宋_GB2312" w:ascii="仿宋_GB2312" w:hAnsi="仿宋_GB2312"/>
          <w:sz w:val="32"/>
          <w:szCs w:val="32"/>
        </w:rPr>
        <w:t>2.</w:t>
      </w:r>
      <w:r>
        <w:rPr>
          <w:rFonts w:ascii="仿宋_GB2312" w:hAnsi="仿宋_GB2312" w:cs="仿宋_GB2312" w:eastAsia="仿宋_GB2312"/>
          <w:sz w:val="32"/>
          <w:szCs w:val="32"/>
        </w:rPr>
        <w:t>除一级国家级公益林外的其他公益林；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eastAsia="仿宋_GB2312" w:cs="仿宋_GB2312" w:ascii="仿宋_GB2312" w:hAnsi="仿宋_GB2312"/>
          <w:sz w:val="32"/>
          <w:szCs w:val="32"/>
        </w:rPr>
        <w:t>3.</w:t>
      </w:r>
      <w:r>
        <w:rPr>
          <w:rFonts w:ascii="仿宋_GB2312" w:hAnsi="仿宋_GB2312" w:cs="仿宋_GB2312" w:eastAsia="仿宋_GB2312"/>
          <w:sz w:val="32"/>
          <w:szCs w:val="32"/>
        </w:rPr>
        <w:t>除划定为天然林重点保护区域外的其他天然林；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eastAsia="仿宋_GB2312" w:cs="仿宋_GB2312" w:ascii="仿宋_GB2312" w:hAnsi="仿宋_GB2312"/>
          <w:sz w:val="32"/>
          <w:szCs w:val="32"/>
        </w:rPr>
        <w:t>4.</w:t>
      </w:r>
      <w:r>
        <w:rPr>
          <w:rFonts w:ascii="仿宋_GB2312" w:hAnsi="仿宋_GB2312" w:cs="仿宋_GB2312" w:eastAsia="仿宋_GB2312"/>
          <w:sz w:val="32"/>
          <w:szCs w:val="32"/>
        </w:rPr>
        <w:t>饮用水水源准保护区范围内的林地；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eastAsia="仿宋_GB2312" w:cs="仿宋_GB2312" w:ascii="仿宋_GB2312" w:hAnsi="仿宋_GB2312"/>
          <w:sz w:val="32"/>
          <w:szCs w:val="32"/>
        </w:rPr>
        <w:t>5.</w:t>
      </w:r>
      <w:r>
        <w:rPr>
          <w:rFonts w:ascii="仿宋_GB2312" w:hAnsi="仿宋_GB2312" w:cs="仿宋_GB2312" w:eastAsia="仿宋_GB2312"/>
          <w:sz w:val="32"/>
          <w:szCs w:val="32"/>
        </w:rPr>
        <w:t>法律法规和国家、省有关规定限制利用的</w:t>
      </w:r>
      <w:r>
        <w:rPr>
          <w:rFonts w:ascii="仿宋_GB2312" w:hAnsi="仿宋_GB2312" w:cs="仿宋_GB2312" w:eastAsia="仿宋_GB2312"/>
          <w:sz w:val="32"/>
          <w:szCs w:val="32"/>
          <w:lang w:eastAsia="zh-CN"/>
        </w:rPr>
        <w:t>其他</w:t>
      </w:r>
      <w:r>
        <w:rPr>
          <w:rFonts w:ascii="仿宋_GB2312" w:hAnsi="仿宋_GB2312" w:cs="仿宋_GB2312" w:eastAsia="仿宋_GB2312"/>
          <w:sz w:val="32"/>
          <w:szCs w:val="32"/>
        </w:rPr>
        <w:t>林地。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华文仿宋" w:hAnsi="华文仿宋" w:eastAsia="华文仿宋" w:cs="华文仿宋"/>
          <w:sz w:val="32"/>
          <w:szCs w:val="32"/>
        </w:rPr>
      </w:pPr>
      <w:r>
        <w:rPr>
          <w:rFonts w:ascii="华文楷体" w:hAnsi="华文楷体" w:cs="华文楷体" w:eastAsia="华文楷体"/>
          <w:sz w:val="32"/>
          <w:szCs w:val="32"/>
        </w:rPr>
        <w:t>管控要求：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cs="仿宋_GB2312" w:eastAsia="仿宋_GB2312"/>
          <w:sz w:val="32"/>
          <w:szCs w:val="32"/>
        </w:rPr>
        <w:t>（</w:t>
      </w:r>
      <w:r>
        <w:rPr>
          <w:rFonts w:eastAsia="仿宋_GB2312" w:cs="仿宋_GB2312" w:ascii="仿宋_GB2312" w:hAnsi="仿宋_GB2312"/>
          <w:sz w:val="32"/>
          <w:szCs w:val="32"/>
        </w:rPr>
        <w:t>1</w:t>
      </w:r>
      <w:r>
        <w:rPr>
          <w:rFonts w:ascii="仿宋_GB2312" w:hAnsi="仿宋_GB2312" w:cs="仿宋_GB2312" w:eastAsia="仿宋_GB2312"/>
          <w:sz w:val="32"/>
          <w:szCs w:val="32"/>
        </w:rPr>
        <w:t>）在限制利用林地内开展林下经济活动，禁止进行全面林地清理，只能进行小块或穴状整地，禁止施用化学肥料和化学农药。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cs="仿宋_GB2312" w:eastAsia="仿宋_GB2312"/>
          <w:sz w:val="32"/>
          <w:szCs w:val="32"/>
        </w:rPr>
        <w:t>（</w:t>
      </w:r>
      <w:r>
        <w:rPr>
          <w:rFonts w:eastAsia="仿宋_GB2312" w:cs="仿宋_GB2312" w:ascii="仿宋_GB2312" w:hAnsi="仿宋_GB2312"/>
          <w:sz w:val="32"/>
          <w:szCs w:val="32"/>
        </w:rPr>
        <w:t>2</w:t>
      </w:r>
      <w:r>
        <w:rPr>
          <w:rFonts w:ascii="仿宋_GB2312" w:hAnsi="仿宋_GB2312" w:cs="仿宋_GB2312" w:eastAsia="仿宋_GB2312"/>
          <w:sz w:val="32"/>
          <w:szCs w:val="32"/>
        </w:rPr>
        <w:t>）在一级国家级公益林外的其他公益林内，须符合公益林生态区位保护要求，不破坏森林植被、不影响整体森林生态功能，经县级以上林业主管部门组织科学评估论证后适度发展。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cs="仿宋_GB2312" w:eastAsia="仿宋_GB2312"/>
          <w:sz w:val="32"/>
          <w:szCs w:val="32"/>
        </w:rPr>
        <w:t>（</w:t>
      </w:r>
      <w:r>
        <w:rPr>
          <w:rFonts w:eastAsia="仿宋_GB2312" w:cs="仿宋_GB2312" w:ascii="仿宋_GB2312" w:hAnsi="仿宋_GB2312"/>
          <w:sz w:val="32"/>
          <w:szCs w:val="32"/>
        </w:rPr>
        <w:t>3</w:t>
      </w:r>
      <w:r>
        <w:rPr>
          <w:rFonts w:ascii="仿宋_GB2312" w:hAnsi="仿宋_GB2312" w:cs="仿宋_GB2312" w:eastAsia="仿宋_GB2312"/>
          <w:sz w:val="32"/>
          <w:szCs w:val="32"/>
        </w:rPr>
        <w:t>）在天然林重点保护区域外的其他天然林内，须不破坏地表植被、不影响生物多样性保护，经县级以上林业主管部门组织科学评估论证后适度发展。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cs="仿宋_GB2312" w:eastAsia="仿宋_GB2312"/>
          <w:sz w:val="32"/>
          <w:szCs w:val="32"/>
        </w:rPr>
        <w:t>（</w:t>
      </w:r>
      <w:r>
        <w:rPr>
          <w:rFonts w:eastAsia="仿宋_GB2312" w:cs="仿宋_GB2312" w:ascii="仿宋_GB2312" w:hAnsi="仿宋_GB2312"/>
          <w:sz w:val="32"/>
          <w:szCs w:val="32"/>
        </w:rPr>
        <w:t>4</w:t>
      </w:r>
      <w:r>
        <w:rPr>
          <w:rFonts w:ascii="仿宋_GB2312" w:hAnsi="仿宋_GB2312" w:cs="仿宋_GB2312" w:eastAsia="仿宋_GB2312"/>
          <w:sz w:val="32"/>
          <w:szCs w:val="32"/>
        </w:rPr>
        <w:t>）在自然保护地一般控制区内发展林下经济，应严格遵守自然保护地管理的法律法规及政策。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cs="仿宋_GB2312" w:eastAsia="仿宋_GB2312"/>
          <w:sz w:val="32"/>
          <w:szCs w:val="32"/>
        </w:rPr>
        <w:t>（</w:t>
      </w:r>
      <w:r>
        <w:rPr>
          <w:rFonts w:eastAsia="仿宋_GB2312" w:cs="仿宋_GB2312" w:ascii="仿宋_GB2312" w:hAnsi="仿宋_GB2312"/>
          <w:sz w:val="32"/>
          <w:szCs w:val="32"/>
        </w:rPr>
        <w:t>5</w:t>
      </w:r>
      <w:r>
        <w:rPr>
          <w:rFonts w:ascii="仿宋_GB2312" w:hAnsi="仿宋_GB2312" w:cs="仿宋_GB2312" w:eastAsia="仿宋_GB2312"/>
          <w:sz w:val="32"/>
          <w:szCs w:val="32"/>
        </w:rPr>
        <w:t>）在饮用水水源</w:t>
      </w:r>
      <w:r>
        <w:rPr>
          <w:rFonts w:ascii="仿宋_GB2312" w:hAnsi="仿宋_GB2312" w:cs="仿宋_GB2312" w:eastAsia="仿宋_GB2312"/>
          <w:sz w:val="32"/>
          <w:szCs w:val="32"/>
          <w:lang w:eastAsia="zh-CN"/>
        </w:rPr>
        <w:t>地</w:t>
      </w:r>
      <w:r>
        <w:rPr>
          <w:rFonts w:ascii="仿宋_GB2312" w:hAnsi="仿宋_GB2312" w:cs="仿宋_GB2312" w:eastAsia="仿宋_GB2312"/>
          <w:sz w:val="32"/>
          <w:szCs w:val="32"/>
        </w:rPr>
        <w:t>保护区范围内的林地开展林下经济，应严格遵守饮用水保护区管理相关法律法规及政策，不得造成新的水源环境污染。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华文仿宋" w:hAnsi="华文仿宋" w:eastAsia="华文仿宋" w:cs="华文仿宋"/>
          <w:sz w:val="32"/>
          <w:szCs w:val="32"/>
        </w:rPr>
      </w:pPr>
      <w:r>
        <w:rPr>
          <w:rFonts w:ascii="方正黑体_GBK" w:hAnsi="方正黑体_GBK" w:cs="方正黑体_GBK" w:eastAsia="方正黑体_GBK"/>
          <w:sz w:val="32"/>
          <w:szCs w:val="32"/>
        </w:rPr>
        <w:t>三、禁止利用林地范围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cs="仿宋_GB2312" w:eastAsia="仿宋_GB2312"/>
          <w:sz w:val="32"/>
          <w:szCs w:val="32"/>
        </w:rPr>
        <w:t>林下种养活动禁止在以下林地开展：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eastAsia="仿宋_GB2312" w:cs="仿宋_GB2312" w:ascii="仿宋_GB2312" w:hAnsi="仿宋_GB2312"/>
          <w:sz w:val="32"/>
          <w:szCs w:val="32"/>
        </w:rPr>
        <w:t>1.</w:t>
      </w:r>
      <w:r>
        <w:rPr>
          <w:rFonts w:ascii="仿宋_GB2312" w:hAnsi="仿宋_GB2312" w:cs="仿宋_GB2312" w:eastAsia="仿宋_GB2312"/>
          <w:sz w:val="32"/>
          <w:szCs w:val="32"/>
        </w:rPr>
        <w:t>自然保护地核心保护区内的林地；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eastAsia="仿宋_GB2312" w:cs="仿宋_GB2312" w:ascii="仿宋_GB2312" w:hAnsi="仿宋_GB2312"/>
          <w:sz w:val="32"/>
          <w:szCs w:val="32"/>
        </w:rPr>
        <w:t>2.</w:t>
      </w:r>
      <w:r>
        <w:rPr>
          <w:rFonts w:ascii="仿宋_GB2312" w:hAnsi="仿宋_GB2312" w:cs="仿宋_GB2312" w:eastAsia="仿宋_GB2312"/>
          <w:sz w:val="32"/>
          <w:szCs w:val="32"/>
        </w:rPr>
        <w:t>一级国家级公益林林地、林地保护等级为Ⅰ级的林地；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eastAsia="仿宋_GB2312" w:cs="仿宋_GB2312" w:ascii="仿宋_GB2312" w:hAnsi="仿宋_GB2312"/>
          <w:sz w:val="32"/>
          <w:szCs w:val="32"/>
        </w:rPr>
        <w:t>3.</w:t>
      </w:r>
      <w:r>
        <w:rPr>
          <w:rFonts w:ascii="仿宋_GB2312" w:hAnsi="仿宋_GB2312" w:cs="仿宋_GB2312" w:eastAsia="仿宋_GB2312"/>
          <w:sz w:val="32"/>
          <w:szCs w:val="32"/>
        </w:rPr>
        <w:t>划定的天然林重点保护区域内的林地；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eastAsia="仿宋_GB2312" w:cs="仿宋_GB2312" w:ascii="仿宋_GB2312" w:hAnsi="仿宋_GB2312"/>
          <w:sz w:val="32"/>
          <w:szCs w:val="32"/>
        </w:rPr>
        <w:t>4.</w:t>
      </w:r>
      <w:r>
        <w:rPr>
          <w:rFonts w:ascii="仿宋_GB2312" w:hAnsi="仿宋_GB2312" w:cs="仿宋_GB2312" w:eastAsia="仿宋_GB2312"/>
          <w:sz w:val="32"/>
          <w:szCs w:val="32"/>
        </w:rPr>
        <w:t>饮用水水源一级、二级保护区范围内的林地；</w:t>
      </w:r>
    </w:p>
    <w:p>
      <w:pPr>
        <w:pStyle w:val="Normal"/>
        <w:keepNext w:val="false"/>
        <w:keepLines w:val="false"/>
        <w:pageBreakBefore w:val="false"/>
        <w:kinsoku w:val="true"/>
        <w:overflowPunct w:val="true"/>
        <w:autoSpaceDE w:val="true"/>
        <w:bidi w:val="0"/>
        <w:snapToGrid w:val="true"/>
        <w:spacing w:lineRule="exact" w:line="560"/>
        <w:ind w:right="0" w:firstLine="640"/>
        <w:textAlignment w:val="auto"/>
        <w:rPr>
          <w:rFonts w:ascii="仿宋_GB2312" w:hAnsi="仿宋_GB2312" w:eastAsia="仿宋_GB2312" w:cs="仿宋"/>
          <w:sz w:val="32"/>
          <w:szCs w:val="32"/>
          <w:lang w:val="en-US" w:eastAsia="zh-CN"/>
        </w:rPr>
      </w:pPr>
      <w:r>
        <w:rPr>
          <w:rFonts w:eastAsia="仿宋_GB2312" w:cs="仿宋_GB2312" w:ascii="仿宋_GB2312" w:hAnsi="仿宋_GB2312"/>
          <w:sz w:val="32"/>
          <w:szCs w:val="32"/>
        </w:rPr>
        <w:t>5.</w:t>
      </w:r>
      <w:r>
        <w:rPr>
          <w:rFonts w:ascii="仿宋_GB2312" w:hAnsi="仿宋_GB2312" w:cs="仿宋_GB2312" w:eastAsia="仿宋_GB2312"/>
          <w:sz w:val="32"/>
          <w:szCs w:val="32"/>
        </w:rPr>
        <w:t>珍稀濒危野生动植物重要栖息地（生境）及生物廊道内的林地。</w:t>
      </w:r>
    </w:p>
    <w:p>
      <w:pPr>
        <w:pStyle w:val="Normal"/>
        <w:rPr>
          <w:rFonts w:ascii="仿宋_GB2312" w:hAnsi="仿宋_GB2312" w:eastAsia="仿宋_GB2312" w:cs="仿宋"/>
          <w:sz w:val="32"/>
          <w:szCs w:val="32"/>
          <w:lang w:val="en-US" w:eastAsia="zh-CN"/>
        </w:rPr>
      </w:pPr>
      <w:r>
        <w:rPr>
          <w:rFonts w:eastAsia="仿宋_GB2312" w:cs="仿宋" w:ascii="仿宋_GB2312" w:hAnsi="仿宋_GB2312"/>
          <w:sz w:val="32"/>
          <w:szCs w:val="32"/>
          <w:lang w:val="en-US" w:eastAsia="zh-CN"/>
        </w:rPr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default"/>
  </w:font>
  <w:font w:name="Liberation Sans">
    <w:altName w:val="Arial"/>
    <w:charset w:val="00"/>
    <w:family w:val="swiss"/>
    <w:pitch w:val="default"/>
  </w:font>
  <w:font w:name="仿宋_GB2312">
    <w:charset w:val="86"/>
    <w:family w:val="auto"/>
    <w:pitch w:val="default"/>
  </w:font>
  <w:font w:name="华文仿宋">
    <w:charset w:val="86"/>
    <w:family w:val="auto"/>
    <w:pitch w:val="default"/>
  </w:font>
  <w:font w:name="华文中宋">
    <w:charset w:val="86"/>
    <w:family w:val="auto"/>
    <w:pitch w:val="default"/>
  </w:font>
  <w:font w:name="方正公文小标宋">
    <w:altName w:val="方正小标宋简体"/>
    <w:charset w:val="00"/>
    <w:family w:val="auto"/>
    <w:pitch w:val="default"/>
  </w:font>
  <w:font w:name="方正黑体_GBK">
    <w:charset w:val="86"/>
    <w:family w:val="auto"/>
    <w:pitch w:val="default"/>
  </w:font>
  <w:font w:name="华文楷体">
    <w:charset w:val="86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isplayBackgroundShape/>
  <w:trackRevisions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jc w:val="both"/>
    </w:pPr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1">
    <w:name w:val="默认段落字体1"/>
    <w:qFormat/>
    <w:rPr/>
  </w:style>
  <w:style w:type="paragraph" w:styleId="Heading">
    <w:name w:val="Heading"/>
    <w:basedOn w:val="Normal"/>
    <w:next w:val="TextBody"/>
    <w:qFormat/>
    <w:pPr>
      <w:keepNext w:val="true"/>
      <w:widowControl w:val="false"/>
      <w:suppressAutoHyphens w:val="true"/>
      <w:spacing w:before="240" w:after="120"/>
    </w:pPr>
    <w:rPr>
      <w:rFonts w:ascii="Liberation Sans;华文中宋" w:hAnsi="Liberation Sans;华文中宋" w:eastAsia="Noto Sans CJK SC Regular" w:cs="Noto Sans CJK SC Regular"/>
      <w:sz w:val="28"/>
      <w:szCs w:val="28"/>
      <w:lang w:bidi="ar-SA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widowControl w:val="false"/>
      <w:suppressLineNumbers/>
      <w:suppressAutoHyphens w:val="true"/>
    </w:pPr>
    <w:rPr/>
  </w:style>
  <w:style w:type="paragraph" w:styleId="Style15">
    <w:name w:val="题注"/>
    <w:basedOn w:val="Normal"/>
    <w:qFormat/>
    <w:pPr>
      <w:widowControl w:val="false"/>
      <w:suppressLineNumbers/>
      <w:suppressAutoHyphens w:val="true"/>
      <w:spacing w:before="120" w:after="120"/>
    </w:pPr>
    <w:rPr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2018-11-27T09:47:00Z</dcterms:created>
  <dc:creator>baixin</dc:creator>
  <dc:description/>
  <dc:language>en-US</dc:language>
  <cp:lastModifiedBy>宋慧真</cp:lastModifiedBy>
  <dcterms:modified xsi:type="dcterms:W3CDTF">2026-10-08T11:53:17Z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EC643AE18CFAC4ACAD13C76A097DB152_43</vt:lpwstr>
  </property>
  <property fmtid="{D5CDD505-2E9C-101B-9397-08002B2CF9AE}" pid="3" name="KSOProductBuildVer">
    <vt:lpwstr>2052-12.8.2.19550</vt:lpwstr>
  </property>
</Properties>
</file>