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8845" w:type="dxa"/>
        <w:jc w:val="center"/>
        <w:tblInd w:w="0" w:type="dxa"/>
        <w:tblLayout w:type="fixed"/>
        <w:tblCellMar>
          <w:top w:w="0" w:type="dxa"/>
          <w:left w:w="0" w:type="dxa"/>
          <w:bottom w:w="0" w:type="dxa"/>
          <w:right w:w="0" w:type="dxa"/>
        </w:tblCellMar>
      </w:tblPr>
      <w:tblGrid>
        <w:gridCol w:w="4422"/>
        <w:gridCol w:w="4423"/>
      </w:tblGrid>
      <w:tr>
        <w:trPr>
          <w:trHeight w:val="1600" w:hRule="atLeast"/>
        </w:trPr>
        <w:tc>
          <w:tcPr>
            <w:tcW w:w="4422" w:type="dxa"/>
            <w:tcBorders/>
          </w:tcPr>
          <w:p>
            <w:pPr>
              <w:pStyle w:val="Normal"/>
              <w:snapToGrid w:val="false"/>
              <w:rPr>
                <w:color w:val="000000"/>
              </w:rPr>
            </w:pPr>
            <w:r>
              <w:rPr>
                <w:color w:val="000000"/>
              </w:rPr>
            </w:r>
          </w:p>
        </w:tc>
        <w:tc>
          <w:tcPr>
            <w:tcW w:w="4423" w:type="dxa"/>
            <w:tcBorders/>
          </w:tcPr>
          <w:p>
            <w:pPr>
              <w:pStyle w:val="Normal"/>
              <w:snapToGrid w:val="false"/>
              <w:jc w:val="right"/>
              <w:rPr>
                <w:rFonts w:ascii="黑体;方正黑体_GBK" w:hAnsi="黑体;方正黑体_GBK" w:eastAsia="黑体;方正黑体_GBK"/>
                <w:color w:val="000000"/>
              </w:rPr>
            </w:pPr>
            <w:r>
              <w:rPr>
                <w:rFonts w:eastAsia="黑体;方正黑体_GBK" w:ascii="黑体;方正黑体_GBK" w:hAnsi="黑体;方正黑体_GBK"/>
                <w:color w:val="000000"/>
              </w:rPr>
            </w:r>
          </w:p>
        </w:tc>
      </w:tr>
      <w:tr>
        <w:trPr>
          <w:trHeight w:val="4018" w:hRule="exact"/>
        </w:trPr>
        <w:tc>
          <w:tcPr>
            <w:tcW w:w="8845" w:type="dxa"/>
            <w:gridSpan w:val="2"/>
            <w:tcBorders/>
          </w:tcPr>
          <w:p>
            <w:pPr>
              <w:pStyle w:val="Normal"/>
              <w:jc w:val="center"/>
              <w:rPr/>
            </w:pPr>
            <w:r>
              <w:rPr>
                <w:rFonts w:ascii="方正小标宋_GBK" w:hAnsi="方正小标宋_GBK" w:eastAsia="方正小标宋_GBK"/>
                <w:b/>
                <w:bCs/>
                <w:color w:val="FF0000"/>
                <w:spacing w:val="-10"/>
                <w:w w:val="70"/>
                <w:sz w:val="116"/>
                <w:szCs w:val="116"/>
              </w:rPr>
              <w:t>中华人民共和国海关总</w:t>
            </w:r>
            <w:r>
              <w:rPr>
                <w:rFonts w:ascii="方正小标宋_GBK" w:hAnsi="方正小标宋_GBK" w:eastAsia="方正小标宋_GBK"/>
                <w:b/>
                <w:bCs/>
                <w:color w:val="FF0000"/>
                <w:w w:val="70"/>
                <w:sz w:val="116"/>
                <w:szCs w:val="116"/>
              </w:rPr>
              <w:t>署</w:t>
            </w:r>
          </w:p>
          <w:p>
            <w:pPr>
              <w:pStyle w:val="Normal"/>
              <w:jc w:val="center"/>
              <w:rPr>
                <w:rFonts w:ascii="方正小标宋_GBK" w:hAnsi="方正小标宋_GBK" w:eastAsia="方正小标宋_GBK"/>
                <w:color w:val="FF0000"/>
                <w:w w:val="70"/>
                <w:sz w:val="116"/>
                <w:szCs w:val="116"/>
              </w:rPr>
            </w:pPr>
            <w:r>
              <w:rPr>
                <w:rFonts w:ascii="方正小标宋_GBK" w:hAnsi="方正小标宋_GBK" w:eastAsia="方正小标宋_GBK"/>
                <w:b/>
                <w:bCs/>
                <w:color w:val="FF0000"/>
                <w:w w:val="70"/>
                <w:sz w:val="116"/>
                <w:szCs w:val="116"/>
              </w:rPr>
              <w:t>公    告</w:t>
            </w:r>
          </w:p>
        </w:tc>
      </w:tr>
    </w:tbl>
    <w:p>
      <w:pPr>
        <w:pStyle w:val="Normal"/>
        <w:spacing w:lineRule="exact" w:line="560"/>
        <w:rPr>
          <w:rFonts w:ascii="方正仿宋_GBK" w:hAnsi="方正仿宋_GBK" w:eastAsia="方正仿宋_GBK"/>
          <w:color w:val="000000"/>
        </w:rPr>
      </w:pPr>
      <w:r>
        <w:rPr>
          <w:rFonts w:eastAsia="方正仿宋_GBK" w:ascii="方正仿宋_GBK" w:hAnsi="方正仿宋_GBK"/>
          <w:color w:val="000000"/>
        </w:rPr>
      </w:r>
    </w:p>
    <w:p>
      <w:pPr>
        <w:pStyle w:val="Normal"/>
        <w:spacing w:lineRule="exact" w:line="560"/>
        <w:rPr>
          <w:rFonts w:ascii="方正仿宋_GBK" w:hAnsi="方正仿宋_GBK" w:eastAsia="方正仿宋_GBK"/>
          <w:color w:val="000000"/>
        </w:rPr>
      </w:pPr>
      <w:r>
        <w:rPr>
          <w:rFonts w:eastAsia="方正仿宋_GBK" w:ascii="方正仿宋_GBK" w:hAnsi="方正仿宋_GBK"/>
          <w:color w:val="000000"/>
        </w:rPr>
      </w:r>
    </w:p>
    <w:tbl>
      <w:tblPr>
        <w:tblW w:w="8845" w:type="dxa"/>
        <w:jc w:val="center"/>
        <w:tblInd w:w="0" w:type="dxa"/>
        <w:tblLayout w:type="fixed"/>
        <w:tblCellMar>
          <w:top w:w="0" w:type="dxa"/>
          <w:left w:w="0" w:type="dxa"/>
          <w:bottom w:w="0" w:type="dxa"/>
          <w:right w:w="0" w:type="dxa"/>
        </w:tblCellMar>
      </w:tblPr>
      <w:tblGrid>
        <w:gridCol w:w="8845"/>
      </w:tblGrid>
      <w:tr>
        <w:trPr>
          <w:trHeight w:val="510" w:hRule="atLeast"/>
        </w:trPr>
        <w:tc>
          <w:tcPr>
            <w:tcW w:w="8845" w:type="dxa"/>
            <w:tcBorders/>
            <w:vAlign w:val="bottom"/>
          </w:tcPr>
          <w:p>
            <w:pPr>
              <w:pStyle w:val="Normal"/>
              <w:spacing w:lineRule="exact" w:line="560"/>
              <w:jc w:val="center"/>
              <w:rPr>
                <w:color w:val="000000"/>
                <w:szCs w:val="32"/>
              </w:rPr>
            </w:pPr>
            <w:bookmarkStart w:id="0" w:name="wpds__年号__Text"/>
            <w:r>
              <w:rPr>
                <w:rFonts w:eastAsia="方正仿宋_GBK" w:cs="Times New Roman"/>
                <w:color w:val="000000"/>
                <w:spacing w:val="0"/>
                <w:w w:val="100"/>
                <w:kern w:val="2"/>
                <w:position w:val="0"/>
                <w:sz w:val="32"/>
                <w:sz w:val="32"/>
                <w:szCs w:val="32"/>
                <w:u w:val="none"/>
                <w:vertAlign w:val="baseline"/>
                <w:em w:val="none"/>
                <w:lang w:bidi="ar-SA"/>
              </w:rPr>
              <w:t>2026</w:t>
            </w:r>
            <w:bookmarkEnd w:id="0"/>
            <w:r>
              <w:rPr>
                <w:rFonts w:ascii="方正仿宋_GBK" w:hAnsi="方正仿宋_GBK"/>
                <w:color w:val="000000"/>
                <w:szCs w:val="32"/>
              </w:rPr>
              <w:t>年  第</w:t>
            </w:r>
            <w:r>
              <w:rPr>
                <w:rFonts w:eastAsia="方正仿宋_GBK" w:cs="Times New Roman"/>
                <w:color w:val="000000"/>
                <w:szCs w:val="32"/>
                <w:lang w:bidi="ar-SA"/>
              </w:rPr>
              <w:t>147</w:t>
            </w:r>
            <w:r>
              <w:rPr>
                <w:rFonts w:ascii="方正仿宋_GBK" w:hAnsi="方正仿宋_GBK"/>
                <w:spacing w:val="-4"/>
                <w:szCs w:val="32"/>
              </w:rPr>
              <w:t>号</w:t>
            </w:r>
          </w:p>
        </w:tc>
      </w:tr>
    </w:tbl>
    <w:p>
      <w:pPr>
        <w:pStyle w:val="Normal"/>
        <w:spacing w:lineRule="exact" w:line="560"/>
        <w:ind w:right="34" w:hanging="0"/>
        <w:rPr>
          <w:rFonts w:ascii="方正仿宋_GBK" w:hAnsi="方正仿宋_GBK"/>
          <w:color w:val="000000"/>
        </w:rPr>
      </w:pPr>
      <w:r>
        <w:rPr>
          <w:rFonts w:ascii="方正仿宋_GBK" w:hAnsi="方正仿宋_GBK"/>
          <w:color w:val="000000"/>
        </w:rPr>
      </w:r>
    </w:p>
    <w:p>
      <w:pPr>
        <w:pStyle w:val="10"/>
        <w:snapToGrid w:val="false"/>
        <w:spacing w:lineRule="exact" w:line="560"/>
        <w:ind w:firstLine="640"/>
        <w:rPr>
          <w:rFonts w:eastAsia="方正仿宋_GBK" w:cs="方正仿宋_GBK"/>
          <w:sz w:val="32"/>
          <w:szCs w:val="32"/>
          <w:lang w:bidi="ar-SA"/>
        </w:rPr>
      </w:pPr>
      <w:bookmarkStart w:id="1" w:name="wpds__正文__File"/>
      <w:bookmarkEnd w:id="1"/>
      <w:r>
        <w:rPr>
          <w:rFonts w:cs="Times New Roman" w:eastAsia="方正仿宋_GBK"/>
          <w:color w:val="000000"/>
          <w:sz w:val="32"/>
          <w:szCs w:val="32"/>
          <w:lang w:bidi="ar-SA"/>
        </w:rPr>
        <w:t>根据我国相关法律法规，经风险评估，允许符合以下相关要求的非洲</w:t>
      </w:r>
      <w:r>
        <w:rPr>
          <w:rFonts w:cs="Times New Roman" w:eastAsia="方正仿宋_GBK"/>
          <w:color w:val="000000"/>
          <w:sz w:val="32"/>
          <w:szCs w:val="32"/>
          <w:lang w:bidi="ar-SA"/>
        </w:rPr>
        <w:t>建交</w:t>
      </w:r>
      <w:r>
        <w:rPr>
          <w:rFonts w:cs="Times New Roman" w:eastAsia="方正仿宋_GBK"/>
          <w:color w:val="000000"/>
          <w:sz w:val="32"/>
          <w:szCs w:val="32"/>
          <w:lang w:bidi="ar-SA"/>
        </w:rPr>
        <w:t>国家</w:t>
      </w:r>
      <w:r>
        <w:rPr>
          <w:rFonts w:cs="Times New Roman" w:eastAsia="方正仿宋_GBK"/>
          <w:color w:val="000000"/>
          <w:sz w:val="32"/>
          <w:szCs w:val="32"/>
          <w:lang w:bidi="ar-SA"/>
        </w:rPr>
        <w:t>可可豆</w:t>
      </w:r>
      <w:r>
        <w:rPr>
          <w:rFonts w:cs="Times New Roman" w:eastAsia="方正仿宋_GBK"/>
          <w:color w:val="000000"/>
          <w:sz w:val="32"/>
          <w:szCs w:val="32"/>
          <w:lang w:bidi="ar-SA"/>
        </w:rPr>
        <w:t>进口。</w:t>
      </w:r>
    </w:p>
    <w:p>
      <w:pPr>
        <w:pStyle w:val="110"/>
        <w:snapToGrid w:val="false"/>
        <w:spacing w:lineRule="exact" w:line="560"/>
        <w:ind w:firstLine="640"/>
        <w:rPr>
          <w:rFonts w:ascii="方正黑体_GBK" w:hAnsi="方正黑体_GBK" w:eastAsia="方正黑体_GBK" w:cs="方正黑体_GBK"/>
          <w:color w:val="000000"/>
          <w:sz w:val="32"/>
          <w:szCs w:val="32"/>
          <w:lang w:bidi="ar-SA"/>
        </w:rPr>
      </w:pPr>
      <w:r>
        <w:rPr>
          <w:rFonts w:ascii="方正黑体_GBK" w:hAnsi="方正黑体_GBK" w:cs="方正黑体_GBK" w:eastAsia="方正黑体_GBK"/>
          <w:color w:val="000000"/>
          <w:sz w:val="32"/>
          <w:szCs w:val="32"/>
          <w:lang w:bidi="ar-SA"/>
        </w:rPr>
        <w:t>一、检验检疫依据</w:t>
      </w:r>
    </w:p>
    <w:p>
      <w:pPr>
        <w:pStyle w:val="110"/>
        <w:snapToGrid w:val="false"/>
        <w:spacing w:lineRule="exact" w:line="560"/>
        <w:ind w:firstLine="640"/>
        <w:rPr>
          <w:rFonts w:eastAsia="方正仿宋_GBK" w:cs="Times New Roman"/>
          <w:color w:val="000000"/>
          <w:sz w:val="32"/>
          <w:szCs w:val="32"/>
          <w:lang w:bidi="ar-SA"/>
        </w:rPr>
      </w:pPr>
      <w:r>
        <w:rPr>
          <w:rFonts w:cs="Times New Roman" w:eastAsia="方正仿宋_GBK"/>
          <w:color w:val="000000"/>
          <w:sz w:val="32"/>
          <w:szCs w:val="32"/>
          <w:lang w:bidi="ar-SA"/>
        </w:rPr>
        <w:t>（一）《中华人民共和国生物安全法》；</w:t>
      </w:r>
    </w:p>
    <w:p>
      <w:pPr>
        <w:pStyle w:val="110"/>
        <w:snapToGrid w:val="false"/>
        <w:spacing w:lineRule="exact" w:line="560"/>
        <w:ind w:firstLine="640"/>
        <w:rPr>
          <w:rFonts w:eastAsia="方正仿宋_GBK" w:cs="Times New Roman"/>
          <w:color w:val="000000"/>
          <w:spacing w:val="2"/>
          <w:sz w:val="32"/>
          <w:szCs w:val="32"/>
          <w:lang w:bidi="ar-SA"/>
        </w:rPr>
      </w:pPr>
      <w:r>
        <w:rPr>
          <w:rFonts w:cs="Times New Roman" w:eastAsia="方正仿宋_GBK"/>
          <w:color w:val="000000"/>
          <w:spacing w:val="2"/>
          <w:sz w:val="32"/>
          <w:szCs w:val="32"/>
          <w:lang w:bidi="ar-SA"/>
        </w:rPr>
        <w:t>（二）《中华人民共和国进出境动植物检疫法》及其实施条例；</w:t>
      </w:r>
    </w:p>
    <w:p>
      <w:pPr>
        <w:pStyle w:val="110"/>
        <w:snapToGrid w:val="false"/>
        <w:spacing w:lineRule="exact" w:line="560"/>
        <w:ind w:firstLine="640"/>
        <w:rPr>
          <w:rFonts w:eastAsia="方正仿宋_GBK" w:cs="Times New Roman"/>
          <w:color w:val="000000"/>
          <w:spacing w:val="2"/>
          <w:sz w:val="32"/>
          <w:szCs w:val="32"/>
          <w:lang w:bidi="ar-SA"/>
        </w:rPr>
      </w:pPr>
      <w:r>
        <w:rPr>
          <w:rFonts w:cs="Times New Roman" w:eastAsia="方正仿宋_GBK"/>
          <w:color w:val="000000"/>
          <w:spacing w:val="2"/>
          <w:sz w:val="32"/>
          <w:szCs w:val="32"/>
          <w:lang w:bidi="ar-SA"/>
        </w:rPr>
        <w:t>（三）《中华人民共和国食品安全法》及其实施条例</w:t>
      </w:r>
      <w:r>
        <w:rPr>
          <w:rFonts w:cs="Times New Roman" w:eastAsia="方正仿宋_GBK"/>
          <w:color w:val="000000"/>
          <w:spacing w:val="2"/>
          <w:sz w:val="32"/>
          <w:szCs w:val="32"/>
          <w:lang w:bidi="ar-SA"/>
        </w:rPr>
        <w:t>。</w:t>
      </w:r>
    </w:p>
    <w:p>
      <w:pPr>
        <w:pStyle w:val="1"/>
        <w:ind w:firstLine="624"/>
        <w:rPr>
          <w:rFonts w:ascii="方正黑体_GBK" w:hAnsi="方正黑体_GBK" w:eastAsia="方正黑体_GBK" w:cs="方正黑体_GBK"/>
          <w:szCs w:val="32"/>
          <w:lang w:bidi="ar-SA"/>
        </w:rPr>
      </w:pPr>
      <w:r>
        <w:rPr>
          <w:rFonts w:ascii="方正黑体_GBK" w:hAnsi="方正黑体_GBK" w:cs="方正黑体_GBK" w:eastAsia="方正黑体_GBK"/>
          <w:szCs w:val="32"/>
          <w:lang w:bidi="ar"/>
        </w:rPr>
        <w:t>二、允许进口商品名称</w:t>
      </w:r>
    </w:p>
    <w:p>
      <w:pPr>
        <w:pStyle w:val="1"/>
        <w:ind w:firstLine="624"/>
        <w:rPr>
          <w:bCs/>
          <w:szCs w:val="32"/>
        </w:rPr>
      </w:pPr>
      <w:r>
        <w:rPr>
          <w:rFonts w:cs="方正仿宋_GBK"/>
          <w:szCs w:val="32"/>
          <w:lang w:bidi="ar"/>
        </w:rPr>
        <w:t>本公告中的可可豆（</w:t>
      </w:r>
      <w:r>
        <w:rPr>
          <w:rFonts w:cs="方正仿宋_GBK"/>
          <w:szCs w:val="32"/>
          <w:lang w:bidi="ar"/>
        </w:rPr>
        <w:t>Coc</w:t>
      </w:r>
      <w:r>
        <w:rPr>
          <w:rFonts w:cs="方正仿宋_GBK"/>
          <w:szCs w:val="32"/>
          <w:lang w:bidi="ar"/>
        </w:rPr>
        <w:t xml:space="preserve">oa </w:t>
      </w:r>
      <w:r>
        <w:rPr>
          <w:rFonts w:cs="方正仿宋_GBK"/>
          <w:szCs w:val="32"/>
          <w:lang w:bidi="ar"/>
        </w:rPr>
        <w:t>Beans</w:t>
      </w:r>
      <w:r>
        <w:rPr>
          <w:rFonts w:cs="方正仿宋_GBK"/>
          <w:szCs w:val="32"/>
          <w:lang w:bidi="ar"/>
        </w:rPr>
        <w:t>），是指</w:t>
      </w:r>
      <w:r>
        <w:rPr>
          <w:color w:val="000000"/>
          <w:szCs w:val="32"/>
        </w:rPr>
        <w:t>在</w:t>
      </w:r>
      <w:r>
        <w:rPr>
          <w:color w:val="000000"/>
          <w:szCs w:val="32"/>
        </w:rPr>
        <w:t>出口国</w:t>
      </w:r>
      <w:r>
        <w:rPr>
          <w:color w:val="000000"/>
          <w:szCs w:val="32"/>
        </w:rPr>
        <w:t>境内种植</w:t>
      </w:r>
      <w:r>
        <w:rPr>
          <w:color w:val="000000"/>
          <w:szCs w:val="32"/>
        </w:rPr>
        <w:t>和加工的</w:t>
      </w:r>
      <w:r>
        <w:rPr>
          <w:color w:val="000000"/>
          <w:szCs w:val="32"/>
        </w:rPr>
        <w:t>未经烘焙可可（</w:t>
      </w:r>
      <w:r>
        <w:rPr>
          <w:i/>
          <w:color w:val="000000"/>
          <w:szCs w:val="32"/>
        </w:rPr>
        <w:t>Theobroma cacao</w:t>
      </w:r>
      <w:r>
        <w:rPr>
          <w:i/>
          <w:color w:val="000000"/>
          <w:szCs w:val="32"/>
        </w:rPr>
        <w:t xml:space="preserve"> </w:t>
      </w:r>
      <w:r>
        <w:rPr>
          <w:color w:val="000000"/>
          <w:szCs w:val="32"/>
        </w:rPr>
        <w:t>L.</w:t>
      </w:r>
      <w:r>
        <w:rPr>
          <w:color w:val="000000"/>
          <w:szCs w:val="32"/>
        </w:rPr>
        <w:t>）籽粒，去除果肉和果荚，经发酵、干燥、筛选等工艺制成</w:t>
      </w:r>
      <w:r>
        <w:rPr>
          <w:color w:val="000000"/>
          <w:szCs w:val="32"/>
        </w:rPr>
        <w:t>。</w:t>
      </w:r>
    </w:p>
    <w:p>
      <w:pPr>
        <w:pStyle w:val="1"/>
        <w:ind w:firstLine="624"/>
        <w:rPr>
          <w:rFonts w:ascii="方正黑体_GBK" w:hAnsi="方正黑体_GBK" w:eastAsia="方正黑体_GBK" w:cs="方正黑体_GBK"/>
          <w:szCs w:val="32"/>
          <w:lang w:bidi="ar-SA"/>
        </w:rPr>
      </w:pPr>
      <w:r>
        <w:rPr>
          <w:rFonts w:ascii="方正黑体_GBK" w:hAnsi="方正黑体_GBK" w:cs="方正黑体_GBK" w:eastAsia="方正黑体_GBK"/>
          <w:szCs w:val="32"/>
          <w:lang w:bidi="ar"/>
        </w:rPr>
        <w:t xml:space="preserve">三、产地 </w:t>
      </w:r>
    </w:p>
    <w:p>
      <w:pPr>
        <w:pStyle w:val="210"/>
        <w:widowControl/>
        <w:snapToGrid w:val="false"/>
        <w:spacing w:lineRule="exact" w:line="560"/>
        <w:ind w:firstLine="640"/>
        <w:rPr>
          <w:rFonts w:ascii="方正黑体_GBK" w:hAnsi="方正黑体_GBK" w:eastAsia="方正黑体_GBK" w:cs="方正黑体_GBK"/>
          <w:color w:val="000000"/>
          <w:sz w:val="32"/>
          <w:szCs w:val="32"/>
          <w:lang w:bidi="ar-SA"/>
        </w:rPr>
      </w:pPr>
      <w:r>
        <w:rPr>
          <w:rFonts w:cs="Times New Roman" w:eastAsia="方正仿宋_GBK"/>
          <w:color w:val="000000"/>
          <w:sz w:val="32"/>
          <w:szCs w:val="32"/>
          <w:lang w:bidi="ar-SA"/>
        </w:rPr>
        <w:t>非洲建交国家</w:t>
      </w:r>
      <w:r>
        <w:rPr>
          <w:rFonts w:cs="Times New Roman" w:eastAsia="方正仿宋_GBK"/>
          <w:color w:val="000000"/>
          <w:sz w:val="32"/>
          <w:szCs w:val="32"/>
          <w:lang w:bidi="ar-SA"/>
        </w:rPr>
        <w:t>。</w:t>
      </w:r>
    </w:p>
    <w:p>
      <w:pPr>
        <w:pStyle w:val="1"/>
        <w:ind w:firstLine="624"/>
        <w:rPr>
          <w:rFonts w:ascii="方正黑体_GBK" w:hAnsi="方正黑体_GBK" w:eastAsia="方正黑体_GBK" w:cs="方正黑体_GBK"/>
          <w:bCs/>
          <w:szCs w:val="32"/>
          <w:lang w:bidi="ar"/>
        </w:rPr>
      </w:pPr>
      <w:r>
        <w:rPr>
          <w:rFonts w:ascii="方正黑体_GBK" w:hAnsi="方正黑体_GBK" w:cs="方正黑体_GBK" w:eastAsia="方正黑体_GBK"/>
          <w:bCs/>
          <w:szCs w:val="32"/>
          <w:lang w:bidi="ar"/>
        </w:rPr>
        <w:t>四、企业注册</w:t>
      </w:r>
    </w:p>
    <w:p>
      <w:pPr>
        <w:pStyle w:val="1810"/>
        <w:snapToGrid w:val="false"/>
        <w:spacing w:lineRule="exact" w:line="560"/>
        <w:ind w:firstLine="640"/>
        <w:rPr>
          <w:rFonts w:eastAsia="方正仿宋_GBK" w:cs="Times New Roman"/>
          <w:color w:val="000000"/>
          <w:sz w:val="32"/>
          <w:szCs w:val="32"/>
          <w:lang w:bidi="ar-SA"/>
        </w:rPr>
      </w:pPr>
      <w:r>
        <w:rPr>
          <w:rFonts w:cs="Times New Roman" w:eastAsia="方正仿宋_GBK"/>
          <w:color w:val="000000"/>
          <w:sz w:val="32"/>
          <w:szCs w:val="32"/>
          <w:lang w:bidi="ar-SA"/>
        </w:rPr>
        <w:t>输华</w:t>
      </w:r>
      <w:r>
        <w:rPr>
          <w:rFonts w:cs="Times New Roman" w:eastAsia="方正仿宋_GBK"/>
          <w:color w:val="000000"/>
          <w:sz w:val="32"/>
          <w:szCs w:val="32"/>
          <w:lang w:bidi="ar-SA"/>
        </w:rPr>
        <w:t>可可豆的</w:t>
      </w:r>
      <w:r>
        <w:rPr>
          <w:rFonts w:cs="方正仿宋_GBK" w:eastAsia="方正仿宋_GBK"/>
          <w:bCs/>
          <w:spacing w:val="-4"/>
          <w:sz w:val="32"/>
          <w:szCs w:val="32"/>
          <w:lang w:bidi="ar"/>
        </w:rPr>
        <w:t>生产加工企业</w:t>
      </w:r>
      <w:r>
        <w:rPr>
          <w:rFonts w:cs="Times New Roman" w:eastAsia="方正仿宋_GBK"/>
          <w:color w:val="000000"/>
          <w:sz w:val="32"/>
          <w:szCs w:val="32"/>
          <w:lang w:bidi="ar-SA"/>
        </w:rPr>
        <w:t>应</w:t>
      </w:r>
      <w:r>
        <w:rPr>
          <w:rFonts w:cs="Times New Roman" w:eastAsia="方正仿宋_GBK"/>
          <w:color w:val="000000"/>
          <w:sz w:val="32"/>
          <w:szCs w:val="32"/>
          <w:lang w:bidi="ar-SA"/>
        </w:rPr>
        <w:t>经出口国</w:t>
      </w:r>
      <w:r>
        <w:rPr>
          <w:rFonts w:eastAsia="方正仿宋_GBK"/>
          <w:color w:val="000000"/>
          <w:sz w:val="32"/>
          <w:szCs w:val="32"/>
        </w:rPr>
        <w:t>主管部门</w:t>
      </w:r>
      <w:r>
        <w:rPr>
          <w:rFonts w:eastAsia="方正仿宋_GBK"/>
          <w:color w:val="000000"/>
          <w:sz w:val="32"/>
          <w:szCs w:val="32"/>
        </w:rPr>
        <w:t>（</w:t>
      </w:r>
      <w:r>
        <w:rPr>
          <w:rFonts w:cs="Times New Roman" w:eastAsia="方正仿宋_GBK"/>
          <w:color w:val="000000"/>
          <w:sz w:val="32"/>
          <w:szCs w:val="32"/>
          <w:lang w:bidi="ar-SA"/>
        </w:rPr>
        <w:t>以下称出口国官方</w:t>
      </w:r>
      <w:r>
        <w:rPr>
          <w:rFonts w:eastAsia="方正仿宋_GBK"/>
          <w:color w:val="000000"/>
          <w:sz w:val="32"/>
          <w:szCs w:val="32"/>
        </w:rPr>
        <w:t>）</w:t>
      </w:r>
      <w:r>
        <w:rPr>
          <w:rFonts w:cs="Times New Roman" w:eastAsia="方正仿宋_GBK"/>
          <w:color w:val="000000"/>
          <w:sz w:val="32"/>
          <w:szCs w:val="32"/>
          <w:lang w:bidi="ar-SA"/>
        </w:rPr>
        <w:t>审核，并经中华人民共和国海关总署（以下称中方）批准注册。注册信息包括名称、地址及注册</w:t>
      </w:r>
      <w:r>
        <w:rPr>
          <w:rFonts w:cs="Times New Roman" w:eastAsia="方正仿宋_GBK"/>
          <w:color w:val="000000"/>
          <w:sz w:val="32"/>
          <w:szCs w:val="32"/>
          <w:lang w:bidi="ar-SA"/>
        </w:rPr>
        <w:t>号码等</w:t>
      </w:r>
      <w:r>
        <w:rPr>
          <w:rFonts w:cs="Times New Roman" w:eastAsia="方正仿宋_GBK"/>
          <w:color w:val="000000"/>
          <w:sz w:val="32"/>
          <w:szCs w:val="32"/>
          <w:lang w:bidi="ar-SA"/>
        </w:rPr>
        <w:t>，以便在输华</w:t>
      </w:r>
      <w:r>
        <w:rPr>
          <w:rFonts w:cs="Times New Roman" w:eastAsia="方正仿宋_GBK"/>
          <w:color w:val="000000"/>
          <w:sz w:val="32"/>
          <w:szCs w:val="32"/>
          <w:lang w:bidi="ar-SA"/>
        </w:rPr>
        <w:t>可可豆</w:t>
      </w:r>
      <w:r>
        <w:rPr>
          <w:rFonts w:cs="Times New Roman" w:eastAsia="方正仿宋_GBK"/>
          <w:color w:val="000000"/>
          <w:sz w:val="32"/>
          <w:szCs w:val="32"/>
          <w:lang w:bidi="ar-SA"/>
        </w:rPr>
        <w:t>不符合本</w:t>
      </w:r>
      <w:r>
        <w:rPr>
          <w:rFonts w:cs="Times New Roman" w:eastAsia="方正仿宋_GBK"/>
          <w:color w:val="000000"/>
          <w:sz w:val="32"/>
          <w:szCs w:val="32"/>
          <w:lang w:bidi="ar-SA"/>
        </w:rPr>
        <w:t>公告</w:t>
      </w:r>
      <w:r>
        <w:rPr>
          <w:rFonts w:cs="Times New Roman" w:eastAsia="方正仿宋_GBK"/>
          <w:color w:val="000000"/>
          <w:sz w:val="32"/>
          <w:szCs w:val="32"/>
          <w:lang w:bidi="ar-SA"/>
        </w:rPr>
        <w:t>相关规定</w:t>
      </w:r>
      <w:r>
        <w:rPr>
          <w:rFonts w:cs="Times New Roman" w:eastAsia="方正仿宋_GBK"/>
          <w:color w:val="000000"/>
          <w:sz w:val="32"/>
          <w:szCs w:val="32"/>
          <w:lang w:bidi="ar-SA"/>
        </w:rPr>
        <w:t>时</w:t>
      </w:r>
      <w:r>
        <w:rPr>
          <w:rFonts w:cs="Times New Roman" w:eastAsia="方正仿宋_GBK"/>
          <w:color w:val="000000"/>
          <w:sz w:val="32"/>
          <w:szCs w:val="32"/>
          <w:lang w:bidi="ar-SA"/>
        </w:rPr>
        <w:t>准确溯源。</w:t>
      </w:r>
      <w:r>
        <w:rPr>
          <w:rFonts w:cs="Times New Roman" w:eastAsia="方正仿宋_GBK"/>
          <w:color w:val="000000"/>
          <w:sz w:val="32"/>
          <w:szCs w:val="32"/>
          <w:lang w:bidi="ar-SA"/>
        </w:rPr>
        <w:t>在贸易开始前，</w:t>
      </w:r>
      <w:r>
        <w:rPr>
          <w:rFonts w:cs="Times New Roman" w:eastAsia="方正仿宋_GBK"/>
          <w:color w:val="000000"/>
          <w:sz w:val="32"/>
          <w:szCs w:val="32"/>
          <w:lang w:bidi="ar-SA"/>
        </w:rPr>
        <w:t>出口国官方应向中方提供注册名单。经中方审核批准后，中方将在</w:t>
      </w:r>
      <w:r>
        <w:rPr>
          <w:rFonts w:cs="Times New Roman" w:eastAsia="方正仿宋_GBK"/>
          <w:color w:val="000000"/>
          <w:sz w:val="32"/>
          <w:szCs w:val="32"/>
          <w:lang w:bidi="ar-SA"/>
        </w:rPr>
        <w:t>海关</w:t>
      </w:r>
      <w:r>
        <w:rPr>
          <w:rFonts w:cs="Times New Roman" w:eastAsia="方正仿宋_GBK"/>
          <w:color w:val="000000"/>
          <w:sz w:val="32"/>
          <w:szCs w:val="32"/>
          <w:lang w:bidi="ar-SA"/>
        </w:rPr>
        <w:t>总署网站上公布。</w:t>
      </w:r>
    </w:p>
    <w:p>
      <w:pPr>
        <w:pStyle w:val="1"/>
        <w:ind w:firstLine="624"/>
        <w:rPr>
          <w:rFonts w:ascii="方正黑体_GBK" w:hAnsi="方正黑体_GBK" w:eastAsia="方正黑体_GBK" w:cs="方正黑体_GBK"/>
          <w:bCs/>
          <w:szCs w:val="32"/>
          <w:lang w:bidi="ar-SA"/>
        </w:rPr>
      </w:pPr>
      <w:r>
        <w:rPr>
          <w:rFonts w:ascii="方正黑体_GBK" w:hAnsi="方正黑体_GBK" w:cs="方正黑体_GBK" w:eastAsia="方正黑体_GBK"/>
          <w:bCs/>
          <w:szCs w:val="32"/>
          <w:lang w:bidi="ar"/>
        </w:rPr>
        <w:t>五、中方关注的检疫性有害生物</w:t>
      </w:r>
    </w:p>
    <w:p>
      <w:pPr>
        <w:pStyle w:val="68310"/>
        <w:tabs>
          <w:tab w:val="clear" w:pos="420"/>
          <w:tab w:val="left" w:pos="0" w:leader="none"/>
        </w:tabs>
        <w:spacing w:lineRule="exact" w:line="560"/>
        <w:ind w:firstLine="624"/>
        <w:rPr>
          <w:rFonts w:eastAsia="方正仿宋_GBK"/>
          <w:sz w:val="32"/>
          <w:szCs w:val="32"/>
        </w:rPr>
      </w:pPr>
      <w:r>
        <w:rPr>
          <w:rFonts w:eastAsia="方正仿宋_GBK"/>
          <w:bCs/>
          <w:spacing w:val="-4"/>
          <w:sz w:val="32"/>
          <w:szCs w:val="32"/>
          <w:lang w:bidi="ar"/>
        </w:rPr>
        <w:t>1</w:t>
      </w:r>
      <w:r>
        <w:rPr>
          <w:rFonts w:eastAsia="方正仿宋_GBK" w:cs="方正仿宋_GBK"/>
          <w:bCs/>
          <w:spacing w:val="-4"/>
          <w:sz w:val="32"/>
          <w:szCs w:val="32"/>
          <w:lang w:bidi="ar"/>
        </w:rPr>
        <w:t xml:space="preserve">. </w:t>
      </w:r>
      <w:r>
        <w:rPr>
          <w:rFonts w:eastAsia="方正仿宋_GBK"/>
          <w:sz w:val="32"/>
          <w:szCs w:val="32"/>
        </w:rPr>
        <w:t>花生豆象</w:t>
      </w:r>
      <w:r>
        <w:rPr>
          <w:rFonts w:eastAsia="Times New Roman"/>
          <w:sz w:val="32"/>
          <w:szCs w:val="32"/>
        </w:rPr>
        <w:t xml:space="preserve"> </w:t>
      </w:r>
      <w:r>
        <w:rPr>
          <w:rFonts w:eastAsia="方正仿宋_GBK"/>
          <w:i/>
          <w:iCs/>
          <w:sz w:val="32"/>
          <w:szCs w:val="32"/>
        </w:rPr>
        <w:t>Caryedon serratus</w:t>
      </w:r>
    </w:p>
    <w:p>
      <w:pPr>
        <w:pStyle w:val="68310"/>
        <w:tabs>
          <w:tab w:val="clear" w:pos="420"/>
          <w:tab w:val="left" w:pos="0" w:leader="none"/>
        </w:tabs>
        <w:spacing w:lineRule="exact" w:line="560"/>
        <w:ind w:firstLine="624"/>
        <w:rPr>
          <w:rFonts w:eastAsia="方正仿宋_GBK"/>
          <w:sz w:val="32"/>
          <w:szCs w:val="32"/>
        </w:rPr>
      </w:pPr>
      <w:r>
        <w:rPr>
          <w:rFonts w:eastAsia="方正仿宋_GBK"/>
          <w:sz w:val="32"/>
          <w:szCs w:val="32"/>
        </w:rPr>
        <w:t>2.</w:t>
      </w:r>
      <w:r>
        <w:rPr>
          <w:rFonts w:eastAsia="方正仿宋_GBK"/>
          <w:sz w:val="32"/>
          <w:szCs w:val="32"/>
        </w:rPr>
        <w:t xml:space="preserve"> </w:t>
      </w:r>
      <w:r>
        <w:rPr>
          <w:rFonts w:eastAsia="方正仿宋_GBK"/>
          <w:sz w:val="32"/>
          <w:szCs w:val="32"/>
        </w:rPr>
        <w:t>可可花瘿病菌</w:t>
      </w:r>
      <w:r>
        <w:rPr>
          <w:rFonts w:eastAsia="方正仿宋_GBK"/>
          <w:i/>
          <w:iCs/>
          <w:sz w:val="32"/>
          <w:szCs w:val="32"/>
        </w:rPr>
        <w:t>Nectria rigidiuscula</w:t>
      </w:r>
    </w:p>
    <w:p>
      <w:pPr>
        <w:pStyle w:val="68310"/>
        <w:tabs>
          <w:tab w:val="clear" w:pos="420"/>
          <w:tab w:val="left" w:pos="0" w:leader="none"/>
        </w:tabs>
        <w:spacing w:lineRule="exact" w:line="560"/>
        <w:ind w:firstLine="624"/>
        <w:rPr>
          <w:rFonts w:eastAsia="方正仿宋_GBK" w:cs="仿宋"/>
          <w:bCs/>
          <w:i/>
          <w:i/>
          <w:iCs/>
          <w:sz w:val="32"/>
          <w:szCs w:val="32"/>
          <w:lang w:bidi="ar-SA"/>
        </w:rPr>
      </w:pPr>
      <w:r>
        <w:rPr>
          <w:rFonts w:eastAsia="方正仿宋_GBK" w:cs="仿宋"/>
          <w:bCs/>
          <w:sz w:val="32"/>
          <w:szCs w:val="32"/>
          <w:lang w:bidi="ar-SA"/>
        </w:rPr>
        <w:t>3.</w:t>
      </w:r>
      <w:r>
        <w:rPr>
          <w:rFonts w:eastAsia="方正仿宋_GBK" w:cs="仿宋"/>
          <w:bCs/>
          <w:sz w:val="32"/>
          <w:szCs w:val="32"/>
          <w:lang w:bidi="ar-SA"/>
        </w:rPr>
        <w:t xml:space="preserve"> </w:t>
      </w:r>
      <w:r>
        <w:rPr>
          <w:rFonts w:cs="仿宋" w:eastAsia="方正仿宋_GBK"/>
          <w:bCs/>
          <w:sz w:val="32"/>
          <w:szCs w:val="32"/>
          <w:lang w:bidi="ar-SA"/>
        </w:rPr>
        <w:t>可可黑荚病菌</w:t>
      </w:r>
      <w:r>
        <w:rPr>
          <w:rFonts w:cs="Times New Roman" w:eastAsia="Times New Roman"/>
          <w:bCs/>
          <w:sz w:val="32"/>
          <w:szCs w:val="32"/>
          <w:lang w:bidi="ar-SA"/>
        </w:rPr>
        <w:t xml:space="preserve"> </w:t>
      </w:r>
      <w:r>
        <w:rPr>
          <w:rFonts w:eastAsia="方正仿宋_GBK" w:cs="仿宋"/>
          <w:bCs/>
          <w:i/>
          <w:iCs/>
          <w:sz w:val="32"/>
          <w:szCs w:val="32"/>
          <w:lang w:bidi="ar-SA"/>
        </w:rPr>
        <w:t>Phytophthora megakarya</w:t>
      </w:r>
    </w:p>
    <w:p>
      <w:pPr>
        <w:pStyle w:val="68310"/>
        <w:tabs>
          <w:tab w:val="clear" w:pos="420"/>
          <w:tab w:val="left" w:pos="0" w:leader="none"/>
        </w:tabs>
        <w:spacing w:lineRule="exact" w:line="560"/>
        <w:ind w:firstLine="624"/>
        <w:rPr>
          <w:rFonts w:eastAsia="方正仿宋_GBK" w:cs="仿宋"/>
          <w:bCs/>
          <w:sz w:val="32"/>
          <w:szCs w:val="32"/>
          <w:lang w:bidi="ar-SA"/>
        </w:rPr>
      </w:pPr>
      <w:r>
        <w:rPr>
          <w:rFonts w:eastAsia="方正仿宋_GBK" w:cs="仿宋"/>
          <w:bCs/>
          <w:sz w:val="32"/>
          <w:szCs w:val="32"/>
          <w:lang w:bidi="ar-SA"/>
        </w:rPr>
        <w:t>4.</w:t>
      </w:r>
      <w:r>
        <w:rPr>
          <w:rFonts w:eastAsia="方正仿宋_GBK" w:cs="仿宋"/>
          <w:bCs/>
          <w:sz w:val="32"/>
          <w:szCs w:val="32"/>
          <w:lang w:bidi="ar-SA"/>
        </w:rPr>
        <w:t xml:space="preserve"> </w:t>
      </w:r>
      <w:r>
        <w:rPr>
          <w:rFonts w:cs="仿宋" w:eastAsia="方正仿宋_GBK"/>
          <w:bCs/>
          <w:sz w:val="32"/>
          <w:szCs w:val="32"/>
          <w:lang w:bidi="ar-SA"/>
        </w:rPr>
        <w:t>黑根腐病菌</w:t>
      </w:r>
      <w:r>
        <w:rPr>
          <w:rFonts w:eastAsia="方正仿宋_GBK" w:cs="仿宋"/>
          <w:bCs/>
          <w:i/>
          <w:sz w:val="32"/>
          <w:szCs w:val="32"/>
          <w:lang w:bidi="ar-SA"/>
        </w:rPr>
        <w:t>Dematophora bunodes</w:t>
      </w:r>
    </w:p>
    <w:p>
      <w:pPr>
        <w:pStyle w:val="68310"/>
        <w:tabs>
          <w:tab w:val="clear" w:pos="420"/>
          <w:tab w:val="left" w:pos="0" w:leader="none"/>
        </w:tabs>
        <w:spacing w:lineRule="exact" w:line="560"/>
        <w:ind w:firstLine="624"/>
        <w:rPr>
          <w:rFonts w:eastAsia="方正仿宋_GBK" w:cs="仿宋"/>
          <w:bCs/>
          <w:sz w:val="32"/>
          <w:szCs w:val="32"/>
          <w:lang w:bidi="ar-SA"/>
        </w:rPr>
      </w:pPr>
      <w:r>
        <w:rPr>
          <w:rFonts w:eastAsia="方正仿宋_GBK" w:cs="仿宋"/>
          <w:bCs/>
          <w:sz w:val="32"/>
          <w:szCs w:val="32"/>
          <w:lang w:bidi="ar-SA"/>
        </w:rPr>
        <w:t>5.</w:t>
      </w:r>
      <w:r>
        <w:rPr>
          <w:rFonts w:eastAsia="方正仿宋_GBK" w:cs="仿宋"/>
          <w:bCs/>
          <w:sz w:val="32"/>
          <w:szCs w:val="32"/>
          <w:lang w:bidi="ar-SA"/>
        </w:rPr>
        <w:t xml:space="preserve"> </w:t>
      </w:r>
      <w:r>
        <w:rPr>
          <w:rFonts w:cs="仿宋" w:eastAsia="方正仿宋_GBK"/>
          <w:bCs/>
          <w:sz w:val="32"/>
          <w:szCs w:val="32"/>
          <w:lang w:bidi="ar-SA"/>
        </w:rPr>
        <w:t>木层孔褐根腐病菌</w:t>
      </w:r>
      <w:r>
        <w:rPr>
          <w:rFonts w:eastAsia="方正仿宋_GBK" w:cs="仿宋"/>
          <w:bCs/>
          <w:i/>
          <w:sz w:val="32"/>
          <w:szCs w:val="32"/>
          <w:lang w:bidi="ar-SA"/>
        </w:rPr>
        <w:t>Phellinus noxius</w:t>
      </w:r>
    </w:p>
    <w:p>
      <w:pPr>
        <w:pStyle w:val="68310"/>
        <w:tabs>
          <w:tab w:val="clear" w:pos="420"/>
          <w:tab w:val="left" w:pos="0" w:leader="none"/>
        </w:tabs>
        <w:spacing w:lineRule="exact" w:line="560"/>
        <w:ind w:firstLine="624"/>
        <w:rPr>
          <w:rFonts w:eastAsia="方正仿宋_GBK" w:cs="仿宋"/>
          <w:bCs/>
          <w:sz w:val="32"/>
          <w:szCs w:val="32"/>
          <w:lang w:bidi="ar-SA"/>
        </w:rPr>
      </w:pPr>
      <w:r>
        <w:rPr>
          <w:rFonts w:eastAsia="方正仿宋_GBK" w:cs="仿宋"/>
          <w:bCs/>
          <w:sz w:val="32"/>
          <w:szCs w:val="32"/>
          <w:lang w:bidi="ar-SA"/>
        </w:rPr>
        <w:t>6.</w:t>
      </w:r>
      <w:r>
        <w:rPr>
          <w:rFonts w:eastAsia="方正仿宋_GBK" w:cs="仿宋"/>
          <w:bCs/>
          <w:sz w:val="32"/>
          <w:szCs w:val="32"/>
          <w:lang w:bidi="ar-SA"/>
        </w:rPr>
        <w:t xml:space="preserve"> </w:t>
      </w:r>
      <w:r>
        <w:rPr>
          <w:rFonts w:cs="仿宋" w:eastAsia="方正仿宋_GBK"/>
          <w:bCs/>
          <w:sz w:val="32"/>
          <w:szCs w:val="32"/>
          <w:lang w:bidi="ar-SA"/>
        </w:rPr>
        <w:t>橡胶白根病菌</w:t>
      </w:r>
      <w:r>
        <w:rPr>
          <w:rFonts w:eastAsia="方正仿宋_GBK" w:cs="仿宋"/>
          <w:bCs/>
          <w:i/>
          <w:sz w:val="32"/>
          <w:szCs w:val="32"/>
          <w:lang w:bidi="ar-SA"/>
        </w:rPr>
        <w:t>Rigidoporus lignosus</w:t>
      </w:r>
    </w:p>
    <w:p>
      <w:pPr>
        <w:pStyle w:val="1"/>
        <w:ind w:firstLine="624"/>
        <w:rPr>
          <w:rFonts w:ascii="方正黑体_GBK" w:hAnsi="方正黑体_GBK" w:eastAsia="方正黑体_GBK" w:cs="方正黑体_GBK"/>
          <w:bCs/>
          <w:szCs w:val="32"/>
          <w:lang w:bidi="ar-SA"/>
        </w:rPr>
      </w:pPr>
      <w:r>
        <w:rPr>
          <w:rFonts w:ascii="方正黑体_GBK" w:hAnsi="方正黑体_GBK" w:cs="方正黑体_GBK" w:eastAsia="方正黑体_GBK"/>
          <w:bCs/>
          <w:szCs w:val="32"/>
          <w:lang w:bidi="ar"/>
        </w:rPr>
        <w:t>六、装运前要求</w:t>
      </w:r>
    </w:p>
    <w:p>
      <w:pPr>
        <w:pStyle w:val="3110"/>
        <w:snapToGrid w:val="false"/>
        <w:spacing w:lineRule="exact" w:line="560"/>
        <w:ind w:firstLine="640"/>
        <w:rPr>
          <w:rFonts w:eastAsia="方正仿宋_GBK" w:cs="方正仿宋_GBK"/>
          <w:bCs/>
          <w:sz w:val="32"/>
          <w:szCs w:val="32"/>
          <w:lang w:bidi="ar-SA"/>
        </w:rPr>
      </w:pPr>
      <w:r>
        <w:rPr>
          <w:rFonts w:ascii="方正楷体_GBK" w:hAnsi="方正楷体_GBK" w:cs="方正楷体_GBK" w:eastAsia="方正楷体_GBK"/>
          <w:b/>
          <w:bCs/>
          <w:color w:val="000000"/>
          <w:sz w:val="32"/>
          <w:szCs w:val="32"/>
          <w:lang w:bidi="ar-SA"/>
        </w:rPr>
        <w:t>（一）种植管理。</w:t>
      </w:r>
    </w:p>
    <w:p>
      <w:pPr>
        <w:pStyle w:val="3910"/>
        <w:snapToGrid w:val="false"/>
        <w:spacing w:lineRule="exact" w:line="560"/>
        <w:ind w:firstLine="624"/>
        <w:rPr>
          <w:rFonts w:eastAsia="方正仿宋_GBK"/>
          <w:color w:val="000000"/>
          <w:sz w:val="32"/>
          <w:szCs w:val="32"/>
        </w:rPr>
      </w:pPr>
      <w:r>
        <w:rPr>
          <w:rFonts w:eastAsia="方正仿宋_GBK"/>
          <w:bCs/>
          <w:spacing w:val="-4"/>
          <w:sz w:val="32"/>
          <w:szCs w:val="32"/>
          <w:lang w:bidi="ar"/>
        </w:rPr>
        <w:t>1</w:t>
      </w:r>
      <w:r>
        <w:rPr>
          <w:rFonts w:cs="方正仿宋_GBK" w:eastAsia="方正仿宋_GBK"/>
          <w:bCs/>
          <w:spacing w:val="-4"/>
          <w:sz w:val="32"/>
          <w:szCs w:val="32"/>
          <w:lang w:bidi="ar"/>
        </w:rPr>
        <w:t>．</w:t>
      </w:r>
      <w:r>
        <w:rPr>
          <w:rFonts w:cs="方正仿宋_GBK" w:eastAsia="方正仿宋_GBK"/>
          <w:bCs/>
          <w:spacing w:val="-4"/>
          <w:sz w:val="32"/>
          <w:szCs w:val="32"/>
          <w:lang w:bidi="ar"/>
        </w:rPr>
        <w:t>种植企业应在</w:t>
      </w:r>
      <w:r>
        <w:rPr>
          <w:rFonts w:cs="方正仿宋_GBK" w:eastAsia="方正仿宋_GBK"/>
          <w:bCs/>
          <w:spacing w:val="-4"/>
          <w:sz w:val="32"/>
          <w:szCs w:val="32"/>
          <w:lang w:bidi="ar"/>
        </w:rPr>
        <w:t>出口国</w:t>
      </w:r>
      <w:r>
        <w:rPr>
          <w:rFonts w:cs="方正仿宋_GBK" w:eastAsia="方正仿宋_GBK"/>
          <w:bCs/>
          <w:spacing w:val="-4"/>
          <w:sz w:val="32"/>
          <w:szCs w:val="32"/>
          <w:lang w:bidi="ar"/>
        </w:rPr>
        <w:t>官方监管下建立完善</w:t>
      </w:r>
      <w:r>
        <w:rPr>
          <w:rFonts w:eastAsia="方正仿宋_GBK"/>
          <w:color w:val="000000"/>
          <w:sz w:val="32"/>
          <w:szCs w:val="32"/>
        </w:rPr>
        <w:t>质量管理体系和溯源管理体系，实施良好农业操作规范（</w:t>
      </w:r>
      <w:r>
        <w:rPr>
          <w:rFonts w:eastAsia="方正仿宋_GBK"/>
          <w:color w:val="000000"/>
          <w:sz w:val="32"/>
          <w:szCs w:val="32"/>
        </w:rPr>
        <w:t>GAP</w:t>
      </w:r>
      <w:r>
        <w:rPr>
          <w:rFonts w:eastAsia="方正仿宋_GBK"/>
          <w:color w:val="000000"/>
          <w:sz w:val="32"/>
          <w:szCs w:val="32"/>
        </w:rPr>
        <w:t>），维持种植卫生条件，如周围无污染源、及时清理植物病残体等，并实施有害生物综合治理（</w:t>
      </w:r>
      <w:r>
        <w:rPr>
          <w:rFonts w:eastAsia="方正仿宋_GBK"/>
          <w:color w:val="000000"/>
          <w:sz w:val="32"/>
          <w:szCs w:val="32"/>
        </w:rPr>
        <w:t>IPM</w:t>
      </w:r>
      <w:r>
        <w:rPr>
          <w:rFonts w:eastAsia="方正仿宋_GBK"/>
          <w:color w:val="000000"/>
          <w:sz w:val="32"/>
          <w:szCs w:val="32"/>
        </w:rPr>
        <w:t>），包括有害生物监测调查，物理、化学或生物防治，以及农事操作等防控措施。</w:t>
      </w:r>
    </w:p>
    <w:p>
      <w:pPr>
        <w:pStyle w:val="1"/>
        <w:ind w:firstLine="624"/>
        <w:rPr>
          <w:rFonts w:cs="方正仿宋_GBK"/>
          <w:bCs/>
          <w:szCs w:val="32"/>
          <w:lang w:bidi="ar-SA"/>
        </w:rPr>
      </w:pPr>
      <w:r>
        <w:rPr>
          <w:color w:val="000000"/>
          <w:szCs w:val="32"/>
        </w:rPr>
        <w:t>2</w:t>
      </w:r>
      <w:r>
        <w:rPr>
          <w:color w:val="000000"/>
          <w:szCs w:val="32"/>
        </w:rPr>
        <w:t>．</w:t>
      </w:r>
      <w:r>
        <w:rPr>
          <w:color w:val="000000"/>
          <w:szCs w:val="32"/>
        </w:rPr>
        <w:t>种植</w:t>
      </w:r>
      <w:r>
        <w:rPr>
          <w:color w:val="000000"/>
          <w:szCs w:val="32"/>
        </w:rPr>
        <w:t>企业</w:t>
      </w:r>
      <w:r>
        <w:rPr>
          <w:color w:val="000000"/>
          <w:szCs w:val="32"/>
        </w:rPr>
        <w:t>应在出口国官方监管下，针对中方关注的检疫性有害生物开展有害生物监测和综合</w:t>
      </w:r>
      <w:r>
        <w:rPr>
          <w:color w:val="000000"/>
          <w:szCs w:val="32"/>
        </w:rPr>
        <w:t>防治</w:t>
      </w:r>
      <w:r>
        <w:rPr>
          <w:color w:val="000000"/>
          <w:szCs w:val="32"/>
        </w:rPr>
        <w:t>管理。有害生物监测与防治应在专业技术人员指导下实施。技术人员应当接受出口国官方或其授权机构的培训。种植</w:t>
      </w:r>
      <w:r>
        <w:rPr>
          <w:color w:val="000000"/>
          <w:szCs w:val="32"/>
        </w:rPr>
        <w:t>企业</w:t>
      </w:r>
      <w:r>
        <w:rPr>
          <w:color w:val="000000"/>
          <w:szCs w:val="32"/>
        </w:rPr>
        <w:t>应保留有害生物监测和防治记录至少</w:t>
      </w:r>
      <w:r>
        <w:rPr>
          <w:color w:val="000000"/>
          <w:szCs w:val="32"/>
        </w:rPr>
        <w:t>2</w:t>
      </w:r>
      <w:r>
        <w:rPr>
          <w:color w:val="000000"/>
          <w:szCs w:val="32"/>
        </w:rPr>
        <w:t>年，应要求向中方提供。有害生物监测及防治记录应至少包括监测时间、发现的有害生物名称、采取的防治措施以及所使用化</w:t>
      </w:r>
      <w:r>
        <w:rPr>
          <w:color w:val="000000"/>
          <w:szCs w:val="32"/>
        </w:rPr>
        <w:t>学品的使用日期、有效成分和浓度等详细信息。</w:t>
      </w:r>
      <w:r>
        <w:rPr>
          <w:rFonts w:cs="方正仿宋_GBK"/>
          <w:bCs/>
          <w:szCs w:val="32"/>
          <w:lang w:bidi="ar"/>
        </w:rPr>
        <w:t>在有害生物防治工作中，不得使用中方禁止使用的农药。</w:t>
      </w:r>
    </w:p>
    <w:p>
      <w:pPr>
        <w:pStyle w:val="3110"/>
        <w:snapToGrid w:val="false"/>
        <w:spacing w:lineRule="exact" w:line="560"/>
        <w:ind w:firstLine="640"/>
        <w:rPr>
          <w:rFonts w:ascii="方正楷体_GBK" w:hAnsi="方正楷体_GBK" w:eastAsia="方正楷体_GBK" w:cs="方正楷体_GBK"/>
          <w:b/>
          <w:b/>
          <w:bCs/>
          <w:color w:val="000000"/>
          <w:sz w:val="32"/>
          <w:szCs w:val="32"/>
          <w:lang w:bidi="ar-SA"/>
        </w:rPr>
      </w:pPr>
      <w:r>
        <w:rPr>
          <w:rFonts w:ascii="方正楷体_GBK" w:hAnsi="方正楷体_GBK" w:cs="方正楷体_GBK" w:eastAsia="方正楷体_GBK"/>
          <w:b/>
          <w:bCs/>
          <w:color w:val="000000"/>
          <w:sz w:val="32"/>
          <w:szCs w:val="32"/>
          <w:lang w:bidi="ar-SA"/>
        </w:rPr>
        <w:t>（二）加工管理。</w:t>
      </w:r>
    </w:p>
    <w:p>
      <w:pPr>
        <w:pStyle w:val="3210"/>
        <w:snapToGrid w:val="false"/>
        <w:spacing w:lineRule="exact" w:line="560"/>
        <w:ind w:firstLine="640"/>
        <w:rPr>
          <w:rFonts w:eastAsia="方正仿宋_GBK"/>
          <w:color w:val="000000"/>
          <w:sz w:val="32"/>
          <w:szCs w:val="32"/>
        </w:rPr>
      </w:pPr>
      <w:r>
        <w:rPr>
          <w:rFonts w:eastAsia="方正仿宋_GBK"/>
          <w:color w:val="000000"/>
          <w:sz w:val="32"/>
          <w:szCs w:val="32"/>
        </w:rPr>
        <w:t>1</w:t>
      </w:r>
      <w:r>
        <w:rPr>
          <w:rFonts w:eastAsia="方正仿宋_GBK"/>
          <w:color w:val="000000"/>
          <w:sz w:val="32"/>
          <w:szCs w:val="32"/>
        </w:rPr>
        <w:t>．生产加工企业应建立溯源体系以保证输华可可豆可追溯至种植基地。</w:t>
      </w:r>
    </w:p>
    <w:p>
      <w:pPr>
        <w:pStyle w:val="3210"/>
        <w:snapToGrid w:val="false"/>
        <w:spacing w:lineRule="exact" w:line="560"/>
        <w:ind w:firstLine="640"/>
        <w:rPr>
          <w:rFonts w:eastAsia="方正仿宋_GBK"/>
          <w:color w:val="000000"/>
          <w:sz w:val="32"/>
          <w:szCs w:val="32"/>
        </w:rPr>
      </w:pPr>
      <w:r>
        <w:rPr>
          <w:rFonts w:eastAsia="方正仿宋_GBK"/>
          <w:color w:val="000000"/>
          <w:sz w:val="32"/>
          <w:szCs w:val="32"/>
        </w:rPr>
        <w:t>2</w:t>
      </w:r>
      <w:r>
        <w:rPr>
          <w:rFonts w:eastAsia="方正仿宋_GBK"/>
          <w:color w:val="000000"/>
          <w:sz w:val="32"/>
          <w:szCs w:val="32"/>
        </w:rPr>
        <w:t>．加工、包装、储藏和装运过程，应在</w:t>
      </w:r>
      <w:r>
        <w:rPr>
          <w:rFonts w:eastAsia="方正仿宋_GBK"/>
          <w:color w:val="000000"/>
          <w:sz w:val="32"/>
          <w:szCs w:val="32"/>
        </w:rPr>
        <w:t>出口国官方</w:t>
      </w:r>
      <w:r>
        <w:rPr>
          <w:rFonts w:eastAsia="方正仿宋_GBK"/>
          <w:color w:val="000000"/>
          <w:sz w:val="32"/>
          <w:szCs w:val="32"/>
        </w:rPr>
        <w:t>或其授权人员检疫监管下进行，相关区域应相对独立、布局合理，整洁卫生、地面硬化，与生活区采取隔离措施并保持适当距离。</w:t>
      </w:r>
    </w:p>
    <w:p>
      <w:pPr>
        <w:pStyle w:val="101"/>
        <w:ind w:firstLine="624"/>
        <w:rPr>
          <w:rFonts w:cs="方正仿宋_GBK"/>
          <w:bCs/>
          <w:szCs w:val="32"/>
          <w:lang w:bidi="ar-SA"/>
        </w:rPr>
      </w:pPr>
      <w:r>
        <w:rPr>
          <w:color w:val="000000"/>
          <w:szCs w:val="32"/>
        </w:rPr>
        <w:t>3</w:t>
      </w:r>
      <w:r>
        <w:rPr>
          <w:color w:val="000000"/>
          <w:szCs w:val="32"/>
        </w:rPr>
        <w:t>．加工过程中，应经过人工挑拣、筛选、清洁</w:t>
      </w:r>
      <w:r>
        <w:rPr>
          <w:color w:val="000000"/>
          <w:szCs w:val="32"/>
        </w:rPr>
        <w:t>、除杂</w:t>
      </w:r>
      <w:r>
        <w:rPr>
          <w:color w:val="000000"/>
          <w:szCs w:val="32"/>
        </w:rPr>
        <w:t>等工序，以确保不带</w:t>
      </w:r>
      <w:r>
        <w:rPr>
          <w:rFonts w:cs="方正仿宋_GBK"/>
          <w:bCs/>
          <w:szCs w:val="32"/>
          <w:lang w:bidi="ar"/>
        </w:rPr>
        <w:t>霉变豆、虫蛀豆</w:t>
      </w:r>
      <w:r>
        <w:rPr>
          <w:rFonts w:cs="方正仿宋_GBK"/>
          <w:bCs/>
          <w:szCs w:val="32"/>
          <w:lang w:bidi="ar"/>
        </w:rPr>
        <w:t>以及</w:t>
      </w:r>
      <w:r>
        <w:rPr>
          <w:rFonts w:cs="方正仿宋_GBK"/>
          <w:bCs/>
          <w:szCs w:val="32"/>
          <w:lang w:bidi="ar"/>
        </w:rPr>
        <w:t>活虫、虫卵、土壤</w:t>
      </w:r>
      <w:r>
        <w:rPr>
          <w:rFonts w:cs="方正仿宋_GBK"/>
          <w:bCs/>
          <w:szCs w:val="32"/>
          <w:lang w:bidi="ar"/>
        </w:rPr>
        <w:t>、</w:t>
      </w:r>
      <w:r>
        <w:rPr>
          <w:rFonts w:cs="方正仿宋_GBK"/>
          <w:bCs/>
          <w:szCs w:val="32"/>
          <w:lang w:bidi="ar"/>
        </w:rPr>
        <w:t>杂草种子、植物残体和砂砾等杂质。</w:t>
      </w:r>
    </w:p>
    <w:p>
      <w:pPr>
        <w:pStyle w:val="3310"/>
        <w:snapToGrid w:val="false"/>
        <w:spacing w:lineRule="exact" w:line="560"/>
        <w:ind w:firstLine="640"/>
        <w:rPr>
          <w:rFonts w:ascii="方正楷体_GBK" w:hAnsi="方正楷体_GBK" w:eastAsia="方正楷体_GBK" w:cs="方正楷体_GBK"/>
          <w:b/>
          <w:b/>
          <w:bCs/>
          <w:color w:val="000000"/>
          <w:sz w:val="32"/>
          <w:szCs w:val="32"/>
          <w:lang w:bidi="ar-SA"/>
        </w:rPr>
      </w:pPr>
      <w:r>
        <w:rPr>
          <w:rFonts w:ascii="方正楷体_GBK" w:hAnsi="方正楷体_GBK" w:cs="方正楷体_GBK" w:eastAsia="方正楷体_GBK"/>
          <w:b/>
          <w:bCs/>
          <w:color w:val="000000"/>
          <w:sz w:val="32"/>
          <w:szCs w:val="32"/>
          <w:lang w:bidi="ar-SA"/>
        </w:rPr>
        <w:t>（三）包装要求。</w:t>
      </w:r>
    </w:p>
    <w:p>
      <w:pPr>
        <w:pStyle w:val="1610"/>
        <w:snapToGrid w:val="false"/>
        <w:spacing w:lineRule="exact" w:line="560"/>
        <w:ind w:firstLine="640"/>
        <w:rPr>
          <w:rFonts w:eastAsia="方正仿宋_GBK"/>
          <w:color w:val="000000"/>
          <w:sz w:val="32"/>
          <w:szCs w:val="32"/>
        </w:rPr>
      </w:pPr>
      <w:r>
        <w:rPr>
          <w:rFonts w:eastAsia="方正仿宋_GBK"/>
          <w:color w:val="000000"/>
          <w:sz w:val="32"/>
          <w:szCs w:val="32"/>
        </w:rPr>
        <w:t>1</w:t>
      </w:r>
      <w:r>
        <w:rPr>
          <w:rFonts w:eastAsia="方正仿宋_GBK"/>
          <w:color w:val="000000"/>
          <w:sz w:val="32"/>
          <w:szCs w:val="32"/>
        </w:rPr>
        <w:t>．原料和成品可可豆应单独存放，防止受到污染。</w:t>
      </w:r>
      <w:r>
        <w:rPr>
          <w:rFonts w:cs="方正仿宋_GBK" w:eastAsia="方正仿宋_GBK"/>
          <w:bCs/>
          <w:spacing w:val="-4"/>
          <w:sz w:val="32"/>
          <w:szCs w:val="32"/>
          <w:lang w:bidi="ar"/>
        </w:rPr>
        <w:t>可可豆应使用</w:t>
      </w:r>
      <w:r>
        <w:rPr>
          <w:rFonts w:eastAsia="方正仿宋_GBK"/>
          <w:color w:val="000000"/>
          <w:sz w:val="32"/>
          <w:szCs w:val="32"/>
        </w:rPr>
        <w:t>干净卫生</w:t>
      </w:r>
      <w:r>
        <w:rPr>
          <w:rFonts w:cs="方正仿宋_GBK" w:eastAsia="方正仿宋_GBK"/>
          <w:bCs/>
          <w:spacing w:val="-4"/>
          <w:sz w:val="32"/>
          <w:szCs w:val="32"/>
          <w:lang w:bidi="ar"/>
        </w:rPr>
        <w:t>、新的、符合植物检疫要求的材料包装。</w:t>
      </w:r>
      <w:r>
        <w:rPr>
          <w:rFonts w:eastAsia="方正仿宋_GBK"/>
          <w:color w:val="000000"/>
          <w:sz w:val="32"/>
          <w:szCs w:val="32"/>
        </w:rPr>
        <w:t>如使用木质包装，须符合国际植物检疫措施标准第</w:t>
      </w:r>
      <w:r>
        <w:rPr>
          <w:rFonts w:eastAsia="方正仿宋_GBK"/>
          <w:color w:val="000000"/>
          <w:sz w:val="32"/>
          <w:szCs w:val="32"/>
        </w:rPr>
        <w:t>15</w:t>
      </w:r>
      <w:r>
        <w:rPr>
          <w:rFonts w:eastAsia="方正仿宋_GBK"/>
          <w:color w:val="000000"/>
          <w:sz w:val="32"/>
          <w:szCs w:val="32"/>
        </w:rPr>
        <w:t>号（</w:t>
      </w:r>
      <w:r>
        <w:rPr>
          <w:rFonts w:eastAsia="方正仿宋_GBK"/>
          <w:color w:val="000000"/>
          <w:sz w:val="32"/>
          <w:szCs w:val="32"/>
        </w:rPr>
        <w:t>ISPM 15</w:t>
      </w:r>
      <w:r>
        <w:rPr>
          <w:rFonts w:eastAsia="方正仿宋_GBK"/>
          <w:color w:val="000000"/>
          <w:sz w:val="32"/>
          <w:szCs w:val="32"/>
        </w:rPr>
        <w:t>）的要求。</w:t>
      </w:r>
    </w:p>
    <w:p>
      <w:pPr>
        <w:pStyle w:val="1610"/>
        <w:snapToGrid w:val="false"/>
        <w:spacing w:lineRule="exact" w:line="560"/>
        <w:ind w:firstLine="640"/>
        <w:rPr>
          <w:rFonts w:eastAsia="方正仿宋_GBK"/>
          <w:color w:val="000000"/>
          <w:sz w:val="32"/>
          <w:szCs w:val="32"/>
        </w:rPr>
      </w:pPr>
      <w:r>
        <w:rPr>
          <w:rFonts w:eastAsia="方正仿宋_GBK"/>
          <w:color w:val="000000"/>
          <w:sz w:val="32"/>
          <w:szCs w:val="32"/>
        </w:rPr>
        <w:t>2</w:t>
      </w:r>
      <w:r>
        <w:rPr>
          <w:rFonts w:eastAsia="方正仿宋_GBK"/>
          <w:color w:val="000000"/>
          <w:sz w:val="32"/>
          <w:szCs w:val="32"/>
        </w:rPr>
        <w:t>．每个包装箱上应以中文或英文标注产品名称、国家、产地，以及</w:t>
      </w:r>
      <w:r>
        <w:rPr>
          <w:rFonts w:cs="方正仿宋_GBK" w:eastAsia="方正仿宋_GBK"/>
          <w:bCs/>
          <w:spacing w:val="-4"/>
          <w:sz w:val="32"/>
          <w:szCs w:val="32"/>
          <w:lang w:bidi="ar"/>
        </w:rPr>
        <w:t>生产加工企业</w:t>
      </w:r>
      <w:r>
        <w:rPr>
          <w:rFonts w:eastAsia="方正仿宋_GBK"/>
          <w:color w:val="000000"/>
          <w:sz w:val="32"/>
          <w:szCs w:val="32"/>
        </w:rPr>
        <w:t>名称或注册号等可追溯信息。每个包装箱和托盘需用中文或英文标注</w:t>
      </w:r>
      <w:r>
        <w:rPr>
          <w:rFonts w:ascii="方正仿宋_GBK" w:hAnsi="方正仿宋_GBK" w:eastAsia="方正仿宋_GBK"/>
          <w:color w:val="000000"/>
          <w:sz w:val="32"/>
          <w:szCs w:val="32"/>
        </w:rPr>
        <w:t>“</w:t>
      </w:r>
      <w:r>
        <w:rPr>
          <w:rFonts w:eastAsia="方正仿宋_GBK"/>
          <w:color w:val="000000"/>
          <w:sz w:val="32"/>
          <w:szCs w:val="32"/>
        </w:rPr>
        <w:t>输往中华人民共和国</w:t>
      </w:r>
      <w:r>
        <w:rPr>
          <w:rFonts w:ascii="方正仿宋_GBK" w:hAnsi="方正仿宋_GBK" w:eastAsia="方正仿宋_GBK"/>
          <w:color w:val="000000"/>
          <w:sz w:val="32"/>
          <w:szCs w:val="32"/>
        </w:rPr>
        <w:t>”</w:t>
      </w:r>
      <w:r>
        <w:rPr>
          <w:rFonts w:eastAsia="方正仿宋_GBK"/>
          <w:color w:val="000000"/>
          <w:sz w:val="32"/>
          <w:szCs w:val="32"/>
        </w:rPr>
        <w:t>或</w:t>
      </w:r>
      <w:r>
        <w:rPr>
          <w:rFonts w:ascii="方正仿宋_GBK" w:hAnsi="方正仿宋_GBK" w:eastAsia="方正仿宋_GBK"/>
          <w:color w:val="000000"/>
          <w:sz w:val="32"/>
          <w:szCs w:val="32"/>
        </w:rPr>
        <w:t>“</w:t>
      </w:r>
      <w:r>
        <w:rPr>
          <w:rFonts w:eastAsia="方正仿宋_GBK"/>
          <w:color w:val="000000"/>
          <w:sz w:val="32"/>
          <w:szCs w:val="32"/>
        </w:rPr>
        <w:t>Exported to the People’s Republic of China</w:t>
      </w:r>
      <w:r>
        <w:rPr>
          <w:rFonts w:eastAsia="方正仿宋_GBK" w:ascii="方正仿宋_GBK" w:hAnsi="方正仿宋_GBK"/>
          <w:color w:val="000000"/>
          <w:sz w:val="32"/>
          <w:szCs w:val="32"/>
        </w:rPr>
        <w:t>”</w:t>
      </w:r>
      <w:r>
        <w:rPr>
          <w:rFonts w:eastAsia="方正仿宋_GBK"/>
          <w:color w:val="000000"/>
          <w:sz w:val="32"/>
          <w:szCs w:val="32"/>
        </w:rPr>
        <w:t>。</w:t>
      </w:r>
    </w:p>
    <w:p>
      <w:pPr>
        <w:pStyle w:val="1610"/>
        <w:snapToGrid w:val="false"/>
        <w:spacing w:lineRule="exact" w:line="560"/>
        <w:ind w:firstLine="640"/>
        <w:rPr>
          <w:rFonts w:eastAsia="方正仿宋_GBK"/>
          <w:color w:val="000000"/>
          <w:sz w:val="32"/>
          <w:szCs w:val="32"/>
        </w:rPr>
      </w:pPr>
      <w:r>
        <w:rPr>
          <w:rFonts w:eastAsia="方正仿宋_GBK"/>
          <w:color w:val="000000"/>
          <w:sz w:val="32"/>
          <w:szCs w:val="32"/>
        </w:rPr>
        <w:t>3</w:t>
      </w:r>
      <w:r>
        <w:rPr>
          <w:rFonts w:eastAsia="方正仿宋_GBK"/>
          <w:color w:val="000000"/>
          <w:sz w:val="32"/>
          <w:szCs w:val="32"/>
        </w:rPr>
        <w:t>．装载输华可可豆的运输工具或集装箱必须在装运时检查是否具备良好的卫生条件。运输工具或集装箱应加施封识，抵达中国进境口岸时其封识应完好无损。</w:t>
      </w:r>
    </w:p>
    <w:p>
      <w:pPr>
        <w:pStyle w:val="1110"/>
        <w:snapToGrid w:val="false"/>
        <w:spacing w:lineRule="exact" w:line="560"/>
        <w:ind w:firstLine="640"/>
        <w:rPr>
          <w:rFonts w:ascii="方正楷体_GBK" w:hAnsi="方正楷体_GBK" w:eastAsia="方正楷体_GBK" w:cs="方正楷体_GBK"/>
          <w:b/>
          <w:b/>
          <w:bCs/>
          <w:color w:val="000000"/>
          <w:sz w:val="32"/>
          <w:szCs w:val="32"/>
          <w:lang w:bidi="ar-SA"/>
        </w:rPr>
      </w:pPr>
      <w:r>
        <w:rPr>
          <w:rFonts w:ascii="方正楷体_GBK" w:hAnsi="方正楷体_GBK" w:cs="方正楷体_GBK" w:eastAsia="方正楷体_GBK"/>
          <w:b/>
          <w:bCs/>
          <w:color w:val="000000"/>
          <w:sz w:val="32"/>
          <w:szCs w:val="32"/>
          <w:lang w:bidi="ar-SA"/>
        </w:rPr>
        <w:t>（四）出口前检验检疫。</w:t>
      </w:r>
    </w:p>
    <w:p>
      <w:pPr>
        <w:pStyle w:val="2110"/>
        <w:snapToGrid w:val="false"/>
        <w:spacing w:lineRule="exact" w:line="560"/>
        <w:ind w:firstLine="640"/>
        <w:rPr>
          <w:rFonts w:eastAsia="方正仿宋_GBK"/>
          <w:color w:val="000000"/>
          <w:sz w:val="32"/>
          <w:szCs w:val="32"/>
        </w:rPr>
      </w:pPr>
      <w:r>
        <w:rPr>
          <w:rFonts w:eastAsia="方正仿宋_GBK"/>
          <w:color w:val="000000"/>
          <w:sz w:val="32"/>
          <w:szCs w:val="32"/>
        </w:rPr>
        <w:t>1</w:t>
      </w:r>
      <w:r>
        <w:rPr>
          <w:rFonts w:eastAsia="方正仿宋_GBK"/>
          <w:color w:val="000000"/>
          <w:sz w:val="32"/>
          <w:szCs w:val="32"/>
        </w:rPr>
        <w:t>．出口前，</w:t>
      </w:r>
      <w:r>
        <w:rPr>
          <w:rFonts w:eastAsia="方正仿宋_GBK"/>
          <w:color w:val="000000"/>
          <w:sz w:val="32"/>
          <w:szCs w:val="32"/>
        </w:rPr>
        <w:t>出口国官方</w:t>
      </w:r>
      <w:r>
        <w:rPr>
          <w:rFonts w:eastAsia="方正仿宋_GBK"/>
          <w:color w:val="000000"/>
          <w:sz w:val="32"/>
          <w:szCs w:val="32"/>
        </w:rPr>
        <w:t>应对输华可可豆实施检验检疫。经</w:t>
      </w:r>
      <w:r>
        <w:rPr>
          <w:rFonts w:eastAsia="方正仿宋_GBK"/>
          <w:color w:val="000000"/>
          <w:sz w:val="32"/>
          <w:szCs w:val="32"/>
        </w:rPr>
        <w:t>出口国官方</w:t>
      </w:r>
      <w:r>
        <w:rPr>
          <w:rFonts w:eastAsia="方正仿宋_GBK"/>
          <w:color w:val="000000"/>
          <w:sz w:val="32"/>
          <w:szCs w:val="32"/>
        </w:rPr>
        <w:t>检验检疫合格并确认符合本</w:t>
      </w:r>
      <w:r>
        <w:rPr>
          <w:rFonts w:eastAsia="方正仿宋_GBK"/>
          <w:color w:val="000000"/>
          <w:sz w:val="32"/>
          <w:szCs w:val="32"/>
        </w:rPr>
        <w:t>公告</w:t>
      </w:r>
      <w:r>
        <w:rPr>
          <w:rFonts w:eastAsia="方正仿宋_GBK"/>
          <w:color w:val="000000"/>
          <w:sz w:val="32"/>
          <w:szCs w:val="32"/>
        </w:rPr>
        <w:t>要求的可可豆，允许向中国出口。</w:t>
      </w:r>
    </w:p>
    <w:p>
      <w:pPr>
        <w:pStyle w:val="2210"/>
        <w:snapToGrid w:val="false"/>
        <w:spacing w:lineRule="exact" w:line="560"/>
        <w:ind w:firstLine="640"/>
        <w:rPr>
          <w:rFonts w:eastAsia="方正仿宋_GBK"/>
          <w:color w:val="000000"/>
          <w:sz w:val="32"/>
          <w:szCs w:val="32"/>
        </w:rPr>
      </w:pPr>
      <w:r>
        <w:rPr>
          <w:rFonts w:eastAsia="方正仿宋_GBK"/>
          <w:color w:val="000000"/>
          <w:sz w:val="32"/>
          <w:szCs w:val="32"/>
        </w:rPr>
        <w:t>2</w:t>
      </w:r>
      <w:r>
        <w:rPr>
          <w:rFonts w:eastAsia="方正仿宋_GBK"/>
          <w:color w:val="000000"/>
          <w:sz w:val="32"/>
          <w:szCs w:val="32"/>
        </w:rPr>
        <w:t>．在贸易开始的前</w:t>
      </w:r>
      <w:r>
        <w:rPr>
          <w:rFonts w:eastAsia="方正仿宋_GBK"/>
          <w:color w:val="000000"/>
          <w:sz w:val="32"/>
          <w:szCs w:val="32"/>
        </w:rPr>
        <w:t>两</w:t>
      </w:r>
      <w:r>
        <w:rPr>
          <w:rFonts w:eastAsia="方正仿宋_GBK"/>
          <w:color w:val="000000"/>
          <w:sz w:val="32"/>
          <w:szCs w:val="32"/>
        </w:rPr>
        <w:t>年内，</w:t>
      </w:r>
      <w:r>
        <w:rPr>
          <w:rFonts w:eastAsia="方正仿宋_GBK"/>
          <w:color w:val="000000"/>
          <w:sz w:val="32"/>
          <w:szCs w:val="32"/>
        </w:rPr>
        <w:t>出口国官方</w:t>
      </w:r>
      <w:r>
        <w:rPr>
          <w:rFonts w:eastAsia="方正仿宋_GBK"/>
          <w:color w:val="000000"/>
          <w:sz w:val="32"/>
          <w:szCs w:val="32"/>
        </w:rPr>
        <w:t>应按照不低于</w:t>
      </w:r>
      <w:r>
        <w:rPr>
          <w:rFonts w:eastAsia="方正仿宋_GBK"/>
          <w:color w:val="000000"/>
          <w:sz w:val="32"/>
          <w:szCs w:val="32"/>
        </w:rPr>
        <w:t>2%</w:t>
      </w:r>
      <w:r>
        <w:rPr>
          <w:rFonts w:eastAsia="方正仿宋_GBK"/>
          <w:color w:val="000000"/>
          <w:sz w:val="32"/>
          <w:szCs w:val="32"/>
        </w:rPr>
        <w:t>的比例对每批输华可可豆进行抽样检查。如</w:t>
      </w:r>
      <w:r>
        <w:rPr>
          <w:rFonts w:eastAsia="方正仿宋_GBK"/>
          <w:color w:val="000000"/>
          <w:sz w:val="32"/>
          <w:szCs w:val="32"/>
        </w:rPr>
        <w:t>两</w:t>
      </w:r>
      <w:r>
        <w:rPr>
          <w:rFonts w:eastAsia="方正仿宋_GBK"/>
          <w:color w:val="000000"/>
          <w:sz w:val="32"/>
          <w:szCs w:val="32"/>
        </w:rPr>
        <w:t>年内没有发生植物检疫问题，抽样比例可调整至不低于</w:t>
      </w:r>
      <w:r>
        <w:rPr>
          <w:rFonts w:eastAsia="方正仿宋_GBK"/>
          <w:color w:val="000000"/>
          <w:sz w:val="32"/>
          <w:szCs w:val="32"/>
        </w:rPr>
        <w:t>1%</w:t>
      </w:r>
      <w:r>
        <w:rPr>
          <w:rFonts w:eastAsia="方正仿宋_GBK"/>
          <w:color w:val="000000"/>
          <w:sz w:val="32"/>
          <w:szCs w:val="32"/>
        </w:rPr>
        <w:t>。</w:t>
      </w:r>
    </w:p>
    <w:p>
      <w:pPr>
        <w:pStyle w:val="2310"/>
        <w:spacing w:lineRule="exact" w:line="560"/>
        <w:ind w:firstLine="640"/>
        <w:rPr>
          <w:rFonts w:eastAsia="方正仿宋_GBK"/>
          <w:strike/>
          <w:color w:val="000000"/>
          <w:sz w:val="32"/>
          <w:szCs w:val="32"/>
        </w:rPr>
      </w:pPr>
      <w:r>
        <w:rPr>
          <w:rFonts w:eastAsia="方正仿宋_GBK"/>
          <w:color w:val="000000"/>
          <w:sz w:val="32"/>
          <w:szCs w:val="32"/>
        </w:rPr>
        <w:t>3</w:t>
      </w:r>
      <w:r>
        <w:rPr>
          <w:rFonts w:eastAsia="方正仿宋_GBK"/>
          <w:color w:val="000000"/>
          <w:sz w:val="32"/>
          <w:szCs w:val="32"/>
        </w:rPr>
        <w:t>．如发现中方关注的检疫性有害生物、植物残体或土壤，整批货物不得向中国出口。</w:t>
      </w:r>
      <w:r>
        <w:rPr>
          <w:rFonts w:eastAsia="方正仿宋_GBK"/>
          <w:color w:val="000000"/>
          <w:sz w:val="32"/>
          <w:szCs w:val="32"/>
        </w:rPr>
        <w:t>出口国官方</w:t>
      </w:r>
      <w:r>
        <w:rPr>
          <w:rFonts w:eastAsia="方正仿宋_GBK"/>
          <w:color w:val="000000"/>
          <w:sz w:val="32"/>
          <w:szCs w:val="32"/>
        </w:rPr>
        <w:t>应查明原因，并采取改进措施。同时，保存查获记录，应要求提供给中方。</w:t>
      </w:r>
    </w:p>
    <w:p>
      <w:pPr>
        <w:pStyle w:val="910"/>
        <w:snapToGrid w:val="false"/>
        <w:spacing w:lineRule="exact" w:line="560"/>
        <w:ind w:firstLine="640"/>
        <w:rPr>
          <w:rFonts w:ascii="方正楷体_GBK" w:hAnsi="方正楷体_GBK" w:eastAsia="方正楷体_GBK" w:cs="方正楷体_GBK"/>
          <w:b/>
          <w:b/>
          <w:bCs/>
          <w:color w:val="000000"/>
          <w:sz w:val="32"/>
          <w:szCs w:val="32"/>
          <w:lang w:bidi="ar-SA"/>
        </w:rPr>
      </w:pPr>
      <w:r>
        <w:rPr>
          <w:rFonts w:ascii="方正楷体_GBK" w:hAnsi="方正楷体_GBK" w:cs="方正楷体_GBK" w:eastAsia="方正楷体_GBK"/>
          <w:b/>
          <w:bCs/>
          <w:color w:val="000000"/>
          <w:sz w:val="32"/>
          <w:szCs w:val="32"/>
          <w:lang w:bidi="ar-SA"/>
        </w:rPr>
        <w:t>（五）植物检疫证书要求。</w:t>
      </w:r>
    </w:p>
    <w:p>
      <w:pPr>
        <w:pStyle w:val="2410"/>
        <w:snapToGrid w:val="false"/>
        <w:spacing w:lineRule="exact" w:line="560"/>
        <w:ind w:firstLine="640"/>
        <w:rPr>
          <w:rFonts w:eastAsia="方正仿宋_GBK"/>
          <w:color w:val="000000"/>
          <w:sz w:val="32"/>
          <w:szCs w:val="32"/>
        </w:rPr>
      </w:pPr>
      <w:r>
        <w:rPr>
          <w:rFonts w:eastAsia="方正仿宋_GBK"/>
          <w:color w:val="000000"/>
          <w:sz w:val="32"/>
          <w:szCs w:val="32"/>
        </w:rPr>
        <w:t>1</w:t>
      </w:r>
      <w:r>
        <w:rPr>
          <w:rFonts w:eastAsia="方正仿宋_GBK"/>
          <w:color w:val="000000"/>
          <w:sz w:val="32"/>
          <w:szCs w:val="32"/>
        </w:rPr>
        <w:t>．经检疫合格的可可豆，</w:t>
      </w:r>
      <w:r>
        <w:rPr>
          <w:rFonts w:eastAsia="方正仿宋_GBK"/>
          <w:color w:val="000000"/>
          <w:sz w:val="32"/>
          <w:szCs w:val="32"/>
        </w:rPr>
        <w:t>出口国官方</w:t>
      </w:r>
      <w:r>
        <w:rPr>
          <w:rFonts w:eastAsia="方正仿宋_GBK"/>
          <w:color w:val="000000"/>
          <w:sz w:val="32"/>
          <w:szCs w:val="32"/>
        </w:rPr>
        <w:t>应出具植物检疫证书，注明</w:t>
      </w:r>
      <w:r>
        <w:rPr>
          <w:rFonts w:cs="方正仿宋_GBK" w:eastAsia="方正仿宋_GBK"/>
          <w:bCs/>
          <w:spacing w:val="-4"/>
          <w:sz w:val="32"/>
          <w:szCs w:val="32"/>
          <w:lang w:bidi="ar"/>
        </w:rPr>
        <w:t>生产加工企业</w:t>
      </w:r>
      <w:r>
        <w:rPr>
          <w:rFonts w:eastAsia="方正仿宋_GBK"/>
          <w:color w:val="000000"/>
          <w:sz w:val="32"/>
          <w:szCs w:val="32"/>
        </w:rPr>
        <w:t>名称或注册号码，并填写以下附加声明：</w:t>
      </w:r>
      <w:r>
        <w:rPr>
          <w:rFonts w:ascii="方正仿宋_GBK" w:hAnsi="方正仿宋_GBK" w:eastAsia="方正仿宋_GBK"/>
          <w:color w:val="000000"/>
          <w:sz w:val="32"/>
          <w:szCs w:val="32"/>
        </w:rPr>
        <w:t>“</w:t>
      </w:r>
      <w:r>
        <w:rPr>
          <w:rFonts w:eastAsia="方正仿宋_GBK"/>
          <w:color w:val="000000"/>
          <w:sz w:val="32"/>
          <w:szCs w:val="32"/>
        </w:rPr>
        <w:t xml:space="preserve">This consignment complies with Phytosanitary Requirements for Export of Cocoa Beans from </w:t>
      </w:r>
      <w:r>
        <w:rPr>
          <w:rFonts w:eastAsia="方正仿宋_GBK"/>
          <w:color w:val="000000"/>
          <w:sz w:val="32"/>
          <w:szCs w:val="32"/>
        </w:rPr>
        <w:t>Africa</w:t>
      </w:r>
      <w:r>
        <w:rPr>
          <w:rFonts w:eastAsia="方正仿宋_GBK"/>
          <w:color w:val="000000"/>
          <w:sz w:val="32"/>
          <w:szCs w:val="32"/>
        </w:rPr>
        <w:t xml:space="preserve"> to China, and is free from quarantine pests of concern to China.</w:t>
      </w:r>
      <w:r>
        <w:rPr>
          <w:rFonts w:eastAsia="方正仿宋_GBK" w:ascii="方正仿宋_GBK" w:hAnsi="方正仿宋_GBK"/>
          <w:color w:val="000000"/>
          <w:sz w:val="32"/>
          <w:szCs w:val="32"/>
        </w:rPr>
        <w:t>”</w:t>
      </w:r>
      <w:r>
        <w:rPr>
          <w:rFonts w:eastAsia="方正仿宋_GBK"/>
          <w:color w:val="000000"/>
          <w:sz w:val="32"/>
          <w:szCs w:val="32"/>
        </w:rPr>
        <w:t>（该批货物符合</w:t>
      </w:r>
      <w:r>
        <w:rPr>
          <w:rFonts w:eastAsia="方正仿宋_GBK"/>
          <w:color w:val="000000"/>
          <w:sz w:val="32"/>
          <w:szCs w:val="32"/>
        </w:rPr>
        <w:t>非洲</w:t>
      </w:r>
      <w:r>
        <w:rPr>
          <w:rFonts w:eastAsia="方正仿宋_GBK"/>
          <w:color w:val="000000"/>
          <w:sz w:val="32"/>
          <w:szCs w:val="32"/>
        </w:rPr>
        <w:t>可可豆输华植物检疫要求，不带中方关注的检疫性有害生物。）</w:t>
      </w:r>
    </w:p>
    <w:p>
      <w:pPr>
        <w:pStyle w:val="2410"/>
        <w:snapToGrid w:val="false"/>
        <w:spacing w:lineRule="exact" w:line="560"/>
        <w:ind w:firstLine="640"/>
        <w:rPr>
          <w:rFonts w:eastAsia="方正仿宋_GBK"/>
          <w:strike/>
          <w:color w:val="000000"/>
          <w:sz w:val="32"/>
          <w:szCs w:val="32"/>
        </w:rPr>
      </w:pPr>
      <w:r>
        <w:rPr>
          <w:rFonts w:eastAsia="方正仿宋_GBK"/>
          <w:color w:val="000000"/>
          <w:sz w:val="32"/>
          <w:szCs w:val="32"/>
        </w:rPr>
        <w:t>发现有害生物活体的货物，应在出口前进行熏蒸等除害处理，植物检疫证书中应注明处理方法、药剂名称、剂量、时间和温度等信息。</w:t>
      </w:r>
    </w:p>
    <w:p>
      <w:pPr>
        <w:pStyle w:val="Style13"/>
        <w:ind w:firstLine="624"/>
        <w:rPr>
          <w:rFonts w:cs="方正仿宋_GBK"/>
          <w:bCs/>
          <w:szCs w:val="32"/>
          <w:lang w:bidi="ar-SA"/>
        </w:rPr>
      </w:pPr>
      <w:r>
        <w:rPr>
          <w:color w:val="000000"/>
          <w:szCs w:val="32"/>
        </w:rPr>
        <w:t>2</w:t>
      </w:r>
      <w:r>
        <w:rPr>
          <w:color w:val="000000"/>
          <w:kern w:val="0"/>
          <w:szCs w:val="32"/>
        </w:rPr>
        <w:t>．</w:t>
      </w:r>
      <w:r>
        <w:rPr>
          <w:color w:val="000000"/>
          <w:szCs w:val="32"/>
        </w:rPr>
        <w:t>在贸易开始前，</w:t>
      </w:r>
      <w:r>
        <w:rPr>
          <w:color w:val="000000"/>
          <w:szCs w:val="32"/>
        </w:rPr>
        <w:t>出口国官方</w:t>
      </w:r>
      <w:r>
        <w:rPr>
          <w:color w:val="000000"/>
          <w:szCs w:val="32"/>
        </w:rPr>
        <w:t>应向中方提供植物检疫证书样本，以便确认和备案。</w:t>
      </w:r>
    </w:p>
    <w:p>
      <w:pPr>
        <w:pStyle w:val="1"/>
        <w:ind w:firstLine="624"/>
        <w:rPr>
          <w:rFonts w:ascii="方正黑体_GBK" w:hAnsi="方正黑体_GBK" w:eastAsia="方正黑体_GBK" w:cs="方正黑体_GBK"/>
          <w:bCs/>
          <w:szCs w:val="32"/>
          <w:lang w:bidi="ar-SA"/>
        </w:rPr>
      </w:pPr>
      <w:r>
        <w:rPr>
          <w:rFonts w:ascii="方正黑体_GBK" w:hAnsi="方正黑体_GBK" w:cs="方正黑体_GBK" w:eastAsia="方正黑体_GBK"/>
          <w:bCs/>
          <w:szCs w:val="32"/>
          <w:lang w:bidi="ar"/>
        </w:rPr>
        <w:t>七、进境检验检疫</w:t>
      </w:r>
      <w:r>
        <w:rPr>
          <w:rFonts w:ascii="方正黑体_GBK" w:hAnsi="方正黑体_GBK" w:cs="方正黑体_GBK" w:eastAsia="方正黑体_GBK"/>
          <w:bCs/>
          <w:color w:val="000000"/>
          <w:spacing w:val="-4"/>
          <w:kern w:val="2"/>
          <w:position w:val="0"/>
          <w:sz w:val="32"/>
          <w:sz w:val="32"/>
          <w:szCs w:val="32"/>
          <w:vertAlign w:val="baseline"/>
          <w:lang w:val="en-US" w:eastAsia="zh-CN" w:bidi="ar"/>
        </w:rPr>
        <w:t>及不合格处理</w:t>
      </w:r>
    </w:p>
    <w:p>
      <w:pPr>
        <w:pStyle w:val="1"/>
        <w:ind w:firstLine="624"/>
        <w:rPr>
          <w:rFonts w:cs="方正仿宋_GBK"/>
          <w:bCs/>
          <w:szCs w:val="32"/>
          <w:lang w:bidi="ar-SA"/>
        </w:rPr>
      </w:pPr>
      <w:r>
        <w:rPr>
          <w:rFonts w:cs="方正仿宋_GBK"/>
          <w:bCs/>
          <w:szCs w:val="32"/>
          <w:lang w:bidi="ar"/>
        </w:rPr>
        <w:t>输华</w:t>
      </w:r>
      <w:r>
        <w:rPr>
          <w:rFonts w:cs="方正仿宋_GBK"/>
          <w:bCs/>
          <w:szCs w:val="32"/>
          <w:lang w:bidi="ar"/>
        </w:rPr>
        <w:t>可可豆到达中国</w:t>
      </w:r>
      <w:r>
        <w:rPr>
          <w:rFonts w:cs="方正仿宋_GBK"/>
          <w:bCs/>
          <w:szCs w:val="32"/>
          <w:lang w:bidi="ar"/>
        </w:rPr>
        <w:t>进境</w:t>
      </w:r>
      <w:r>
        <w:rPr>
          <w:rFonts w:cs="方正仿宋_GBK"/>
          <w:bCs/>
          <w:szCs w:val="32"/>
          <w:lang w:bidi="ar"/>
        </w:rPr>
        <w:t>口岸时，中国海关按照以下要求实施检验检疫。</w:t>
      </w:r>
    </w:p>
    <w:p>
      <w:pPr>
        <w:pStyle w:val="3410"/>
        <w:snapToGrid w:val="false"/>
        <w:spacing w:lineRule="exact" w:line="560"/>
        <w:ind w:firstLine="640"/>
        <w:rPr>
          <w:rFonts w:ascii="方正楷体_GBK" w:hAnsi="方正楷体_GBK" w:eastAsia="方正楷体_GBK" w:cs="方正楷体_GBK"/>
          <w:b/>
          <w:b/>
          <w:bCs/>
          <w:color w:val="000000"/>
          <w:sz w:val="32"/>
          <w:szCs w:val="32"/>
          <w:lang w:bidi="ar-SA"/>
        </w:rPr>
      </w:pPr>
      <w:r>
        <w:rPr>
          <w:rFonts w:ascii="方正楷体_GBK" w:hAnsi="方正楷体_GBK" w:cs="方正楷体_GBK" w:eastAsia="方正楷体_GBK"/>
          <w:b/>
          <w:bCs/>
          <w:color w:val="000000"/>
          <w:sz w:val="32"/>
          <w:szCs w:val="32"/>
          <w:lang w:bidi="ar-SA"/>
        </w:rPr>
        <w:t>（一）有关证书和标识核查。</w:t>
      </w:r>
    </w:p>
    <w:p>
      <w:pPr>
        <w:pStyle w:val="2510"/>
        <w:snapToGrid w:val="false"/>
        <w:spacing w:lineRule="exact" w:line="560"/>
        <w:ind w:firstLine="624"/>
        <w:rPr>
          <w:rFonts w:eastAsia="方正仿宋_GBK"/>
          <w:color w:val="000000"/>
          <w:spacing w:val="-4"/>
          <w:sz w:val="32"/>
          <w:szCs w:val="32"/>
        </w:rPr>
      </w:pPr>
      <w:r>
        <w:rPr>
          <w:rFonts w:eastAsia="方正仿宋_GBK"/>
          <w:color w:val="000000"/>
          <w:spacing w:val="-4"/>
          <w:sz w:val="32"/>
          <w:szCs w:val="32"/>
        </w:rPr>
        <w:t>1</w:t>
      </w:r>
      <w:r>
        <w:rPr>
          <w:rFonts w:eastAsia="方正仿宋_GBK"/>
          <w:color w:val="000000"/>
          <w:spacing w:val="-4"/>
          <w:sz w:val="32"/>
          <w:szCs w:val="32"/>
        </w:rPr>
        <w:t>．核查随附的植物检疫证书是否真实有效。</w:t>
      </w:r>
    </w:p>
    <w:p>
      <w:pPr>
        <w:pStyle w:val="2510"/>
        <w:snapToGrid w:val="false"/>
        <w:spacing w:lineRule="exact" w:line="560"/>
        <w:ind w:firstLine="624"/>
        <w:rPr>
          <w:rFonts w:eastAsia="方正仿宋_GBK"/>
          <w:color w:val="000000"/>
          <w:sz w:val="32"/>
          <w:szCs w:val="32"/>
        </w:rPr>
      </w:pPr>
      <w:r>
        <w:rPr>
          <w:rFonts w:eastAsia="方正仿宋_GBK"/>
          <w:color w:val="000000"/>
          <w:sz w:val="32"/>
          <w:szCs w:val="32"/>
        </w:rPr>
        <w:t>2</w:t>
      </w:r>
      <w:r>
        <w:rPr>
          <w:rFonts w:eastAsia="方正仿宋_GBK"/>
          <w:color w:val="000000"/>
          <w:sz w:val="32"/>
          <w:szCs w:val="32"/>
        </w:rPr>
        <w:t>．核查包装箱和托盘上的标识是否符合本公告第六条第（三）项的规定。</w:t>
      </w:r>
    </w:p>
    <w:p>
      <w:pPr>
        <w:pStyle w:val="3410"/>
        <w:snapToGrid w:val="false"/>
        <w:spacing w:lineRule="exact" w:line="560"/>
        <w:ind w:firstLine="640"/>
        <w:rPr>
          <w:rFonts w:ascii="方正楷体_GBK" w:hAnsi="方正楷体_GBK" w:eastAsia="方正楷体_GBK" w:cs="方正楷体_GBK"/>
          <w:b/>
          <w:b/>
          <w:bCs/>
          <w:color w:val="000000"/>
          <w:sz w:val="32"/>
          <w:szCs w:val="32"/>
          <w:lang w:bidi="ar-SA"/>
        </w:rPr>
      </w:pPr>
      <w:r>
        <w:rPr>
          <w:rFonts w:ascii="方正楷体_GBK" w:hAnsi="方正楷体_GBK" w:cs="方正楷体_GBK" w:eastAsia="方正楷体_GBK"/>
          <w:b/>
          <w:bCs/>
          <w:color w:val="000000"/>
          <w:sz w:val="32"/>
          <w:szCs w:val="32"/>
          <w:lang w:bidi="ar-SA"/>
        </w:rPr>
        <w:t>（二）货物检查。</w:t>
      </w:r>
    </w:p>
    <w:p>
      <w:pPr>
        <w:pStyle w:val="1"/>
        <w:ind w:firstLine="624"/>
        <w:rPr>
          <w:rFonts w:cs="方正仿宋_GBK"/>
          <w:bCs/>
          <w:szCs w:val="32"/>
          <w:lang w:bidi="ar-SA"/>
        </w:rPr>
      </w:pPr>
      <w:r>
        <w:rPr>
          <w:rFonts w:cs="方正仿宋_GBK"/>
          <w:bCs/>
          <w:szCs w:val="32"/>
          <w:lang w:bidi="ar"/>
        </w:rPr>
        <w:t>根据有关法律、行政法规、规章等规定，对进</w:t>
      </w:r>
      <w:r>
        <w:rPr>
          <w:rFonts w:cs="方正仿宋_GBK"/>
          <w:bCs/>
          <w:szCs w:val="32"/>
          <w:lang w:bidi="ar"/>
        </w:rPr>
        <w:t>口</w:t>
      </w:r>
      <w:r>
        <w:rPr>
          <w:rFonts w:cs="方正仿宋_GBK"/>
          <w:bCs/>
          <w:szCs w:val="32"/>
          <w:lang w:bidi="ar"/>
        </w:rPr>
        <w:t>可可豆实施检验检疫</w:t>
      </w:r>
      <w:r>
        <w:rPr>
          <w:rFonts w:cs="方正仿宋_GBK"/>
          <w:bCs/>
          <w:szCs w:val="32"/>
          <w:lang w:bidi="ar"/>
        </w:rPr>
        <w:t>，</w:t>
      </w:r>
      <w:r>
        <w:rPr>
          <w:rFonts w:cs="方正仿宋_GBK"/>
          <w:bCs/>
          <w:szCs w:val="32"/>
          <w:lang w:bidi="ar"/>
        </w:rPr>
        <w:t>经检验检疫合格的，准予进境。</w:t>
      </w:r>
    </w:p>
    <w:p>
      <w:pPr>
        <w:pStyle w:val="3410"/>
        <w:snapToGrid w:val="false"/>
        <w:spacing w:lineRule="exact" w:line="560"/>
        <w:ind w:firstLine="640"/>
        <w:rPr>
          <w:rFonts w:ascii="方正楷体_GBK" w:hAnsi="方正楷体_GBK" w:eastAsia="方正楷体_GBK" w:cs="方正楷体_GBK"/>
          <w:b/>
          <w:b/>
          <w:bCs/>
          <w:color w:val="000000"/>
          <w:sz w:val="32"/>
          <w:szCs w:val="32"/>
          <w:lang w:bidi="ar-SA"/>
        </w:rPr>
      </w:pPr>
      <w:r>
        <w:rPr>
          <w:rFonts w:ascii="方正楷体_GBK" w:hAnsi="方正楷体_GBK" w:cs="方正楷体_GBK" w:eastAsia="方正楷体_GBK"/>
          <w:b/>
          <w:bCs/>
          <w:color w:val="000000"/>
          <w:sz w:val="32"/>
          <w:szCs w:val="32"/>
          <w:lang w:bidi="ar-SA"/>
        </w:rPr>
        <w:t>（三）不合格处理。</w:t>
      </w:r>
    </w:p>
    <w:p>
      <w:pPr>
        <w:pStyle w:val="2710"/>
        <w:snapToGrid w:val="false"/>
        <w:spacing w:lineRule="exact" w:line="560"/>
        <w:ind w:firstLine="624"/>
        <w:rPr>
          <w:rFonts w:eastAsia="方正仿宋_GBK"/>
          <w:color w:val="000000"/>
          <w:sz w:val="32"/>
          <w:szCs w:val="32"/>
        </w:rPr>
      </w:pPr>
      <w:r>
        <w:rPr>
          <w:rFonts w:eastAsia="方正仿宋_GBK"/>
          <w:bCs/>
          <w:spacing w:val="-4"/>
          <w:sz w:val="32"/>
          <w:szCs w:val="32"/>
          <w:lang w:bidi="ar"/>
        </w:rPr>
        <w:t>1</w:t>
      </w:r>
      <w:r>
        <w:rPr>
          <w:rFonts w:cs="方正仿宋_GBK" w:eastAsia="方正仿宋_GBK"/>
          <w:bCs/>
          <w:spacing w:val="-4"/>
          <w:sz w:val="32"/>
          <w:szCs w:val="32"/>
          <w:lang w:bidi="ar"/>
        </w:rPr>
        <w:t>．</w:t>
      </w:r>
      <w:r>
        <w:rPr>
          <w:rFonts w:eastAsia="方正仿宋_GBK"/>
          <w:color w:val="000000"/>
          <w:sz w:val="32"/>
          <w:szCs w:val="32"/>
        </w:rPr>
        <w:t>如发现来自未经注册的</w:t>
      </w:r>
      <w:r>
        <w:rPr>
          <w:rFonts w:cs="方正仿宋_GBK" w:eastAsia="方正仿宋_GBK"/>
          <w:bCs/>
          <w:spacing w:val="-4"/>
          <w:sz w:val="32"/>
          <w:szCs w:val="32"/>
          <w:lang w:bidi="ar"/>
        </w:rPr>
        <w:t>生产加工企业</w:t>
      </w:r>
      <w:r>
        <w:rPr>
          <w:rFonts w:eastAsia="方正仿宋_GBK"/>
          <w:color w:val="000000"/>
          <w:sz w:val="32"/>
          <w:szCs w:val="32"/>
        </w:rPr>
        <w:t>，则对该批货物作退回或销毁处理。</w:t>
      </w:r>
    </w:p>
    <w:p>
      <w:pPr>
        <w:pStyle w:val="1"/>
        <w:ind w:firstLine="624"/>
        <w:rPr>
          <w:rFonts w:cs="方正仿宋_GBK"/>
          <w:bCs/>
          <w:szCs w:val="32"/>
          <w:lang w:bidi="ar-SA"/>
        </w:rPr>
      </w:pPr>
      <w:r>
        <w:rPr>
          <w:bCs/>
          <w:szCs w:val="32"/>
          <w:lang w:bidi="ar"/>
        </w:rPr>
        <w:t>2</w:t>
      </w:r>
      <w:r>
        <w:rPr>
          <w:rFonts w:cs="方正仿宋_GBK"/>
          <w:bCs/>
          <w:szCs w:val="32"/>
          <w:lang w:bidi="ar"/>
        </w:rPr>
        <w:t>．</w:t>
      </w:r>
      <w:r>
        <w:rPr>
          <w:color w:val="000000"/>
          <w:szCs w:val="32"/>
        </w:rPr>
        <w:t>如发现未随附有效植物检疫证书，则对该批货物作退回或销毁处理。</w:t>
      </w:r>
    </w:p>
    <w:p>
      <w:pPr>
        <w:pStyle w:val="2810"/>
        <w:snapToGrid w:val="false"/>
        <w:spacing w:lineRule="exact" w:line="560"/>
        <w:ind w:firstLine="624"/>
        <w:rPr>
          <w:rFonts w:eastAsia="方正仿宋_GBK"/>
          <w:color w:val="000000"/>
          <w:sz w:val="32"/>
          <w:szCs w:val="32"/>
        </w:rPr>
      </w:pPr>
      <w:r>
        <w:rPr>
          <w:rFonts w:eastAsia="方正仿宋_GBK"/>
          <w:bCs/>
          <w:spacing w:val="-4"/>
          <w:sz w:val="32"/>
          <w:szCs w:val="32"/>
          <w:lang w:bidi="ar"/>
        </w:rPr>
        <w:t>3</w:t>
      </w:r>
      <w:r>
        <w:rPr>
          <w:rFonts w:cs="方正仿宋_GBK" w:eastAsia="方正仿宋_GBK"/>
          <w:bCs/>
          <w:spacing w:val="-4"/>
          <w:sz w:val="32"/>
          <w:szCs w:val="32"/>
          <w:lang w:bidi="ar"/>
        </w:rPr>
        <w:t>．</w:t>
      </w:r>
      <w:r>
        <w:rPr>
          <w:rFonts w:eastAsia="方正仿宋_GBK"/>
          <w:color w:val="000000"/>
          <w:sz w:val="32"/>
          <w:szCs w:val="32"/>
        </w:rPr>
        <w:t>如发现中方关注的检疫性有害生物或其他检疫性有害生物活体，或发现植物残体、土壤，则对该批货物作退回、销毁或检疫除害处理。</w:t>
      </w:r>
    </w:p>
    <w:p>
      <w:pPr>
        <w:pStyle w:val="4610"/>
        <w:snapToGrid w:val="false"/>
        <w:spacing w:lineRule="exact" w:line="560"/>
        <w:ind w:firstLine="640"/>
        <w:rPr>
          <w:rFonts w:eastAsia="方正仿宋_GBK"/>
          <w:color w:val="000000"/>
          <w:sz w:val="32"/>
          <w:szCs w:val="32"/>
        </w:rPr>
      </w:pPr>
      <w:r>
        <w:rPr>
          <w:rFonts w:eastAsia="方正仿宋_GBK"/>
          <w:color w:val="000000"/>
          <w:sz w:val="32"/>
          <w:szCs w:val="32"/>
        </w:rPr>
        <w:t>4</w:t>
      </w:r>
      <w:bookmarkStart w:id="2" w:name="_Hlk165834954"/>
      <w:r>
        <w:rPr>
          <w:rFonts w:eastAsia="方正仿宋_GBK"/>
          <w:color w:val="000000"/>
          <w:sz w:val="32"/>
          <w:szCs w:val="32"/>
        </w:rPr>
        <w:t>．</w:t>
      </w:r>
      <w:bookmarkEnd w:id="2"/>
      <w:r>
        <w:rPr>
          <w:rFonts w:eastAsia="方正仿宋_GBK"/>
          <w:color w:val="000000"/>
          <w:sz w:val="32"/>
          <w:szCs w:val="32"/>
        </w:rPr>
        <w:t>如发现不符合中国食品安全法律法规和国家标准，则对该批货物作退回或销毁处理。</w:t>
      </w:r>
    </w:p>
    <w:p>
      <w:pPr>
        <w:pStyle w:val="2910"/>
        <w:snapToGrid w:val="false"/>
        <w:spacing w:lineRule="exact" w:line="560"/>
        <w:ind w:firstLine="640"/>
        <w:rPr>
          <w:rFonts w:eastAsia="方正仿宋_GBK"/>
          <w:color w:val="000000"/>
          <w:sz w:val="32"/>
          <w:szCs w:val="32"/>
        </w:rPr>
      </w:pPr>
      <w:r>
        <w:rPr>
          <w:rFonts w:eastAsia="方正仿宋_GBK"/>
          <w:color w:val="000000"/>
          <w:sz w:val="32"/>
          <w:szCs w:val="32"/>
        </w:rPr>
        <w:t xml:space="preserve">5. </w:t>
      </w:r>
      <w:r>
        <w:rPr>
          <w:rFonts w:eastAsia="方正仿宋_GBK"/>
          <w:color w:val="000000"/>
          <w:sz w:val="32"/>
          <w:szCs w:val="32"/>
        </w:rPr>
        <w:t>如发现其他不符合中国进境检疫要求的情况，将按照相关法律法规规定处理。</w:t>
      </w:r>
    </w:p>
    <w:p>
      <w:pPr>
        <w:pStyle w:val="3010"/>
        <w:snapToGrid w:val="false"/>
        <w:spacing w:lineRule="exact" w:line="560"/>
        <w:ind w:firstLine="640"/>
        <w:rPr>
          <w:rFonts w:eastAsia="方正仿宋_GBK"/>
          <w:color w:val="000000"/>
          <w:sz w:val="32"/>
          <w:szCs w:val="32"/>
        </w:rPr>
      </w:pPr>
      <w:r>
        <w:rPr>
          <w:rFonts w:eastAsia="方正仿宋_GBK"/>
          <w:color w:val="000000"/>
          <w:sz w:val="32"/>
          <w:szCs w:val="32"/>
        </w:rPr>
        <w:t>如发现上述不符合要求情况，中方将立即向</w:t>
      </w:r>
      <w:r>
        <w:rPr>
          <w:rFonts w:eastAsia="方正仿宋_GBK"/>
          <w:color w:val="000000"/>
          <w:sz w:val="32"/>
          <w:szCs w:val="32"/>
        </w:rPr>
        <w:t>出口国官方</w:t>
      </w:r>
      <w:r>
        <w:rPr>
          <w:rFonts w:eastAsia="方正仿宋_GBK"/>
          <w:color w:val="000000"/>
          <w:sz w:val="32"/>
          <w:szCs w:val="32"/>
        </w:rPr>
        <w:t>通报，并视情况暂停相关</w:t>
      </w:r>
      <w:r>
        <w:rPr>
          <w:rFonts w:cs="方正仿宋_GBK" w:eastAsia="方正仿宋_GBK"/>
          <w:bCs/>
          <w:spacing w:val="-4"/>
          <w:sz w:val="32"/>
          <w:szCs w:val="32"/>
          <w:lang w:bidi="ar"/>
        </w:rPr>
        <w:t>生产加工企业</w:t>
      </w:r>
      <w:r>
        <w:rPr>
          <w:rFonts w:eastAsia="方正仿宋_GBK"/>
          <w:color w:val="000000"/>
          <w:sz w:val="32"/>
          <w:szCs w:val="32"/>
        </w:rPr>
        <w:t>的可可豆进口。</w:t>
      </w:r>
      <w:r>
        <w:rPr>
          <w:rFonts w:eastAsia="方正仿宋_GBK"/>
          <w:color w:val="000000"/>
          <w:sz w:val="32"/>
          <w:szCs w:val="32"/>
        </w:rPr>
        <w:t>出口国官方</w:t>
      </w:r>
      <w:r>
        <w:rPr>
          <w:rFonts w:eastAsia="方正仿宋_GBK"/>
          <w:color w:val="000000"/>
          <w:sz w:val="32"/>
          <w:szCs w:val="32"/>
        </w:rPr>
        <w:t>应查明原因并采取改进措施，防止类似情况再次发生。中方将根据</w:t>
      </w:r>
      <w:r>
        <w:rPr>
          <w:rFonts w:eastAsia="方正仿宋_GBK"/>
          <w:color w:val="000000"/>
          <w:sz w:val="32"/>
          <w:szCs w:val="32"/>
        </w:rPr>
        <w:t>出口国官方</w:t>
      </w:r>
      <w:r>
        <w:rPr>
          <w:rFonts w:eastAsia="方正仿宋_GBK"/>
          <w:color w:val="000000"/>
          <w:sz w:val="32"/>
          <w:szCs w:val="32"/>
        </w:rPr>
        <w:t>整改结果，决定是否取消暂停措施。</w:t>
      </w:r>
    </w:p>
    <w:p>
      <w:pPr>
        <w:pStyle w:val="1"/>
        <w:ind w:firstLine="624"/>
        <w:rPr>
          <w:rFonts w:ascii="方正黑体_GBK" w:hAnsi="方正黑体_GBK" w:eastAsia="方正黑体_GBK" w:cs="方正黑体_GBK"/>
          <w:bCs/>
          <w:szCs w:val="32"/>
          <w:lang w:bidi="ar"/>
        </w:rPr>
      </w:pPr>
      <w:r>
        <w:rPr>
          <w:rFonts w:ascii="方正黑体_GBK" w:hAnsi="方正黑体_GBK" w:cs="方正黑体_GBK" w:eastAsia="方正黑体_GBK"/>
          <w:bCs/>
          <w:szCs w:val="32"/>
          <w:lang w:bidi="ar"/>
        </w:rPr>
        <w:t>八、其他要求</w:t>
      </w:r>
    </w:p>
    <w:p>
      <w:pPr>
        <w:pStyle w:val="Style15"/>
        <w:numPr>
          <w:ilvl w:val="0"/>
          <w:numId w:val="0"/>
        </w:numPr>
        <w:ind w:left="0" w:firstLine="624"/>
        <w:rPr>
          <w:color w:val="000000"/>
          <w:szCs w:val="32"/>
        </w:rPr>
      </w:pPr>
      <w:r>
        <w:rPr>
          <w:color w:val="000000"/>
          <w:szCs w:val="32"/>
        </w:rPr>
        <w:t>圣多美和普林西比可可豆已获我国检疫准入，相关进口植物检疫要求应按照海关总署公告</w:t>
      </w:r>
      <w:r>
        <w:rPr>
          <w:color w:val="000000"/>
          <w:szCs w:val="32"/>
        </w:rPr>
        <w:t>2024</w:t>
      </w:r>
      <w:r>
        <w:rPr>
          <w:color w:val="000000"/>
          <w:szCs w:val="32"/>
        </w:rPr>
        <w:t>年第</w:t>
      </w:r>
      <w:r>
        <w:rPr>
          <w:color w:val="000000"/>
          <w:szCs w:val="32"/>
        </w:rPr>
        <w:t>1</w:t>
      </w:r>
      <w:r>
        <w:rPr>
          <w:color w:val="000000"/>
          <w:szCs w:val="32"/>
        </w:rPr>
        <w:t>20</w:t>
      </w:r>
      <w:r>
        <w:rPr>
          <w:color w:val="000000"/>
          <w:szCs w:val="32"/>
        </w:rPr>
        <w:t>号执行。</w:t>
      </w:r>
    </w:p>
    <w:p>
      <w:pPr>
        <w:pStyle w:val="Style12"/>
        <w:numPr>
          <w:ilvl w:val="0"/>
          <w:numId w:val="0"/>
        </w:numPr>
        <w:ind w:left="0" w:firstLine="624"/>
        <w:rPr/>
      </w:pPr>
      <w:r>
        <w:rPr>
          <w:color w:val="000000"/>
          <w:szCs w:val="32"/>
        </w:rPr>
        <w:t>本公告自</w:t>
      </w:r>
      <w:r>
        <w:rPr>
          <w:color w:val="000000"/>
          <w:szCs w:val="32"/>
        </w:rPr>
        <w:t>2026</w:t>
      </w:r>
      <w:r>
        <w:rPr>
          <w:color w:val="000000"/>
          <w:szCs w:val="32"/>
        </w:rPr>
        <w:t>年</w:t>
      </w:r>
      <w:r>
        <w:rPr>
          <w:color w:val="000000"/>
          <w:szCs w:val="32"/>
        </w:rPr>
        <w:t>12</w:t>
      </w:r>
      <w:r>
        <w:rPr>
          <w:color w:val="000000"/>
          <w:szCs w:val="32"/>
        </w:rPr>
        <w:t>月</w:t>
      </w:r>
      <w:r>
        <w:rPr>
          <w:color w:val="000000"/>
          <w:szCs w:val="32"/>
        </w:rPr>
        <w:t>15</w:t>
      </w:r>
      <w:r>
        <w:rPr>
          <w:color w:val="000000"/>
          <w:szCs w:val="32"/>
        </w:rPr>
        <w:t>日起施行。</w:t>
      </w:r>
    </w:p>
    <w:p>
      <w:pPr>
        <w:pStyle w:val="1"/>
        <w:ind w:firstLine="624"/>
        <w:rPr>
          <w:rFonts w:cs="方正仿宋_GBK"/>
          <w:bCs/>
          <w:szCs w:val="32"/>
          <w:lang w:bidi="ar-SA"/>
        </w:rPr>
      </w:pPr>
      <w:r>
        <w:rPr>
          <w:rFonts w:cs="方正仿宋_GBK"/>
          <w:bCs/>
          <w:szCs w:val="32"/>
          <w:lang w:bidi="ar"/>
        </w:rPr>
        <w:t>特此公告。</w:t>
      </w:r>
    </w:p>
    <w:p>
      <w:pPr>
        <w:pStyle w:val="1"/>
        <w:rPr>
          <w:rFonts w:cs="方正仿宋_GBK"/>
          <w:bCs/>
          <w:szCs w:val="32"/>
          <w:lang w:bidi="ar-SA"/>
        </w:rPr>
      </w:pPr>
      <w:r>
        <w:rPr>
          <w:rFonts w:cs="方正仿宋_GBK"/>
          <w:bCs/>
          <w:szCs w:val="32"/>
          <w:lang w:bidi="ar-SA"/>
        </w:rPr>
      </w:r>
    </w:p>
    <w:p>
      <w:pPr>
        <w:pStyle w:val="Normal"/>
        <w:spacing w:lineRule="exact" w:line="560"/>
        <w:ind w:left="617" w:hanging="0"/>
        <w:rPr>
          <w:rFonts w:ascii="方正仿宋_GBK" w:hAnsi="方正仿宋_GBK" w:eastAsia="方正仿宋_GBK"/>
        </w:rPr>
      </w:pPr>
      <w:r>
        <w:rPr>
          <w:rFonts w:eastAsia="方正仿宋_GBK" w:ascii="方正仿宋_GBK" w:hAnsi="方正仿宋_GBK"/>
        </w:rPr>
      </w:r>
      <w:bookmarkStart w:id="3" w:name="wpds__正文__File"/>
      <w:bookmarkStart w:id="4" w:name="wpds__正文__File"/>
      <w:bookmarkEnd w:id="4"/>
    </w:p>
    <w:p>
      <w:pPr>
        <w:pStyle w:val="Normal"/>
        <w:spacing w:lineRule="exact" w:line="560"/>
        <w:ind w:left="617" w:hanging="0"/>
        <w:rPr>
          <w:rFonts w:ascii="方正仿宋_GBK" w:hAnsi="方正仿宋_GBK" w:eastAsia="方正仿宋_GBK"/>
        </w:rPr>
      </w:pPr>
      <w:r>
        <w:rPr>
          <w:rFonts w:eastAsia="方正仿宋_GBK" w:ascii="方正仿宋_GBK" w:hAnsi="方正仿宋_GBK"/>
        </w:rPr>
      </w:r>
    </w:p>
    <w:p>
      <w:pPr>
        <w:pStyle w:val="Normal"/>
        <w:spacing w:lineRule="exact" w:line="560"/>
        <w:ind w:firstLine="5760"/>
        <w:rPr>
          <w:rFonts w:ascii="方正仿宋_GBK" w:hAnsi="方正仿宋_GBK" w:eastAsia="方正仿宋_GBK"/>
        </w:rPr>
      </w:pPr>
      <w:r>
        <w:rPr>
          <w:rFonts w:ascii="方正仿宋_GBK" w:hAnsi="方正仿宋_GBK"/>
        </w:rPr>
        <w:t>海关总署</w:t>
      </w:r>
    </w:p>
    <w:p>
      <w:pPr>
        <w:pStyle w:val="Style12"/>
        <w:numPr>
          <w:ilvl w:val="0"/>
          <w:numId w:val="0"/>
        </w:numPr>
        <w:ind w:left="0" w:right="1280" w:firstLine="624"/>
        <w:jc w:val="right"/>
        <w:rPr>
          <w:color w:val="000000"/>
          <w:szCs w:val="32"/>
        </w:rPr>
      </w:pPr>
      <w:r>
        <w:rPr>
          <w:color w:val="000000"/>
          <w:szCs w:val="32"/>
        </w:rPr>
        <w:t>2026</w:t>
      </w:r>
      <w:r>
        <w:rPr>
          <w:color w:val="000000"/>
          <w:szCs w:val="32"/>
        </w:rPr>
        <w:t>年</w:t>
      </w:r>
      <w:r>
        <w:rPr>
          <w:color w:val="000000"/>
          <w:szCs w:val="32"/>
        </w:rPr>
        <w:t>10</w:t>
      </w:r>
      <w:r>
        <w:rPr>
          <w:color w:val="000000"/>
          <w:szCs w:val="32"/>
        </w:rPr>
        <w:t>月</w:t>
      </w:r>
      <w:r>
        <w:rPr>
          <w:color w:val="000000"/>
          <w:szCs w:val="32"/>
        </w:rPr>
        <w:t>15</w:t>
      </w:r>
      <w:r>
        <w:rPr>
          <w:color w:val="000000"/>
          <w:szCs w:val="32"/>
        </w:rPr>
        <w:t>日</w:t>
      </w:r>
    </w:p>
    <w:sectPr>
      <w:footerReference w:type="even" r:id="rId2"/>
      <w:footerReference w:type="default" r:id="rId3"/>
      <w:type w:val="nextPage"/>
      <w:pgSz w:w="11906" w:h="16838"/>
      <w:pgMar w:left="1588" w:right="1474" w:gutter="0" w:header="0" w:top="1985" w:footer="1304" w:bottom="1871"/>
      <w:pgNumType w:fmt="decimal"/>
      <w:formProt w:val="false"/>
      <w:textDirection w:val="lrTb"/>
      <w:docGrid w:type="linesAndChars" w:linePitch="590" w:charSpace="429496627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altName w:val="DejaVu Sans"/>
    <w:charset w:val="00"/>
    <w:family w:val="swiss"/>
    <w:pitch w:val="variable"/>
  </w:font>
  <w:font w:name="Wingdings">
    <w:charset w:val="02"/>
    <w:family w:val="auto"/>
    <w:pitch w:val="variable"/>
  </w:font>
  <w:font w:name="Liberation Sans">
    <w:altName w:val="Arial"/>
    <w:charset w:val="01"/>
    <w:family w:val="swiss"/>
    <w:pitch w:val="variable"/>
  </w:font>
  <w:font w:name="仿宋_GB2312">
    <w:altName w:val="仿宋"/>
    <w:charset w:val="86"/>
    <w:family w:val="modern"/>
    <w:pitch w:val="variable"/>
  </w:font>
  <w:font w:name="黑体">
    <w:altName w:val="方正黑体_GBK"/>
    <w:charset w:val="86"/>
    <w:family w:val="modern"/>
    <w:pitch w:val="variable"/>
  </w:font>
  <w:font w:name="方正小标宋_GBK">
    <w:charset w:val="86"/>
    <w:family w:val="script"/>
    <w:pitch w:val="variable"/>
  </w:font>
  <w:font w:name="方正仿宋_GBK">
    <w:charset w:val="86"/>
    <w:family w:val="script"/>
    <w:pitch w:val="variable"/>
  </w:font>
  <w:font w:name="方正黑体_GBK">
    <w:charset w:val="86"/>
    <w:family w:val="script"/>
    <w:pitch w:val="variable"/>
  </w:font>
  <w:font w:name="方正楷体_GBK">
    <w:charset w:val="86"/>
    <w:family w:val="script"/>
    <w:pitch w:val="variable"/>
  </w:font>
  <w:font w:name="宋体">
    <w:altName w:val="方正小标宋简体"/>
    <w:charset w:val="86"/>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exact" w:line="600"/>
      <w:ind w:left="320" w:hanging="0"/>
      <w:rPr/>
    </w:pPr>
    <w:r>
      <w:rPr>
        <w:rFonts w:eastAsia="宋体;方正小标宋简体" w:cs="宋体;方正小标宋简体" w:ascii="宋体;方正小标宋简体" w:hAnsi="宋体;方正小标宋简体"/>
        <w:sz w:val="28"/>
        <w:szCs w:val="28"/>
      </w:rPr>
      <w:t xml:space="preserve">— </w:t>
    </w:r>
    <w:r>
      <w:rPr>
        <w:rFonts w:eastAsia="宋体;方正小标宋简体" w:ascii="宋体;方正小标宋简体" w:hAnsi="宋体;方正小标宋简体"/>
        <w:sz w:val="28"/>
        <w:szCs w:val="28"/>
      </w:rPr>
      <w:fldChar w:fldCharType="begin"/>
    </w:r>
    <w:r>
      <w:rPr>
        <w:sz w:val="28"/>
        <w:szCs w:val="28"/>
        <w:rFonts w:eastAsia="宋体;方正小标宋简体" w:ascii="宋体;方正小标宋简体" w:hAnsi="宋体;方正小标宋简体"/>
      </w:rPr>
      <w:instrText xml:space="preserve"> PAGE </w:instrText>
    </w:r>
    <w:r>
      <w:rPr>
        <w:sz w:val="28"/>
        <w:szCs w:val="28"/>
        <w:rFonts w:eastAsia="宋体;方正小标宋简体" w:ascii="宋体;方正小标宋简体" w:hAnsi="宋体;方正小标宋简体"/>
      </w:rPr>
      <w:fldChar w:fldCharType="separate"/>
    </w:r>
    <w:r>
      <w:rPr>
        <w:sz w:val="28"/>
        <w:szCs w:val="28"/>
        <w:rFonts w:eastAsia="宋体;方正小标宋简体" w:ascii="宋体;方正小标宋简体" w:hAnsi="宋体;方正小标宋简体"/>
      </w:rPr>
      <w:t>6</w:t>
    </w:r>
    <w:r>
      <w:rPr>
        <w:sz w:val="28"/>
        <w:szCs w:val="28"/>
        <w:rFonts w:eastAsia="宋体;方正小标宋简体" w:ascii="宋体;方正小标宋简体" w:hAnsi="宋体;方正小标宋简体"/>
      </w:rPr>
      <w:fldChar w:fldCharType="end"/>
    </w:r>
    <w:r>
      <w:rPr>
        <w:rFonts w:eastAsia="宋体;方正小标宋简体" w:cs="宋体;方正小标宋简体" w:ascii="宋体;方正小标宋简体" w:hAnsi="宋体;方正小标宋简体"/>
        <w:sz w:val="28"/>
        <w:szCs w:val="28"/>
      </w:rPr>
      <w:t xml:space="preserve"> —</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lineRule="exact" w:line="600"/>
      <w:ind w:right="320" w:hanging="0"/>
      <w:jc w:val="right"/>
      <w:rPr/>
    </w:pPr>
    <w:r>
      <w:rPr>
        <w:rFonts w:eastAsia="宋体;方正小标宋简体" w:cs="宋体;方正小标宋简体" w:ascii="宋体;方正小标宋简体" w:hAnsi="宋体;方正小标宋简体"/>
        <w:sz w:val="28"/>
        <w:szCs w:val="28"/>
      </w:rPr>
      <w:t xml:space="preserve">— </w:t>
    </w:r>
    <w:r>
      <w:rPr>
        <w:rFonts w:eastAsia="宋体;方正小标宋简体" w:ascii="宋体;方正小标宋简体" w:hAnsi="宋体;方正小标宋简体"/>
        <w:sz w:val="28"/>
        <w:szCs w:val="28"/>
      </w:rPr>
      <w:fldChar w:fldCharType="begin"/>
    </w:r>
    <w:r>
      <w:rPr>
        <w:sz w:val="28"/>
        <w:szCs w:val="28"/>
        <w:rFonts w:eastAsia="宋体;方正小标宋简体" w:ascii="宋体;方正小标宋简体" w:hAnsi="宋体;方正小标宋简体"/>
      </w:rPr>
      <w:instrText xml:space="preserve"> PAGE </w:instrText>
    </w:r>
    <w:r>
      <w:rPr>
        <w:sz w:val="28"/>
        <w:szCs w:val="28"/>
        <w:rFonts w:eastAsia="宋体;方正小标宋简体" w:ascii="宋体;方正小标宋简体" w:hAnsi="宋体;方正小标宋简体"/>
      </w:rPr>
      <w:fldChar w:fldCharType="separate"/>
    </w:r>
    <w:r>
      <w:rPr>
        <w:sz w:val="28"/>
        <w:szCs w:val="28"/>
        <w:rFonts w:eastAsia="宋体;方正小标宋简体" w:ascii="宋体;方正小标宋简体" w:hAnsi="宋体;方正小标宋简体"/>
      </w:rPr>
      <w:t>7</w:t>
    </w:r>
    <w:r>
      <w:rPr>
        <w:sz w:val="28"/>
        <w:szCs w:val="28"/>
        <w:rFonts w:eastAsia="宋体;方正小标宋简体" w:ascii="宋体;方正小标宋简体" w:hAnsi="宋体;方正小标宋简体"/>
      </w:rPr>
      <w:fldChar w:fldCharType="end"/>
    </w:r>
    <w:r>
      <w:rPr>
        <w:rFonts w:eastAsia="宋体;方正小标宋简体" w:cs="宋体;方正小标宋简体" w:ascii="宋体;方正小标宋简体" w:hAnsi="宋体;方正小标宋简体"/>
        <w:sz w:val="28"/>
        <w:szCs w:val="28"/>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360"/>
        </w:tabs>
        <w:ind w:left="360" w:hanging="360"/>
      </w:pPr>
      <w:rPr>
        <w:rFonts w:ascii="Wingdings" w:hAnsi="Wingdings" w:cs="Wingdings" w:hint="default"/>
      </w:rPr>
    </w:lvl>
  </w:abstractNum>
  <w:abstractNum w:abstractNumId="3">
    <w:lvl w:ilvl="0">
      <w:start w:val="1"/>
      <w:numFmt w:val="decimal"/>
      <w:lvlText w:val="%1."/>
      <w:lvlJc w:val="left"/>
      <w:pPr>
        <w:tabs>
          <w:tab w:val="num" w:pos="780"/>
        </w:tabs>
        <w:ind w:left="780" w:hanging="360"/>
      </w:pPr>
    </w:lvl>
  </w:abstractNum>
  <w:abstractNum w:abstractNumId="4">
    <w:lvl w:ilvl="0">
      <w:start w:val="1"/>
      <w:numFmt w:val="bullet"/>
      <w:lvlText w:val=""/>
      <w:lvlJc w:val="left"/>
      <w:pPr>
        <w:tabs>
          <w:tab w:val="num" w:pos="1620"/>
        </w:tabs>
        <w:ind w:left="1620" w:hanging="360"/>
      </w:pPr>
      <w:rPr>
        <w:rFonts w:ascii="Wingdings" w:hAnsi="Wingdings" w:cs="Wingdings" w:hint="default"/>
      </w:rPr>
    </w:lvl>
  </w:abstractNum>
  <w:abstractNum w:abstractNumId="5">
    <w:lvl w:ilvl="0">
      <w:start w:val="1"/>
      <w:numFmt w:val="bullet"/>
      <w:lvlText w:val=""/>
      <w:lvlJc w:val="left"/>
      <w:pPr>
        <w:tabs>
          <w:tab w:val="num" w:pos="780"/>
        </w:tabs>
        <w:ind w:left="780" w:hanging="360"/>
      </w:pPr>
      <w:rPr>
        <w:rFonts w:ascii="Wingdings" w:hAnsi="Wingdings" w:cs="Wingdings" w:hint="default"/>
      </w:rPr>
    </w:lvl>
  </w:abstractNum>
  <w:abstractNum w:abstractNumId="6">
    <w:lvl w:ilvl="0">
      <w:start w:val="1"/>
      <w:numFmt w:val="decimal"/>
      <w:lvlText w:val="%1."/>
      <w:lvlJc w:val="left"/>
      <w:pPr>
        <w:tabs>
          <w:tab w:val="num" w:pos="360"/>
        </w:tabs>
        <w:ind w:left="360" w:hanging="36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val="fullPage" w:percent="20"/>
  <w:displayBackgroundShape/>
  <w:mirrorMargins/>
  <w:defaultTabStop w:val="420"/>
  <w:autoHyphenation w:val="true"/>
  <w:evenAndOddHeaders/>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Heading1">
    <w:name w:val="Heading 1"/>
    <w:basedOn w:val="Normal"/>
    <w:next w:val="Normal"/>
    <w:qFormat/>
    <w:pPr>
      <w:keepNext w:val="true"/>
      <w:keepLines/>
      <w:widowControl w:val="false"/>
      <w:numPr>
        <w:ilvl w:val="0"/>
        <w:numId w:val="1"/>
      </w:numPr>
      <w:spacing w:lineRule="auto" w:line="576" w:before="340" w:after="330"/>
      <w:outlineLvl w:val="0"/>
    </w:pPr>
    <w:rPr>
      <w:b/>
      <w:kern w:val="2"/>
      <w:sz w:val="44"/>
    </w:rPr>
  </w:style>
  <w:style w:type="paragraph" w:styleId="Heading2">
    <w:name w:val="Heading 2"/>
    <w:basedOn w:val="Normal"/>
    <w:next w:val="Normal"/>
    <w:qFormat/>
    <w:pPr>
      <w:keepNext w:val="true"/>
      <w:keepLines/>
      <w:widowControl w:val="false"/>
      <w:numPr>
        <w:ilvl w:val="1"/>
        <w:numId w:val="1"/>
      </w:numPr>
      <w:spacing w:lineRule="auto" w:line="412" w:before="260" w:after="260"/>
      <w:outlineLvl w:val="1"/>
    </w:pPr>
    <w:rPr>
      <w:rFonts w:ascii="Arial;DejaVu Sans" w:hAnsi="Arial;DejaVu Sans" w:eastAsia="黑体;方正黑体_GBK" w:cs="Arial;DejaVu Sans"/>
      <w:b/>
      <w:sz w:val="32"/>
    </w:rPr>
  </w:style>
  <w:style w:type="paragraph" w:styleId="Heading3">
    <w:name w:val="Heading 3"/>
    <w:basedOn w:val="Normal"/>
    <w:next w:val="Normal"/>
    <w:qFormat/>
    <w:pPr>
      <w:keepNext w:val="true"/>
      <w:keepLines/>
      <w:widowControl w:val="false"/>
      <w:numPr>
        <w:ilvl w:val="2"/>
        <w:numId w:val="1"/>
      </w:numPr>
      <w:spacing w:lineRule="auto" w:line="412" w:before="260" w:after="260"/>
      <w:outlineLvl w:val="2"/>
    </w:pPr>
    <w:rPr>
      <w:b/>
      <w:sz w:val="32"/>
    </w:rPr>
  </w:style>
  <w:style w:type="character" w:styleId="WW8Num1z0">
    <w:name w:val="WW8Num1z0"/>
    <w:qFormat/>
    <w:rPr>
      <w:rFonts w:ascii="Wingdings" w:hAnsi="Wingdings" w:cs="Wingdings"/>
    </w:rPr>
  </w:style>
  <w:style w:type="character" w:styleId="WW8Num6z0">
    <w:name w:val="WW8Num6z0"/>
    <w:qFormat/>
    <w:rPr>
      <w:rFonts w:ascii="Wingdings" w:hAnsi="Wingdings" w:cs="Wingdings"/>
    </w:rPr>
  </w:style>
  <w:style w:type="character" w:styleId="WW8Num7z0">
    <w:name w:val="WW8Num7z0"/>
    <w:qFormat/>
    <w:rPr>
      <w:rFonts w:ascii="Wingdings" w:hAnsi="Wingdings" w:cs="Wingdings"/>
    </w:rPr>
  </w:style>
  <w:style w:type="character" w:styleId="WW8Num8z0">
    <w:name w:val="WW8Num8z0"/>
    <w:qFormat/>
    <w:rPr>
      <w:rFonts w:ascii="Wingdings" w:hAnsi="Wingdings" w:cs="Wingdings"/>
    </w:rPr>
  </w:style>
  <w:style w:type="character" w:styleId="WW8Num9z0">
    <w:name w:val="WW8Num9z0"/>
    <w:qFormat/>
    <w:rPr>
      <w:rFonts w:ascii="Wingdings" w:hAnsi="Wingdings" w:cs="Wingdings"/>
    </w:rPr>
  </w:style>
  <w:style w:type="character" w:styleId="WW8Num11z0">
    <w:name w:val="WW8Num11z0"/>
    <w:qFormat/>
    <w:rPr>
      <w:rFonts w:ascii="Wingdings" w:hAnsi="Wingdings" w:cs="Wingdings"/>
    </w:rPr>
  </w:style>
  <w:style w:type="character" w:styleId="Style11">
    <w:name w:val="默认段落字体"/>
    <w:qFormat/>
    <w:rPr/>
  </w:style>
  <w:style w:type="character" w:styleId="FootnoteCharacters">
    <w:name w:val="Footnote Characters"/>
    <w:basedOn w:val="Style11"/>
    <w:qFormat/>
    <w:rPr>
      <w:vertAlign w:val="superscript"/>
    </w:rPr>
  </w:style>
  <w:style w:type="character" w:styleId="LineNumbering">
    <w:name w:val="Line Numbering"/>
    <w:basedOn w:val="Style11"/>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Header">
    <w:name w:val="Header"/>
    <w:basedOn w:val="Normal"/>
    <w:pPr>
      <w:pBdr>
        <w:bottom w:val="single" w:sz="6" w:space="1" w:color="000000"/>
      </w:pBdr>
      <w:tabs>
        <w:tab w:val="clear" w:pos="420"/>
        <w:tab w:val="center" w:pos="4153" w:leader="none"/>
        <w:tab w:val="right" w:pos="8307" w:leader="none"/>
      </w:tabs>
      <w:snapToGrid w:val="false"/>
      <w:jc w:val="center"/>
    </w:pPr>
    <w:rPr>
      <w:sz w:val="18"/>
    </w:rPr>
  </w:style>
  <w:style w:type="paragraph" w:styleId="Footer">
    <w:name w:val="Footer"/>
    <w:pPr>
      <w:widowControl w:val="false"/>
      <w:tabs>
        <w:tab w:val="clear" w:pos="420"/>
        <w:tab w:val="center" w:pos="4153" w:leader="none"/>
        <w:tab w:val="right" w:pos="8307" w:leader="none"/>
      </w:tabs>
      <w:bidi w:val="0"/>
      <w:snapToGrid w:val="false"/>
    </w:pPr>
    <w:rPr>
      <w:rFonts w:ascii="仿宋_GB2312;仿宋" w:hAnsi="仿宋_GB2312;仿宋" w:eastAsia="仿宋_GB2312;仿宋" w:cs="Times New Roman"/>
      <w:color w:val="auto"/>
      <w:kern w:val="2"/>
      <w:sz w:val="18"/>
      <w:szCs w:val="20"/>
      <w:lang w:val="en-US" w:eastAsia="zh-CN" w:bidi="ar-SA"/>
    </w:rPr>
  </w:style>
  <w:style w:type="paragraph" w:styleId="Style12">
    <w:name w:val="样式 三号"/>
    <w:next w:val="Contents6"/>
    <w:qFormat/>
    <w:pPr>
      <w:widowControl w:val="false"/>
      <w:numPr>
        <w:ilvl w:val="0"/>
        <w:numId w:val="2"/>
      </w:numPr>
      <w:tabs>
        <w:tab w:val="clear" w:pos="420"/>
        <w:tab w:val="left" w:pos="360" w:leader="none"/>
      </w:tabs>
      <w:bidi w:val="0"/>
      <w:spacing w:lineRule="exact" w:line="560"/>
      <w:jc w:val="both"/>
    </w:pPr>
    <w:rPr>
      <w:rFonts w:ascii="Times New Roman" w:hAnsi="Times New Roman" w:eastAsia="方正仿宋_GBK" w:cs="Times New Roman"/>
      <w:color w:val="auto"/>
      <w:spacing w:val="-4"/>
      <w:kern w:val="2"/>
      <w:sz w:val="32"/>
      <w:szCs w:val="20"/>
      <w:lang w:val="en-US" w:eastAsia="zh-CN" w:bidi="ar-SA"/>
    </w:rPr>
  </w:style>
  <w:style w:type="paragraph" w:styleId="Contents2">
    <w:name w:val="TOC 2"/>
    <w:basedOn w:val="Normal"/>
    <w:next w:val="Normal"/>
    <w:pPr>
      <w:ind w:left="420" w:hanging="0"/>
    </w:pPr>
    <w:rPr/>
  </w:style>
  <w:style w:type="paragraph" w:styleId="Contents3">
    <w:name w:val="TOC 3"/>
    <w:basedOn w:val="Normal"/>
    <w:next w:val="Normal"/>
    <w:pPr>
      <w:ind w:left="840" w:hanging="0"/>
    </w:pPr>
    <w:rPr/>
  </w:style>
  <w:style w:type="paragraph" w:styleId="Contents4">
    <w:name w:val="TOC 4"/>
    <w:basedOn w:val="Normal"/>
    <w:next w:val="Normal"/>
    <w:pPr>
      <w:ind w:left="1260" w:hanging="0"/>
    </w:pPr>
    <w:rPr/>
  </w:style>
  <w:style w:type="paragraph" w:styleId="Contents5">
    <w:name w:val="TOC 5"/>
    <w:basedOn w:val="Normal"/>
    <w:next w:val="Normal"/>
    <w:pPr>
      <w:ind w:left="1680" w:hanging="0"/>
    </w:pPr>
    <w:rPr/>
  </w:style>
  <w:style w:type="paragraph" w:styleId="Contents6">
    <w:name w:val="TOC 6"/>
    <w:basedOn w:val="Normal"/>
    <w:next w:val="Normal"/>
    <w:pPr>
      <w:ind w:left="2100" w:hanging="0"/>
    </w:pPr>
    <w:rPr/>
  </w:style>
  <w:style w:type="paragraph" w:styleId="Contents7">
    <w:name w:val="TOC 7"/>
    <w:basedOn w:val="Normal"/>
    <w:next w:val="Normal"/>
    <w:pPr>
      <w:ind w:left="2520" w:hanging="0"/>
    </w:pPr>
    <w:rPr/>
  </w:style>
  <w:style w:type="paragraph" w:styleId="Contents8">
    <w:name w:val="TOC 8"/>
    <w:basedOn w:val="Normal"/>
    <w:next w:val="Normal"/>
    <w:pPr>
      <w:ind w:left="2940" w:hanging="0"/>
    </w:pPr>
    <w:rPr/>
  </w:style>
  <w:style w:type="paragraph" w:styleId="Contents9">
    <w:name w:val="TOC 9"/>
    <w:basedOn w:val="Normal"/>
    <w:next w:val="Normal"/>
    <w:pPr>
      <w:ind w:left="3360" w:hanging="0"/>
    </w:pPr>
    <w:rPr/>
  </w:style>
  <w:style w:type="paragraph" w:styleId="Style13">
    <w:name w:val="正文缩进"/>
    <w:next w:val="Contents3"/>
    <w:qFormat/>
    <w:pPr>
      <w:widowControl w:val="false"/>
      <w:bidi w:val="0"/>
      <w:spacing w:lineRule="exact" w:line="560"/>
      <w:ind w:firstLine="420"/>
      <w:jc w:val="both"/>
    </w:pPr>
    <w:rPr>
      <w:rFonts w:ascii="Times New Roman" w:hAnsi="Times New Roman" w:eastAsia="方正仿宋_GBK" w:cs="Times New Roman"/>
      <w:color w:val="auto"/>
      <w:spacing w:val="-4"/>
      <w:kern w:val="2"/>
      <w:sz w:val="32"/>
      <w:szCs w:val="20"/>
      <w:lang w:val="en-US" w:eastAsia="zh-CN" w:bidi="ar-SA"/>
    </w:rPr>
  </w:style>
  <w:style w:type="paragraph" w:styleId="Footnote">
    <w:name w:val="Footnote Text"/>
    <w:basedOn w:val="Normal"/>
    <w:pPr>
      <w:snapToGrid w:val="false"/>
      <w:jc w:val="left"/>
    </w:pPr>
    <w:rPr>
      <w:sz w:val="18"/>
      <w:szCs w:val="18"/>
    </w:rPr>
  </w:style>
  <w:style w:type="paragraph" w:styleId="Style14">
    <w:name w:val="图表目录"/>
    <w:basedOn w:val="Normal"/>
    <w:next w:val="Normal"/>
    <w:qFormat/>
    <w:pPr/>
    <w:rPr/>
  </w:style>
  <w:style w:type="paragraph" w:styleId="Addressee">
    <w:name w:val="Envelope Address"/>
    <w:basedOn w:val="Normal"/>
    <w:pPr>
      <w:snapToGrid w:val="false"/>
      <w:ind w:left="2880" w:hanging="0"/>
    </w:pPr>
    <w:rPr>
      <w:rFonts w:ascii="Arial;DejaVu Sans" w:hAnsi="Arial;DejaVu Sans" w:cs="Arial;DejaVu Sans"/>
      <w:sz w:val="24"/>
      <w:szCs w:val="24"/>
    </w:rPr>
  </w:style>
  <w:style w:type="paragraph" w:styleId="Sender">
    <w:name w:val="Envelope Return"/>
    <w:basedOn w:val="Normal"/>
    <w:pPr>
      <w:snapToGrid w:val="false"/>
    </w:pPr>
    <w:rPr>
      <w:rFonts w:ascii="Arial;DejaVu Sans" w:hAnsi="Arial;DejaVu Sans" w:cs="Arial;DejaVu Sans"/>
    </w:rPr>
  </w:style>
  <w:style w:type="paragraph" w:styleId="Style15">
    <w:name w:val="列表项目符号"/>
    <w:next w:val="Contents5"/>
    <w:qFormat/>
    <w:pPr>
      <w:widowControl w:val="false"/>
      <w:numPr>
        <w:ilvl w:val="0"/>
        <w:numId w:val="2"/>
      </w:numPr>
      <w:tabs>
        <w:tab w:val="clear" w:pos="420"/>
        <w:tab w:val="left" w:pos="360" w:leader="none"/>
      </w:tabs>
      <w:bidi w:val="0"/>
      <w:spacing w:lineRule="exact" w:line="560"/>
      <w:jc w:val="both"/>
    </w:pPr>
    <w:rPr>
      <w:rFonts w:ascii="Times New Roman" w:hAnsi="Times New Roman" w:eastAsia="方正仿宋_GBK" w:cs="Times New Roman"/>
      <w:color w:val="auto"/>
      <w:spacing w:val="-4"/>
      <w:kern w:val="2"/>
      <w:sz w:val="32"/>
      <w:szCs w:val="20"/>
      <w:lang w:val="en-US" w:eastAsia="zh-CN" w:bidi="ar-SA"/>
    </w:rPr>
  </w:style>
  <w:style w:type="paragraph" w:styleId="Style16">
    <w:name w:val="列表编号"/>
    <w:basedOn w:val="Normal"/>
    <w:qFormat/>
    <w:pPr>
      <w:numPr>
        <w:ilvl w:val="0"/>
        <w:numId w:val="6"/>
      </w:numPr>
    </w:pPr>
    <w:rPr/>
  </w:style>
  <w:style w:type="paragraph" w:styleId="2">
    <w:name w:val="列表 2"/>
    <w:basedOn w:val="Normal"/>
    <w:qFormat/>
    <w:pPr>
      <w:ind w:left="840" w:hanging="420"/>
    </w:pPr>
    <w:rPr/>
  </w:style>
  <w:style w:type="paragraph" w:styleId="21">
    <w:name w:val="列表项目符号 2"/>
    <w:basedOn w:val="Normal"/>
    <w:qFormat/>
    <w:pPr>
      <w:numPr>
        <w:ilvl w:val="0"/>
        <w:numId w:val="5"/>
      </w:numPr>
    </w:pPr>
    <w:rPr/>
  </w:style>
  <w:style w:type="paragraph" w:styleId="4">
    <w:name w:val="列表项目符号 4"/>
    <w:basedOn w:val="Normal"/>
    <w:qFormat/>
    <w:pPr>
      <w:numPr>
        <w:ilvl w:val="0"/>
        <w:numId w:val="4"/>
      </w:numPr>
    </w:pPr>
    <w:rPr/>
  </w:style>
  <w:style w:type="paragraph" w:styleId="22">
    <w:name w:val="列表编号 2"/>
    <w:basedOn w:val="Normal"/>
    <w:qFormat/>
    <w:pPr>
      <w:numPr>
        <w:ilvl w:val="0"/>
        <w:numId w:val="3"/>
      </w:numPr>
    </w:pPr>
    <w:rPr/>
  </w:style>
  <w:style w:type="paragraph" w:styleId="41">
    <w:name w:val="列表接续 4"/>
    <w:basedOn w:val="Normal"/>
    <w:qFormat/>
    <w:pPr>
      <w:spacing w:before="0" w:after="120"/>
      <w:ind w:left="1680" w:hanging="0"/>
    </w:pPr>
    <w:rPr/>
  </w:style>
  <w:style w:type="paragraph" w:styleId="10">
    <w:name w:val="样式 10 磅"/>
    <w:next w:val="Style16"/>
    <w:qFormat/>
    <w:pPr>
      <w:widowControl w:val="false"/>
      <w:bidi w:val="0"/>
      <w:jc w:val="both"/>
    </w:pPr>
    <w:rPr>
      <w:rFonts w:ascii="Times New Roman" w:hAnsi="Times New Roman" w:eastAsia="宋体;方正小标宋简体" w:cs="Lucida Sans"/>
      <w:color w:val="auto"/>
      <w:kern w:val="2"/>
      <w:sz w:val="21"/>
      <w:szCs w:val="21"/>
      <w:lang w:val="en-US" w:eastAsia="zh-CN" w:bidi="ar-SA"/>
    </w:rPr>
  </w:style>
  <w:style w:type="paragraph" w:styleId="110">
    <w:name w:val="样式 1 10 磅"/>
    <w:next w:val="2"/>
    <w:qFormat/>
    <w:pPr>
      <w:widowControl w:val="false"/>
      <w:bidi w:val="0"/>
      <w:jc w:val="both"/>
    </w:pPr>
    <w:rPr>
      <w:rFonts w:ascii="Times New Roman" w:hAnsi="Times New Roman" w:eastAsia="宋体;方正小标宋简体" w:cs="Lucida Sans"/>
      <w:color w:val="auto"/>
      <w:kern w:val="2"/>
      <w:sz w:val="21"/>
      <w:szCs w:val="21"/>
      <w:lang w:val="en-US" w:eastAsia="zh-CN" w:bidi="ar-SA"/>
    </w:rPr>
  </w:style>
  <w:style w:type="paragraph" w:styleId="1">
    <w:name w:val="样式 1 三号"/>
    <w:qFormat/>
    <w:pPr>
      <w:widowControl w:val="false"/>
      <w:bidi w:val="0"/>
      <w:spacing w:lineRule="exact" w:line="560"/>
      <w:jc w:val="both"/>
    </w:pPr>
    <w:rPr>
      <w:rFonts w:ascii="Times New Roman" w:hAnsi="Times New Roman" w:eastAsia="方正仿宋_GBK" w:cs="Times New Roman"/>
      <w:color w:val="auto"/>
      <w:spacing w:val="-4"/>
      <w:kern w:val="2"/>
      <w:sz w:val="32"/>
      <w:szCs w:val="20"/>
      <w:lang w:val="en-US" w:eastAsia="zh-CN" w:bidi="ar-SA"/>
    </w:rPr>
  </w:style>
  <w:style w:type="paragraph" w:styleId="210">
    <w:name w:val="样式 2 10 磅"/>
    <w:next w:val="Footer"/>
    <w:qFormat/>
    <w:pPr>
      <w:widowControl w:val="false"/>
      <w:bidi w:val="0"/>
      <w:jc w:val="both"/>
    </w:pPr>
    <w:rPr>
      <w:rFonts w:ascii="Times New Roman" w:hAnsi="Times New Roman" w:eastAsia="宋体;方正小标宋简体" w:cs="Lucida Sans"/>
      <w:color w:val="auto"/>
      <w:kern w:val="2"/>
      <w:sz w:val="21"/>
      <w:szCs w:val="21"/>
      <w:lang w:val="en-US" w:eastAsia="zh-CN" w:bidi="ar-SA"/>
    </w:rPr>
  </w:style>
  <w:style w:type="paragraph" w:styleId="1810">
    <w:name w:val="样式 18 10 磅"/>
    <w:next w:val="Contents3"/>
    <w:qFormat/>
    <w:pPr>
      <w:widowControl w:val="false"/>
      <w:bidi w:val="0"/>
      <w:jc w:val="both"/>
    </w:pPr>
    <w:rPr>
      <w:rFonts w:ascii="Times New Roman" w:hAnsi="Times New Roman" w:eastAsia="宋体;方正小标宋简体" w:cs="Lucida Sans"/>
      <w:color w:val="auto"/>
      <w:kern w:val="2"/>
      <w:sz w:val="21"/>
      <w:szCs w:val="21"/>
      <w:lang w:val="en-US" w:eastAsia="zh-CN" w:bidi="ar-SA"/>
    </w:rPr>
  </w:style>
  <w:style w:type="paragraph" w:styleId="68310">
    <w:name w:val="样式 683 10 磅"/>
    <w:qFormat/>
    <w:pPr>
      <w:widowControl w:val="false"/>
      <w:bidi w:val="0"/>
      <w:jc w:val="both"/>
    </w:pPr>
    <w:rPr>
      <w:rFonts w:ascii="Times New Roman" w:hAnsi="Times New Roman" w:eastAsia="宋体;方正小标宋简体" w:cs="Times New Roman"/>
      <w:color w:val="auto"/>
      <w:kern w:val="2"/>
      <w:sz w:val="21"/>
      <w:szCs w:val="24"/>
      <w:lang w:val="en-US" w:eastAsia="zh-CN" w:bidi="ar-SA"/>
    </w:rPr>
  </w:style>
  <w:style w:type="paragraph" w:styleId="3110">
    <w:name w:val="样式 31 10 磅"/>
    <w:next w:val="21"/>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3910">
    <w:name w:val="样式 39 10 磅"/>
    <w:next w:val="Style13"/>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3210">
    <w:name w:val="样式 32 10 磅"/>
    <w:next w:val="4"/>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101">
    <w:name w:val="样式 10 三号"/>
    <w:qFormat/>
    <w:pPr>
      <w:widowControl w:val="false"/>
      <w:bidi w:val="0"/>
      <w:spacing w:lineRule="exact" w:line="560"/>
      <w:jc w:val="both"/>
    </w:pPr>
    <w:rPr>
      <w:rFonts w:ascii="Times New Roman" w:hAnsi="Times New Roman" w:eastAsia="方正仿宋_GBK" w:cs="Times New Roman"/>
      <w:color w:val="auto"/>
      <w:spacing w:val="-4"/>
      <w:kern w:val="2"/>
      <w:sz w:val="32"/>
      <w:szCs w:val="20"/>
      <w:lang w:val="en-US" w:eastAsia="zh-CN" w:bidi="ar-SA"/>
    </w:rPr>
  </w:style>
  <w:style w:type="paragraph" w:styleId="3310">
    <w:name w:val="样式 33 10 磅"/>
    <w:next w:val="22"/>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1610">
    <w:name w:val="样式 16 10 磅"/>
    <w:next w:val="Contents2"/>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1110">
    <w:name w:val="样式 11 10 磅"/>
    <w:next w:val="Contents5"/>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2110">
    <w:name w:val="样式 21 10 磅"/>
    <w:next w:val="Contents6"/>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2210">
    <w:name w:val="样式 22 10 磅"/>
    <w:next w:val="Contents9"/>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2310">
    <w:name w:val="样式 23 10 磅"/>
    <w:next w:val="Sender"/>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910">
    <w:name w:val="样式 9 10 磅"/>
    <w:next w:val="Style14"/>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2410">
    <w:name w:val="样式 24 10 磅"/>
    <w:next w:val="Contents4"/>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3410">
    <w:name w:val="样式 34 10 磅"/>
    <w:next w:val="Contents8"/>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2510">
    <w:name w:val="样式 25 10 磅"/>
    <w:next w:val="Style12"/>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2710">
    <w:name w:val="样式 27 10 磅"/>
    <w:next w:val="Addressee"/>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2810">
    <w:name w:val="样式 28 10 磅"/>
    <w:next w:val="Footnote"/>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4610">
    <w:name w:val="样式 46 10 磅"/>
    <w:next w:val="41"/>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2910">
    <w:name w:val="样式 29 10 磅"/>
    <w:next w:val="Header"/>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3010">
    <w:name w:val="样式 30 10 磅"/>
    <w:next w:val="Contents7"/>
    <w:qFormat/>
    <w:pPr>
      <w:widowControl w:val="false"/>
      <w:bidi w:val="0"/>
      <w:jc w:val="both"/>
    </w:pPr>
    <w:rPr>
      <w:rFonts w:ascii="Times New Roman" w:hAnsi="Times New Roman" w:eastAsia="宋体;方正小标宋简体" w:cs="Times New Roman"/>
      <w:color w:val="auto"/>
      <w:kern w:val="2"/>
      <w:sz w:val="21"/>
      <w:szCs w:val="21"/>
      <w:lang w:val="en-US" w:eastAsia="zh-CN" w:bidi="ar-SA"/>
    </w:rPr>
  </w:style>
  <w:style w:type="paragraph" w:styleId="23">
    <w:name w:val="样式 2 三号"/>
    <w:qFormat/>
    <w:pPr>
      <w:widowControl w:val="false"/>
      <w:bidi w:val="0"/>
      <w:jc w:val="both"/>
    </w:pPr>
    <w:rPr>
      <w:rFonts w:ascii="Times New Roman" w:hAnsi="Times New Roman" w:eastAsia="方正仿宋_GBK" w:cs="Times New Roman"/>
      <w:color w:val="auto"/>
      <w:kern w:val="2"/>
      <w:sz w:val="32"/>
      <w:szCs w:val="20"/>
      <w:lang w:val="en-US" w:eastAsia="zh-CN" w:bidi="ar-SA"/>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321</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2007-01-08T08:17:00Z</dcterms:created>
  <dc:creator/>
  <dc:description/>
  <dc:language>en-US</dc:language>
  <cp:lastModifiedBy>何可欣</cp:lastModifiedBy>
  <cp:lastPrinted>2026-10-15T14:04:00Z</cp:lastPrinted>
  <dcterms:modified xsi:type="dcterms:W3CDTF">2026-10-15T08:13:45Z</dcterms:modified>
  <cp:revision>40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鍐呭">
    <vt:lpwstr>鍏憡</vt:lpwstr>
  </property>
</Properties>
</file>