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false"/>
        <w:keepLines w:val="false"/>
        <w:pageBreakBefore w:val="false"/>
        <w:widowControl w:val="false"/>
        <w:kinsoku w:val="true"/>
        <w:overflowPunct w:val="true"/>
        <w:autoSpaceDE w:val="true"/>
        <w:bidi w:val="0"/>
        <w:snapToGrid w:val="true"/>
        <w:spacing w:lineRule="exact" w:line="580" w:before="0" w:after="0"/>
        <w:ind w:left="0" w:right="0" w:hanging="0"/>
        <w:jc w:val="center"/>
        <w:textAlignment w:val="auto"/>
        <w:rPr>
          <w:rFonts w:ascii="方正小标宋简体" w:hAnsi="方正小标宋简体" w:eastAsia="方正小标宋简体" w:cs="方正小标宋简体"/>
          <w:b w:val="false"/>
          <w:b w:val="false"/>
          <w:i w:val="false"/>
          <w:i w:val="false"/>
          <w:color w:val="262600"/>
          <w:sz w:val="44"/>
          <w:szCs w:val="44"/>
          <w:lang w:eastAsia="zh-CN"/>
        </w:rPr>
      </w:pPr>
      <w:r>
        <w:rPr>
          <w:rFonts w:ascii="方正小标宋简体" w:hAnsi="方正小标宋简体" w:cs="方正小标宋简体" w:eastAsia="方正小标宋简体"/>
          <w:b w:val="false"/>
          <w:i w:val="false"/>
          <w:color w:val="262600"/>
          <w:sz w:val="44"/>
          <w:szCs w:val="44"/>
          <w:lang w:eastAsia="zh-CN"/>
        </w:rPr>
        <w:t>公布</w:t>
      </w:r>
      <w:r>
        <w:rPr>
          <w:rFonts w:eastAsia="方正小标宋简体" w:cs="方正小标宋简体" w:ascii="方正小标宋简体" w:hAnsi="方正小标宋简体"/>
          <w:b w:val="false"/>
          <w:i w:val="false"/>
          <w:color w:val="262600"/>
          <w:sz w:val="44"/>
          <w:szCs w:val="44"/>
          <w:lang w:eastAsia="zh-CN"/>
        </w:rPr>
        <w:t>2027</w:t>
      </w:r>
      <w:r>
        <w:rPr>
          <w:rFonts w:ascii="方正小标宋简体" w:hAnsi="方正小标宋简体" w:cs="方正小标宋简体" w:eastAsia="方正小标宋简体"/>
          <w:b w:val="false"/>
          <w:i w:val="false"/>
          <w:color w:val="262600"/>
          <w:sz w:val="44"/>
          <w:szCs w:val="44"/>
          <w:lang w:eastAsia="zh-CN"/>
        </w:rPr>
        <w:t>年化肥进口关税配额总量、</w:t>
      </w:r>
    </w:p>
    <w:p>
      <w:pPr>
        <w:pStyle w:val="Normal"/>
        <w:keepNext w:val="false"/>
        <w:keepLines w:val="false"/>
        <w:pageBreakBefore w:val="false"/>
        <w:widowControl w:val="false"/>
        <w:kinsoku w:val="true"/>
        <w:overflowPunct w:val="true"/>
        <w:autoSpaceDE w:val="true"/>
        <w:bidi w:val="0"/>
        <w:snapToGrid w:val="true"/>
        <w:spacing w:lineRule="exact" w:line="580" w:before="0" w:after="0"/>
        <w:ind w:left="0" w:right="0" w:hanging="0"/>
        <w:jc w:val="center"/>
        <w:textAlignment w:val="auto"/>
        <w:rPr>
          <w:rFonts w:ascii="仿宋_GB2312" w:hAnsi="仿宋_GB2312" w:eastAsia="仿宋_GB2312" w:cs="仿宋_GB2312"/>
          <w:b w:val="false"/>
          <w:b w:val="false"/>
          <w:i w:val="false"/>
          <w:i w:val="false"/>
          <w:color w:val="262600"/>
          <w:sz w:val="32"/>
          <w:lang w:eastAsia="zh-CN"/>
        </w:rPr>
      </w:pPr>
      <w:r>
        <w:rPr>
          <w:rFonts w:ascii="方正小标宋简体" w:hAnsi="方正小标宋简体" w:cs="方正小标宋简体" w:eastAsia="方正小标宋简体"/>
          <w:b w:val="false"/>
          <w:i w:val="false"/>
          <w:color w:val="262600"/>
          <w:sz w:val="44"/>
          <w:szCs w:val="44"/>
          <w:lang w:eastAsia="zh-CN"/>
        </w:rPr>
        <w:t>分配原则及相关程序</w:t>
      </w:r>
    </w:p>
    <w:p>
      <w:pPr>
        <w:pStyle w:val="Normal"/>
        <w:kinsoku w:val="true"/>
        <w:autoSpaceDE w:val="true"/>
        <w:jc w:val="center"/>
        <w:rPr>
          <w:rFonts w:ascii="仿宋_GB2312" w:hAnsi="仿宋_GB2312" w:eastAsia="仿宋_GB2312" w:cs="仿宋_GB2312"/>
          <w:b w:val="false"/>
          <w:b w:val="false"/>
          <w:i w:val="false"/>
          <w:i w:val="false"/>
          <w:color w:val="262600"/>
          <w:sz w:val="32"/>
          <w:szCs w:val="32"/>
          <w:lang w:eastAsia="zh-CN"/>
        </w:rPr>
      </w:pPr>
      <w:r>
        <w:rPr>
          <w:rFonts w:ascii="Helvetica Neue;Helvetica" w:hAnsi="Helvetica Neue;Helvetica" w:cs="宋体"/>
          <w:b w:val="false"/>
          <w:i w:val="false"/>
          <w:color w:val="000000"/>
          <w:sz w:val="32"/>
          <w:szCs w:val="32"/>
        </w:rPr>
        <w:t>商务部公告</w:t>
      </w:r>
      <w:r>
        <w:rPr>
          <w:rFonts w:cs="宋体" w:ascii="Helvetica Neue;Helvetica" w:hAnsi="Helvetica Neue;Helvetica"/>
          <w:b w:val="false"/>
          <w:i w:val="false"/>
          <w:color w:val="000000"/>
          <w:sz w:val="32"/>
          <w:szCs w:val="32"/>
        </w:rPr>
        <w:t>2026</w:t>
      </w:r>
      <w:r>
        <w:rPr>
          <w:rFonts w:ascii="Helvetica Neue;Helvetica" w:hAnsi="Helvetica Neue;Helvetica" w:cs="宋体"/>
          <w:b w:val="false"/>
          <w:i w:val="false"/>
          <w:color w:val="000000"/>
          <w:sz w:val="32"/>
          <w:szCs w:val="32"/>
        </w:rPr>
        <w:t>年第</w:t>
      </w:r>
      <w:r>
        <w:rPr>
          <w:rFonts w:cs="宋体" w:ascii="Helvetica Neue;Helvetica" w:hAnsi="Helvetica Neue;Helvetica"/>
          <w:b w:val="false"/>
          <w:i w:val="false"/>
          <w:color w:val="000000"/>
          <w:sz w:val="32"/>
          <w:szCs w:val="32"/>
        </w:rPr>
        <w:t>47</w:t>
      </w:r>
      <w:r>
        <w:rPr>
          <w:rFonts w:ascii="Helvetica Neue;Helvetica" w:hAnsi="Helvetica Neue;Helvetica" w:cs="宋体"/>
          <w:b w:val="false"/>
          <w:i w:val="false"/>
          <w:color w:val="000000"/>
          <w:sz w:val="32"/>
          <w:szCs w:val="32"/>
        </w:rPr>
        <w:t>号</w:t>
      </w:r>
    </w:p>
    <w:p>
      <w:pPr>
        <w:pStyle w:val="Normal"/>
        <w:kinsoku w:val="true"/>
        <w:autoSpaceDE w:val="true"/>
        <w:ind w:firstLine="640"/>
        <w:jc w:val="both"/>
        <w:rPr>
          <w:rFonts w:ascii="Calibri" w:hAnsi="Calibri" w:cs="宋体"/>
          <w:b w:val="false"/>
          <w:b w:val="false"/>
          <w:i w:val="false"/>
          <w:i w:val="false"/>
          <w:color w:val="262600"/>
          <w:sz w:val="21"/>
        </w:rPr>
      </w:pPr>
      <w:r>
        <w:rPr>
          <w:rFonts w:ascii="仿宋_GB2312" w:hAnsi="仿宋_GB2312" w:cs="仿宋_GB2312" w:eastAsia="仿宋_GB2312"/>
          <w:b w:val="false"/>
          <w:i w:val="false"/>
          <w:color w:val="262600"/>
          <w:sz w:val="32"/>
          <w:lang w:eastAsia="zh-CN"/>
        </w:rPr>
        <w:t>根据《中华人民共和国货物进出口管理条例》《化肥进口关税配额管理暂行办法》，商务部制定了《</w:t>
      </w:r>
      <w:r>
        <w:rPr>
          <w:rFonts w:cs="宋体" w:ascii="LinTimes;思源黑体 CN Normal" w:hAnsi="LinTimes;思源黑体 CN Normal"/>
          <w:b w:val="false"/>
          <w:i w:val="false"/>
          <w:color w:val="262600"/>
          <w:sz w:val="32"/>
        </w:rPr>
        <w:t>2027</w:t>
      </w:r>
      <w:r>
        <w:rPr>
          <w:rFonts w:ascii="仿宋_GB2312" w:hAnsi="仿宋_GB2312" w:cs="仿宋_GB2312" w:eastAsia="仿宋_GB2312"/>
          <w:b w:val="false"/>
          <w:i w:val="false"/>
          <w:color w:val="262600"/>
          <w:sz w:val="32"/>
          <w:lang w:eastAsia="zh-CN"/>
        </w:rPr>
        <w:t>年化肥进口关税配额总量、分配原则及相关程序》，现予公布。</w:t>
      </w:r>
    </w:p>
    <w:p>
      <w:pPr>
        <w:pStyle w:val="Normal"/>
        <w:kinsoku w:val="true"/>
        <w:autoSpaceDE w:val="true"/>
        <w:ind w:firstLine="645"/>
        <w:jc w:val="both"/>
        <w:rPr>
          <w:rFonts w:ascii="Calibri" w:hAnsi="Calibri" w:cs="宋体"/>
          <w:b w:val="false"/>
          <w:b w:val="false"/>
          <w:i w:val="false"/>
          <w:i w:val="false"/>
          <w:color w:val="262600"/>
          <w:sz w:val="21"/>
        </w:rPr>
      </w:pPr>
      <w:r>
        <w:rPr>
          <w:rFonts w:eastAsia="LinTimes;思源黑体 CN Normal" w:cs="LinTimes;思源黑体 CN Normal" w:ascii="LinTimes;思源黑体 CN Normal" w:hAnsi="LinTimes;思源黑体 CN Normal"/>
          <w:b w:val="false"/>
          <w:i w:val="false"/>
          <w:color w:val="262600"/>
          <w:sz w:val="32"/>
        </w:rPr>
        <w:t xml:space="preserve"> </w:t>
      </w:r>
    </w:p>
    <w:p>
      <w:pPr>
        <w:pStyle w:val="Normal"/>
        <w:keepNext w:val="false"/>
        <w:keepLines w:val="false"/>
        <w:pageBreakBefore w:val="false"/>
        <w:widowControl w:val="false"/>
        <w:kinsoku w:val="true"/>
        <w:overflowPunct w:val="true"/>
        <w:autoSpaceDE w:val="true"/>
        <w:bidi w:val="0"/>
        <w:snapToGrid w:val="false"/>
        <w:spacing w:lineRule="auto" w:line="240" w:before="0" w:after="0"/>
        <w:ind w:left="0" w:right="0" w:firstLine="645"/>
        <w:jc w:val="right"/>
        <w:textAlignment w:val="auto"/>
        <w:rPr>
          <w:rFonts w:ascii="Calibri" w:hAnsi="Calibri" w:cs="宋体"/>
          <w:b w:val="false"/>
          <w:b w:val="false"/>
          <w:i w:val="false"/>
          <w:i w:val="false"/>
          <w:color w:val="262600"/>
          <w:sz w:val="21"/>
        </w:rPr>
      </w:pPr>
      <w:r>
        <w:rPr>
          <w:rFonts w:eastAsia="LinTimes;思源黑体 CN Normal" w:cs="LinTimes;思源黑体 CN Normal" w:ascii="LinTimes;思源黑体 CN Normal" w:hAnsi="LinTimes;思源黑体 CN Normal"/>
          <w:b w:val="false"/>
          <w:i w:val="false"/>
          <w:color w:val="262600"/>
          <w:sz w:val="32"/>
        </w:rPr>
        <w:t xml:space="preserve">                                                           </w:t>
      </w:r>
      <w:r>
        <w:rPr>
          <w:rFonts w:eastAsia="LinTimes;思源黑体 CN Normal" w:cs="LinTimes;思源黑体 CN Normal" w:ascii="LinTimes;思源黑体 CN Normal" w:hAnsi="LinTimes;思源黑体 CN Normal"/>
          <w:b w:val="false"/>
          <w:i w:val="false"/>
          <w:color w:val="262600"/>
          <w:sz w:val="32"/>
          <w:lang w:val="en-US" w:eastAsia="zh-CN"/>
        </w:rPr>
        <w:t xml:space="preserve">                                     </w:t>
      </w:r>
      <w:r>
        <w:rPr>
          <w:rFonts w:ascii="仿宋_GB2312" w:hAnsi="仿宋_GB2312" w:cs="仿宋_GB2312" w:eastAsia="仿宋_GB2312"/>
          <w:b w:val="false"/>
          <w:i w:val="false"/>
          <w:color w:val="262600"/>
          <w:sz w:val="32"/>
          <w:lang w:eastAsia="zh-CN"/>
        </w:rPr>
        <w:t>商务部</w:t>
      </w:r>
    </w:p>
    <w:p>
      <w:pPr>
        <w:pStyle w:val="Normal"/>
        <w:kinsoku w:val="true"/>
        <w:autoSpaceDE w:val="true"/>
        <w:ind w:firstLine="645"/>
        <w:jc w:val="right"/>
        <w:rPr>
          <w:rFonts w:ascii="Calibri" w:hAnsi="Calibri" w:cs="宋体"/>
          <w:b w:val="false"/>
          <w:b w:val="false"/>
          <w:i w:val="false"/>
          <w:i w:val="false"/>
          <w:color w:val="262600"/>
          <w:sz w:val="21"/>
        </w:rPr>
      </w:pPr>
      <w:r>
        <w:rPr>
          <w:rFonts w:eastAsia="LinTimes;思源黑体 CN Normal" w:cs="LinTimes;思源黑体 CN Normal" w:ascii="LinTimes;思源黑体 CN Normal" w:hAnsi="LinTimes;思源黑体 CN Normal"/>
          <w:b w:val="false"/>
          <w:i w:val="false"/>
          <w:color w:val="262600"/>
          <w:sz w:val="32"/>
        </w:rPr>
        <w:t xml:space="preserve">                                 </w:t>
      </w:r>
      <w:r>
        <w:rPr>
          <w:rFonts w:cs="宋体" w:ascii="LinTimes;思源黑体 CN Normal" w:hAnsi="LinTimes;思源黑体 CN Normal"/>
          <w:b w:val="false"/>
          <w:i w:val="false"/>
          <w:color w:val="262600"/>
          <w:sz w:val="32"/>
        </w:rPr>
        <w:t>2026</w:t>
      </w:r>
      <w:r>
        <w:rPr>
          <w:rFonts w:ascii="仿宋_GB2312" w:hAnsi="仿宋_GB2312" w:cs="仿宋_GB2312" w:eastAsia="仿宋_GB2312"/>
          <w:b w:val="false"/>
          <w:i w:val="false"/>
          <w:color w:val="262600"/>
          <w:sz w:val="32"/>
          <w:lang w:eastAsia="zh-CN"/>
        </w:rPr>
        <w:t>年</w:t>
      </w:r>
      <w:r>
        <w:rPr>
          <w:rFonts w:cs="宋体" w:ascii="LinTimes;思源黑体 CN Normal" w:hAnsi="LinTimes;思源黑体 CN Normal"/>
          <w:b w:val="false"/>
          <w:i w:val="false"/>
          <w:color w:val="262600"/>
          <w:sz w:val="32"/>
        </w:rPr>
        <w:t>10</w:t>
      </w:r>
      <w:r>
        <w:rPr>
          <w:rFonts w:ascii="仿宋_GB2312" w:hAnsi="仿宋_GB2312" w:cs="仿宋_GB2312" w:eastAsia="仿宋_GB2312"/>
          <w:b w:val="false"/>
          <w:i w:val="false"/>
          <w:color w:val="262600"/>
          <w:sz w:val="32"/>
          <w:lang w:eastAsia="zh-CN"/>
        </w:rPr>
        <w:t>月</w:t>
      </w:r>
      <w:r>
        <w:rPr>
          <w:rFonts w:cs="宋体" w:ascii="LinTimes;思源黑体 CN Normal" w:hAnsi="LinTimes;思源黑体 CN Normal"/>
          <w:b w:val="false"/>
          <w:i w:val="false"/>
          <w:color w:val="262600"/>
          <w:sz w:val="32"/>
        </w:rPr>
        <w:t>10</w:t>
      </w:r>
      <w:r>
        <w:rPr>
          <w:rFonts w:ascii="仿宋_GB2312" w:hAnsi="仿宋_GB2312" w:cs="仿宋_GB2312" w:eastAsia="仿宋_GB2312"/>
          <w:b w:val="false"/>
          <w:i w:val="false"/>
          <w:color w:val="262600"/>
          <w:sz w:val="32"/>
          <w:lang w:eastAsia="zh-CN"/>
        </w:rPr>
        <w:t>日</w:t>
      </w:r>
    </w:p>
    <w:p>
      <w:pPr>
        <w:pStyle w:val="Normal"/>
        <w:kinsoku w:val="true"/>
        <w:autoSpaceDE w:val="true"/>
        <w:jc w:val="center"/>
        <w:rPr>
          <w:rFonts w:ascii="Calibri" w:hAnsi="Calibri" w:cs="宋体"/>
          <w:b w:val="false"/>
          <w:b w:val="false"/>
          <w:i w:val="false"/>
          <w:i w:val="false"/>
          <w:color w:val="262600"/>
          <w:sz w:val="21"/>
        </w:rPr>
      </w:pPr>
      <w:r>
        <w:rPr>
          <w:rFonts w:cs="宋体" w:ascii="Calibri" w:hAnsi="Calibri"/>
          <w:b w:val="false"/>
          <w:i w:val="false"/>
          <w:color w:val="262600"/>
          <w:sz w:val="21"/>
        </w:rPr>
      </w:r>
    </w:p>
    <w:p>
      <w:pPr>
        <w:pStyle w:val="Normal"/>
        <w:kinsoku w:val="true"/>
        <w:autoSpaceDE w:val="true"/>
        <w:spacing w:lineRule="atLeast" w:line="540" w:before="240" w:after="60"/>
        <w:jc w:val="center"/>
        <w:rPr>
          <w:rFonts w:ascii="Cambria" w:hAnsi="Cambria" w:cs="宋体"/>
          <w:b/>
          <w:b/>
          <w:i w:val="false"/>
          <w:i w:val="false"/>
          <w:color w:val="262600"/>
          <w:sz w:val="32"/>
        </w:rPr>
      </w:pPr>
      <w:r>
        <w:rPr>
          <w:rFonts w:cs="宋体" w:ascii="Cambria" w:hAnsi="Cambria"/>
          <w:b/>
          <w:i w:val="false"/>
          <w:color w:val="262600"/>
          <w:sz w:val="32"/>
        </w:rPr>
      </w:r>
    </w:p>
    <w:p>
      <w:pPr>
        <w:pStyle w:val="Normal"/>
        <w:kinsoku w:val="true"/>
        <w:autoSpaceDE w:val="true"/>
        <w:spacing w:lineRule="atLeast" w:line="540" w:before="240" w:after="60"/>
        <w:rPr>
          <w:rFonts w:ascii="Cambria" w:hAnsi="Cambria" w:cs="宋体"/>
          <w:b/>
          <w:b/>
          <w:i w:val="false"/>
          <w:i w:val="false"/>
          <w:color w:val="262600"/>
          <w:sz w:val="32"/>
        </w:rPr>
      </w:pPr>
      <w:r>
        <w:rPr>
          <w:rFonts w:cs="宋体" w:ascii="LinTimes;思源黑体 CN Normal" w:hAnsi="LinTimes;思源黑体 CN Normal"/>
          <w:b w:val="false"/>
          <w:i w:val="false"/>
          <w:color w:val="262600"/>
          <w:sz w:val="36"/>
        </w:rPr>
        <w:t>2027</w:t>
      </w:r>
      <w:r>
        <w:rPr>
          <w:rFonts w:ascii="方正小标宋简体" w:hAnsi="方正小标宋简体" w:cs="方正小标宋简体" w:eastAsia="方正小标宋简体"/>
          <w:b w:val="false"/>
          <w:i w:val="false"/>
          <w:color w:val="262600"/>
          <w:sz w:val="36"/>
          <w:lang w:eastAsia="zh-CN"/>
        </w:rPr>
        <w:t>年化肥进口关税配额总量、分配原则及相关程序</w:t>
      </w:r>
    </w:p>
    <w:p>
      <w:pPr>
        <w:pStyle w:val="Normal"/>
        <w:kinsoku w:val="true"/>
        <w:autoSpaceDE w:val="true"/>
        <w:spacing w:lineRule="atLeast" w:line="540"/>
        <w:jc w:val="both"/>
        <w:rPr>
          <w:rFonts w:ascii="Calibri" w:hAnsi="Calibri" w:cs="宋体"/>
          <w:b w:val="false"/>
          <w:b w:val="false"/>
          <w:i w:val="false"/>
          <w:i w:val="false"/>
          <w:color w:val="262600"/>
          <w:sz w:val="21"/>
        </w:rPr>
      </w:pPr>
      <w:r>
        <w:rPr>
          <w:rFonts w:eastAsia="Times New Roman" w:cs="Times New Roman"/>
          <w:b w:val="false"/>
          <w:i w:val="false"/>
          <w:color w:val="262600"/>
          <w:sz w:val="21"/>
        </w:rPr>
        <w:t xml:space="preserve">      </w:t>
      </w:r>
      <w:r>
        <w:rPr>
          <w:rFonts w:ascii="黑体" w:hAnsi="黑体" w:cs="黑体" w:eastAsia="黑体"/>
          <w:b w:val="false"/>
          <w:i w:val="false"/>
          <w:color w:val="262600"/>
          <w:sz w:val="32"/>
          <w:lang w:eastAsia="zh-CN"/>
        </w:rPr>
        <w:t>第一条</w:t>
      </w:r>
      <w:r>
        <w:rPr>
          <w:rFonts w:ascii="Times New Roman" w:hAnsi="Times New Roman" w:cs="Times New Roman" w:eastAsia="Times New Roman"/>
          <w:b w:val="false"/>
          <w:i w:val="false"/>
          <w:color w:val="262600"/>
          <w:sz w:val="32"/>
        </w:rPr>
        <w:t xml:space="preserve">  </w:t>
      </w:r>
      <w:r>
        <w:rPr>
          <w:rFonts w:ascii="黑体" w:hAnsi="黑体" w:cs="黑体" w:eastAsia="黑体"/>
          <w:b w:val="false"/>
          <w:i w:val="false"/>
          <w:color w:val="262600"/>
          <w:sz w:val="32"/>
          <w:lang w:eastAsia="zh-CN"/>
        </w:rPr>
        <w:t>化肥进口关税配额总量</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cs="宋体" w:ascii="LinTimes;思源黑体 CN Normal" w:hAnsi="LinTimes;思源黑体 CN Normal"/>
          <w:b w:val="false"/>
          <w:i w:val="false"/>
          <w:color w:val="262600"/>
          <w:sz w:val="32"/>
        </w:rPr>
        <w:t>2027</w:t>
      </w:r>
      <w:r>
        <w:rPr>
          <w:rFonts w:ascii="仿宋_GB2312" w:hAnsi="仿宋_GB2312" w:cs="仿宋_GB2312" w:eastAsia="仿宋_GB2312"/>
          <w:b w:val="false"/>
          <w:i w:val="false"/>
          <w:color w:val="262600"/>
          <w:sz w:val="32"/>
          <w:lang w:eastAsia="zh-CN"/>
        </w:rPr>
        <w:t>年化肥进口关税配额总量为</w:t>
      </w:r>
      <w:r>
        <w:rPr>
          <w:rFonts w:cs="宋体" w:ascii="LinTimes;思源黑体 CN Normal" w:hAnsi="LinTimes;思源黑体 CN Normal"/>
          <w:b w:val="false"/>
          <w:i w:val="false"/>
          <w:color w:val="262600"/>
          <w:sz w:val="32"/>
        </w:rPr>
        <w:t>1365</w:t>
      </w:r>
      <w:r>
        <w:rPr>
          <w:rFonts w:ascii="仿宋_GB2312" w:hAnsi="仿宋_GB2312" w:cs="仿宋_GB2312" w:eastAsia="仿宋_GB2312"/>
          <w:b w:val="false"/>
          <w:i w:val="false"/>
          <w:color w:val="262600"/>
          <w:sz w:val="32"/>
          <w:lang w:eastAsia="zh-CN"/>
        </w:rPr>
        <w:t>万吨。其中，尿素</w:t>
      </w:r>
      <w:r>
        <w:rPr>
          <w:rFonts w:cs="宋体" w:ascii="LinTimes;思源黑体 CN Normal" w:hAnsi="LinTimes;思源黑体 CN Normal"/>
          <w:b w:val="false"/>
          <w:i w:val="false"/>
          <w:color w:val="262600"/>
          <w:sz w:val="32"/>
        </w:rPr>
        <w:t>330</w:t>
      </w:r>
      <w:r>
        <w:rPr>
          <w:rFonts w:ascii="仿宋_GB2312" w:hAnsi="仿宋_GB2312" w:cs="仿宋_GB2312" w:eastAsia="仿宋_GB2312"/>
          <w:b w:val="false"/>
          <w:i w:val="false"/>
          <w:color w:val="262600"/>
          <w:sz w:val="32"/>
          <w:lang w:eastAsia="zh-CN"/>
        </w:rPr>
        <w:t>万吨；磷酸氢二铵</w:t>
      </w:r>
      <w:r>
        <w:rPr>
          <w:rFonts w:cs="宋体" w:ascii="LinTimes;思源黑体 CN Normal" w:hAnsi="LinTimes;思源黑体 CN Normal"/>
          <w:b w:val="false"/>
          <w:i w:val="false"/>
          <w:color w:val="262600"/>
          <w:sz w:val="32"/>
        </w:rPr>
        <w:t>690</w:t>
      </w:r>
      <w:r>
        <w:rPr>
          <w:rFonts w:ascii="仿宋_GB2312" w:hAnsi="仿宋_GB2312" w:cs="仿宋_GB2312" w:eastAsia="仿宋_GB2312"/>
          <w:b w:val="false"/>
          <w:i w:val="false"/>
          <w:color w:val="262600"/>
          <w:sz w:val="32"/>
          <w:lang w:eastAsia="zh-CN"/>
        </w:rPr>
        <w:t>万吨；复合肥</w:t>
      </w:r>
      <w:r>
        <w:rPr>
          <w:rFonts w:cs="宋体" w:ascii="LinTimes;思源黑体 CN Normal" w:hAnsi="LinTimes;思源黑体 CN Normal"/>
          <w:b w:val="false"/>
          <w:i w:val="false"/>
          <w:color w:val="262600"/>
          <w:sz w:val="32"/>
        </w:rPr>
        <w:t>345</w:t>
      </w:r>
      <w:r>
        <w:rPr>
          <w:rFonts w:ascii="仿宋_GB2312" w:hAnsi="仿宋_GB2312" w:cs="仿宋_GB2312" w:eastAsia="仿宋_GB2312"/>
          <w:b w:val="false"/>
          <w:i w:val="false"/>
          <w:color w:val="262600"/>
          <w:sz w:val="32"/>
          <w:lang w:eastAsia="zh-CN"/>
        </w:rPr>
        <w:t>万吨。</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黑体" w:hAnsi="黑体" w:cs="黑体" w:eastAsia="黑体"/>
          <w:b w:val="false"/>
          <w:i w:val="false"/>
          <w:color w:val="262600"/>
          <w:sz w:val="32"/>
          <w:lang w:eastAsia="zh-CN"/>
        </w:rPr>
        <w:t>第二条</w:t>
      </w:r>
      <w:r>
        <w:rPr>
          <w:rFonts w:ascii="LinTimes;思源黑体 CN Normal" w:hAnsi="LinTimes;思源黑体 CN Normal" w:cs="LinTimes;思源黑体 CN Normal" w:eastAsia="LinTimes;思源黑体 CN Normal"/>
          <w:b w:val="false"/>
          <w:i w:val="false"/>
          <w:color w:val="262600"/>
          <w:sz w:val="32"/>
        </w:rPr>
        <w:t xml:space="preserve">  </w:t>
      </w:r>
      <w:r>
        <w:rPr>
          <w:rFonts w:ascii="黑体" w:hAnsi="黑体" w:cs="黑体" w:eastAsia="黑体"/>
          <w:b w:val="false"/>
          <w:i w:val="false"/>
          <w:color w:val="262600"/>
          <w:sz w:val="32"/>
          <w:lang w:eastAsia="zh-CN"/>
        </w:rPr>
        <w:t>国营贸易及非国营贸易关税配额</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cs="宋体" w:ascii="LinTimes;思源黑体 CN Normal" w:hAnsi="LinTimes;思源黑体 CN Normal"/>
          <w:b w:val="false"/>
          <w:i w:val="false"/>
          <w:color w:val="262600"/>
          <w:sz w:val="32"/>
        </w:rPr>
        <w:t>2027</w:t>
      </w:r>
      <w:r>
        <w:rPr>
          <w:rFonts w:ascii="仿宋_GB2312" w:hAnsi="仿宋_GB2312" w:cs="仿宋_GB2312" w:eastAsia="仿宋_GB2312"/>
          <w:b w:val="false"/>
          <w:i w:val="false"/>
          <w:color w:val="262600"/>
          <w:sz w:val="32"/>
          <w:lang w:eastAsia="zh-CN"/>
        </w:rPr>
        <w:t>年化肥国营贸易关税配额数量分别为：尿素</w:t>
      </w:r>
      <w:r>
        <w:rPr>
          <w:rFonts w:cs="宋体" w:ascii="LinTimes;思源黑体 CN Normal" w:hAnsi="LinTimes;思源黑体 CN Normal"/>
          <w:b w:val="false"/>
          <w:i w:val="false"/>
          <w:color w:val="262600"/>
          <w:sz w:val="32"/>
        </w:rPr>
        <w:t>297</w:t>
      </w:r>
      <w:r>
        <w:rPr>
          <w:rFonts w:ascii="仿宋_GB2312" w:hAnsi="仿宋_GB2312" w:cs="仿宋_GB2312" w:eastAsia="仿宋_GB2312"/>
          <w:b w:val="false"/>
          <w:i w:val="false"/>
          <w:color w:val="262600"/>
          <w:sz w:val="32"/>
          <w:lang w:eastAsia="zh-CN"/>
        </w:rPr>
        <w:t>万吨，磷酸氢二铵</w:t>
      </w:r>
      <w:r>
        <w:rPr>
          <w:rFonts w:cs="宋体" w:ascii="LinTimes;思源黑体 CN Normal" w:hAnsi="LinTimes;思源黑体 CN Normal"/>
          <w:b w:val="false"/>
          <w:i w:val="false"/>
          <w:color w:val="262600"/>
          <w:sz w:val="32"/>
        </w:rPr>
        <w:t>352</w:t>
      </w:r>
      <w:r>
        <w:rPr>
          <w:rFonts w:ascii="仿宋_GB2312" w:hAnsi="仿宋_GB2312" w:cs="仿宋_GB2312" w:eastAsia="仿宋_GB2312"/>
          <w:b w:val="false"/>
          <w:i w:val="false"/>
          <w:color w:val="262600"/>
          <w:sz w:val="32"/>
          <w:lang w:eastAsia="zh-CN"/>
        </w:rPr>
        <w:t>万吨，复合肥</w:t>
      </w:r>
      <w:r>
        <w:rPr>
          <w:rFonts w:cs="宋体" w:ascii="LinTimes;思源黑体 CN Normal" w:hAnsi="LinTimes;思源黑体 CN Normal"/>
          <w:b w:val="false"/>
          <w:i w:val="false"/>
          <w:color w:val="262600"/>
          <w:sz w:val="32"/>
        </w:rPr>
        <w:t>176</w:t>
      </w:r>
      <w:r>
        <w:rPr>
          <w:rFonts w:ascii="仿宋_GB2312" w:hAnsi="仿宋_GB2312" w:cs="仿宋_GB2312" w:eastAsia="仿宋_GB2312"/>
          <w:b w:val="false"/>
          <w:i w:val="false"/>
          <w:color w:val="262600"/>
          <w:sz w:val="32"/>
          <w:lang w:eastAsia="zh-CN"/>
        </w:rPr>
        <w:t>万吨。国营贸易企业中国中化集团公司、中国农业生产资料集团公司在国营贸易总量内申请关税配额。</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cs="宋体" w:ascii="LinTimes;思源黑体 CN Normal" w:hAnsi="LinTimes;思源黑体 CN Normal"/>
          <w:b w:val="false"/>
          <w:i w:val="false"/>
          <w:color w:val="262600"/>
          <w:sz w:val="32"/>
        </w:rPr>
        <w:t>2027</w:t>
      </w:r>
      <w:r>
        <w:rPr>
          <w:rFonts w:ascii="仿宋_GB2312" w:hAnsi="仿宋_GB2312" w:cs="仿宋_GB2312" w:eastAsia="仿宋_GB2312"/>
          <w:b w:val="false"/>
          <w:i w:val="false"/>
          <w:color w:val="262600"/>
          <w:sz w:val="32"/>
          <w:lang w:eastAsia="zh-CN"/>
        </w:rPr>
        <w:t>年化肥非国营贸易配额数量分别为：尿素</w:t>
      </w:r>
      <w:r>
        <w:rPr>
          <w:rFonts w:cs="宋体" w:ascii="LinTimes;思源黑体 CN Normal" w:hAnsi="LinTimes;思源黑体 CN Normal"/>
          <w:b w:val="false"/>
          <w:i w:val="false"/>
          <w:color w:val="262600"/>
          <w:sz w:val="32"/>
        </w:rPr>
        <w:t>33</w:t>
      </w:r>
      <w:r>
        <w:rPr>
          <w:rFonts w:ascii="仿宋_GB2312" w:hAnsi="仿宋_GB2312" w:cs="仿宋_GB2312" w:eastAsia="仿宋_GB2312"/>
          <w:b w:val="false"/>
          <w:i w:val="false"/>
          <w:color w:val="262600"/>
          <w:sz w:val="32"/>
          <w:lang w:eastAsia="zh-CN"/>
        </w:rPr>
        <w:t>万吨，磷酸氢二铵</w:t>
      </w:r>
      <w:r>
        <w:rPr>
          <w:rFonts w:cs="宋体" w:ascii="LinTimes;思源黑体 CN Normal" w:hAnsi="LinTimes;思源黑体 CN Normal"/>
          <w:b w:val="false"/>
          <w:i w:val="false"/>
          <w:color w:val="262600"/>
          <w:sz w:val="32"/>
        </w:rPr>
        <w:t>338</w:t>
      </w:r>
      <w:r>
        <w:rPr>
          <w:rFonts w:ascii="仿宋_GB2312" w:hAnsi="仿宋_GB2312" w:cs="仿宋_GB2312" w:eastAsia="仿宋_GB2312"/>
          <w:b w:val="false"/>
          <w:i w:val="false"/>
          <w:color w:val="262600"/>
          <w:sz w:val="32"/>
          <w:lang w:eastAsia="zh-CN"/>
        </w:rPr>
        <w:t>万吨，复合肥</w:t>
      </w:r>
      <w:r>
        <w:rPr>
          <w:rFonts w:cs="宋体" w:ascii="LinTimes;思源黑体 CN Normal" w:hAnsi="LinTimes;思源黑体 CN Normal"/>
          <w:b w:val="false"/>
          <w:i w:val="false"/>
          <w:color w:val="262600"/>
          <w:sz w:val="32"/>
        </w:rPr>
        <w:t>169</w:t>
      </w:r>
      <w:r>
        <w:rPr>
          <w:rFonts w:ascii="仿宋_GB2312" w:hAnsi="仿宋_GB2312" w:cs="仿宋_GB2312" w:eastAsia="仿宋_GB2312"/>
          <w:b w:val="false"/>
          <w:i w:val="false"/>
          <w:color w:val="262600"/>
          <w:sz w:val="32"/>
          <w:lang w:eastAsia="zh-CN"/>
        </w:rPr>
        <w:t>万吨。非国营贸易企业在非国营贸易总量内申请关税配额。</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黑体" w:hAnsi="黑体" w:cs="黑体" w:eastAsia="黑体"/>
          <w:b w:val="false"/>
          <w:i w:val="false"/>
          <w:color w:val="262600"/>
          <w:sz w:val="32"/>
          <w:lang w:eastAsia="zh-CN"/>
        </w:rPr>
        <w:t>第三条</w:t>
      </w:r>
      <w:r>
        <w:rPr>
          <w:rFonts w:ascii="LinTimes;思源黑体 CN Normal" w:hAnsi="LinTimes;思源黑体 CN Normal" w:cs="LinTimes;思源黑体 CN Normal" w:eastAsia="LinTimes;思源黑体 CN Normal"/>
          <w:b w:val="false"/>
          <w:i w:val="false"/>
          <w:color w:val="262600"/>
          <w:sz w:val="32"/>
        </w:rPr>
        <w:t xml:space="preserve">  </w:t>
      </w:r>
      <w:r>
        <w:rPr>
          <w:rFonts w:ascii="黑体" w:hAnsi="黑体" w:cs="黑体" w:eastAsia="黑体"/>
          <w:b w:val="false"/>
          <w:i w:val="false"/>
          <w:color w:val="262600"/>
          <w:sz w:val="32"/>
          <w:lang w:eastAsia="zh-CN"/>
        </w:rPr>
        <w:t>分配原则</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cs="宋体" w:ascii="LinTimes;思源黑体 CN Normal" w:hAnsi="LinTimes;思源黑体 CN Normal"/>
          <w:b w:val="false"/>
          <w:i w:val="false"/>
          <w:color w:val="262600"/>
          <w:sz w:val="32"/>
        </w:rPr>
        <w:t>2027</w:t>
      </w:r>
      <w:r>
        <w:rPr>
          <w:rFonts w:ascii="仿宋_GB2312" w:hAnsi="仿宋_GB2312" w:cs="仿宋_GB2312" w:eastAsia="仿宋_GB2312"/>
          <w:b w:val="false"/>
          <w:i w:val="false"/>
          <w:color w:val="262600"/>
          <w:sz w:val="32"/>
          <w:lang w:eastAsia="zh-CN"/>
        </w:rPr>
        <w:t>年化肥进口关税配额实行先来先领的分配方式。凡在工商行政管理部门登记注册的企业，在其经营范围内均可申请化肥进口关税配额。</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黑体" w:hAnsi="黑体" w:cs="黑体" w:eastAsia="黑体"/>
          <w:b w:val="false"/>
          <w:i w:val="false"/>
          <w:color w:val="262600"/>
          <w:sz w:val="32"/>
          <w:lang w:eastAsia="zh-CN"/>
        </w:rPr>
        <w:t>第四条</w:t>
      </w:r>
      <w:r>
        <w:rPr>
          <w:rFonts w:ascii="LinTimes;思源黑体 CN Normal" w:hAnsi="LinTimes;思源黑体 CN Normal" w:cs="LinTimes;思源黑体 CN Normal" w:eastAsia="LinTimes;思源黑体 CN Normal"/>
          <w:b w:val="false"/>
          <w:i w:val="false"/>
          <w:color w:val="262600"/>
          <w:sz w:val="32"/>
        </w:rPr>
        <w:t xml:space="preserve">  </w:t>
      </w:r>
      <w:r>
        <w:rPr>
          <w:rFonts w:ascii="黑体" w:hAnsi="黑体" w:cs="黑体" w:eastAsia="黑体"/>
          <w:b w:val="false"/>
          <w:i w:val="false"/>
          <w:color w:val="262600"/>
          <w:sz w:val="32"/>
          <w:lang w:eastAsia="zh-CN"/>
        </w:rPr>
        <w:t>申领方式</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仿宋_GB2312" w:hAnsi="仿宋_GB2312" w:cs="仿宋_GB2312" w:eastAsia="仿宋_GB2312"/>
          <w:b w:val="false"/>
          <w:i w:val="false"/>
          <w:color w:val="262600"/>
          <w:sz w:val="32"/>
          <w:lang w:eastAsia="zh-CN"/>
        </w:rPr>
        <w:t>企业申领化肥进口关税配额实行先来先领，直至化肥进口关税配额总量申领完毕。企业申领化肥进口关税配额时，其可申领的起始关税配额数量根据以往实际关税配额使用情况设定，在起始关税配额数量内企业可分次申领《化肥进口关税配额证明》。企业报关进口后或将未使用的化肥进口关税配额退回后，可在不超过起始关税配额数量的范围内再次申领化肥进口关税配额。</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黑体" w:hAnsi="黑体" w:cs="黑体" w:eastAsia="黑体"/>
          <w:b w:val="false"/>
          <w:i w:val="false"/>
          <w:color w:val="262600"/>
          <w:sz w:val="32"/>
          <w:lang w:eastAsia="zh-CN"/>
        </w:rPr>
        <w:t>第五条</w:t>
      </w:r>
      <w:r>
        <w:rPr>
          <w:rFonts w:ascii="LinTimes;思源黑体 CN Normal" w:hAnsi="LinTimes;思源黑体 CN Normal" w:cs="LinTimes;思源黑体 CN Normal" w:eastAsia="LinTimes;思源黑体 CN Normal"/>
          <w:b w:val="false"/>
          <w:i w:val="false"/>
          <w:color w:val="262600"/>
          <w:sz w:val="32"/>
        </w:rPr>
        <w:t xml:space="preserve">  </w:t>
      </w:r>
      <w:r>
        <w:rPr>
          <w:rFonts w:ascii="黑体" w:hAnsi="黑体" w:cs="黑体" w:eastAsia="黑体"/>
          <w:b w:val="false"/>
          <w:i w:val="false"/>
          <w:color w:val="262600"/>
          <w:sz w:val="32"/>
          <w:lang w:eastAsia="zh-CN"/>
        </w:rPr>
        <w:t>起始关税配额数量</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cs="宋体" w:ascii="LinTimes;思源黑体 CN Normal" w:hAnsi="LinTimes;思源黑体 CN Normal"/>
          <w:b w:val="false"/>
          <w:i w:val="false"/>
          <w:color w:val="262600"/>
          <w:sz w:val="32"/>
        </w:rPr>
        <w:t>2027</w:t>
      </w:r>
      <w:r>
        <w:rPr>
          <w:rFonts w:ascii="仿宋_GB2312" w:hAnsi="仿宋_GB2312" w:cs="仿宋_GB2312" w:eastAsia="仿宋_GB2312"/>
          <w:b w:val="false"/>
          <w:i w:val="false"/>
          <w:color w:val="262600"/>
          <w:sz w:val="32"/>
          <w:lang w:eastAsia="zh-CN"/>
        </w:rPr>
        <w:t>年起始数量以</w:t>
      </w:r>
      <w:r>
        <w:rPr>
          <w:rFonts w:cs="宋体" w:ascii="LinTimes;思源黑体 CN Normal" w:hAnsi="LinTimes;思源黑体 CN Normal"/>
          <w:b w:val="false"/>
          <w:i w:val="false"/>
          <w:color w:val="262600"/>
          <w:sz w:val="32"/>
        </w:rPr>
        <w:t>2026</w:t>
      </w:r>
      <w:r>
        <w:rPr>
          <w:rFonts w:ascii="仿宋_GB2312" w:hAnsi="仿宋_GB2312" w:cs="仿宋_GB2312" w:eastAsia="仿宋_GB2312"/>
          <w:b w:val="false"/>
          <w:i w:val="false"/>
          <w:color w:val="262600"/>
          <w:sz w:val="32"/>
          <w:lang w:eastAsia="zh-CN"/>
        </w:rPr>
        <w:t>年起始数量为基础，并按</w:t>
      </w:r>
      <w:r>
        <w:rPr>
          <w:rFonts w:cs="宋体" w:ascii="LinTimes;思源黑体 CN Normal" w:hAnsi="LinTimes;思源黑体 CN Normal"/>
          <w:b w:val="false"/>
          <w:i w:val="false"/>
          <w:color w:val="262600"/>
          <w:sz w:val="32"/>
        </w:rPr>
        <w:t>2026</w:t>
      </w:r>
      <w:r>
        <w:rPr>
          <w:rFonts w:ascii="仿宋_GB2312" w:hAnsi="仿宋_GB2312" w:cs="仿宋_GB2312" w:eastAsia="仿宋_GB2312"/>
          <w:b w:val="false"/>
          <w:i w:val="false"/>
          <w:color w:val="262600"/>
          <w:sz w:val="32"/>
          <w:lang w:eastAsia="zh-CN"/>
        </w:rPr>
        <w:t>年核销率进行调整：</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仿宋_GB2312" w:hAnsi="仿宋_GB2312" w:cs="仿宋_GB2312" w:eastAsia="仿宋_GB2312"/>
          <w:b w:val="false"/>
          <w:i w:val="false"/>
          <w:color w:val="262600"/>
          <w:sz w:val="32"/>
          <w:lang w:eastAsia="zh-CN"/>
        </w:rPr>
        <w:t>（一）核销率在</w:t>
      </w:r>
      <w:r>
        <w:rPr>
          <w:rFonts w:cs="宋体" w:ascii="LinTimes;思源黑体 CN Normal" w:hAnsi="LinTimes;思源黑体 CN Normal"/>
          <w:b w:val="false"/>
          <w:i w:val="false"/>
          <w:color w:val="262600"/>
          <w:sz w:val="32"/>
        </w:rPr>
        <w:t>80%</w:t>
      </w:r>
      <w:r>
        <w:rPr>
          <w:rFonts w:ascii="仿宋_GB2312" w:hAnsi="仿宋_GB2312" w:cs="仿宋_GB2312" w:eastAsia="仿宋_GB2312"/>
          <w:b w:val="false"/>
          <w:i w:val="false"/>
          <w:color w:val="262600"/>
          <w:sz w:val="32"/>
          <w:lang w:eastAsia="zh-CN"/>
        </w:rPr>
        <w:t>以上的企业，上调</w:t>
      </w:r>
      <w:r>
        <w:rPr>
          <w:rFonts w:cs="宋体" w:ascii="LinTimes;思源黑体 CN Normal" w:hAnsi="LinTimes;思源黑体 CN Normal"/>
          <w:b w:val="false"/>
          <w:i w:val="false"/>
          <w:color w:val="262600"/>
          <w:sz w:val="32"/>
        </w:rPr>
        <w:t>40%</w:t>
      </w:r>
      <w:r>
        <w:rPr>
          <w:rFonts w:ascii="仿宋_GB2312" w:hAnsi="仿宋_GB2312" w:cs="仿宋_GB2312" w:eastAsia="仿宋_GB2312"/>
          <w:b w:val="false"/>
          <w:i w:val="false"/>
          <w:color w:val="262600"/>
          <w:sz w:val="32"/>
          <w:lang w:eastAsia="zh-CN"/>
        </w:rPr>
        <w:t>；</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仿宋_GB2312" w:hAnsi="仿宋_GB2312" w:cs="仿宋_GB2312" w:eastAsia="仿宋_GB2312"/>
          <w:b w:val="false"/>
          <w:i w:val="false"/>
          <w:color w:val="262600"/>
          <w:sz w:val="32"/>
          <w:lang w:eastAsia="zh-CN"/>
        </w:rPr>
        <w:t>（二）核销率在</w:t>
      </w:r>
      <w:r>
        <w:rPr>
          <w:rFonts w:cs="宋体" w:ascii="LinTimes;思源黑体 CN Normal" w:hAnsi="LinTimes;思源黑体 CN Normal"/>
          <w:b w:val="false"/>
          <w:i w:val="false"/>
          <w:color w:val="262600"/>
          <w:sz w:val="32"/>
        </w:rPr>
        <w:t>50%—79%</w:t>
      </w:r>
      <w:r>
        <w:rPr>
          <w:rFonts w:ascii="仿宋_GB2312" w:hAnsi="仿宋_GB2312" w:cs="仿宋_GB2312" w:eastAsia="仿宋_GB2312"/>
          <w:b w:val="false"/>
          <w:i w:val="false"/>
          <w:color w:val="262600"/>
          <w:sz w:val="32"/>
          <w:lang w:eastAsia="zh-CN"/>
        </w:rPr>
        <w:t>的企业，上调</w:t>
      </w:r>
      <w:r>
        <w:rPr>
          <w:rFonts w:cs="宋体" w:ascii="LinTimes;思源黑体 CN Normal" w:hAnsi="LinTimes;思源黑体 CN Normal"/>
          <w:b w:val="false"/>
          <w:i w:val="false"/>
          <w:color w:val="262600"/>
          <w:sz w:val="32"/>
        </w:rPr>
        <w:t>20%</w:t>
      </w:r>
      <w:r>
        <w:rPr>
          <w:rFonts w:ascii="仿宋_GB2312" w:hAnsi="仿宋_GB2312" w:cs="仿宋_GB2312" w:eastAsia="仿宋_GB2312"/>
          <w:b w:val="false"/>
          <w:i w:val="false"/>
          <w:color w:val="262600"/>
          <w:sz w:val="32"/>
          <w:lang w:eastAsia="zh-CN"/>
        </w:rPr>
        <w:t>；</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仿宋_GB2312" w:hAnsi="仿宋_GB2312" w:cs="仿宋_GB2312" w:eastAsia="仿宋_GB2312"/>
          <w:b w:val="false"/>
          <w:i w:val="false"/>
          <w:color w:val="262600"/>
          <w:sz w:val="32"/>
          <w:lang w:eastAsia="zh-CN"/>
        </w:rPr>
        <w:t>（三）核销率在</w:t>
      </w:r>
      <w:r>
        <w:rPr>
          <w:rFonts w:cs="宋体" w:ascii="LinTimes;思源黑体 CN Normal" w:hAnsi="LinTimes;思源黑体 CN Normal"/>
          <w:b w:val="false"/>
          <w:i w:val="false"/>
          <w:color w:val="262600"/>
          <w:sz w:val="32"/>
        </w:rPr>
        <w:t>25%—49%</w:t>
      </w:r>
      <w:r>
        <w:rPr>
          <w:rFonts w:ascii="仿宋_GB2312" w:hAnsi="仿宋_GB2312" w:cs="仿宋_GB2312" w:eastAsia="仿宋_GB2312"/>
          <w:b w:val="false"/>
          <w:i w:val="false"/>
          <w:color w:val="262600"/>
          <w:sz w:val="32"/>
          <w:lang w:eastAsia="zh-CN"/>
        </w:rPr>
        <w:t>的企业，维持不变；</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仿宋_GB2312" w:hAnsi="仿宋_GB2312" w:cs="仿宋_GB2312" w:eastAsia="仿宋_GB2312"/>
          <w:b w:val="false"/>
          <w:i w:val="false"/>
          <w:color w:val="262600"/>
          <w:sz w:val="32"/>
          <w:lang w:eastAsia="zh-CN"/>
        </w:rPr>
        <w:t>（四）核销率在</w:t>
      </w:r>
      <w:r>
        <w:rPr>
          <w:rFonts w:cs="宋体" w:ascii="LinTimes;思源黑体 CN Normal" w:hAnsi="LinTimes;思源黑体 CN Normal"/>
          <w:b w:val="false"/>
          <w:i w:val="false"/>
          <w:color w:val="262600"/>
          <w:sz w:val="32"/>
        </w:rPr>
        <w:t>25%</w:t>
      </w:r>
      <w:r>
        <w:rPr>
          <w:rFonts w:ascii="仿宋_GB2312" w:hAnsi="仿宋_GB2312" w:cs="仿宋_GB2312" w:eastAsia="仿宋_GB2312"/>
          <w:b w:val="false"/>
          <w:i w:val="false"/>
          <w:color w:val="262600"/>
          <w:sz w:val="32"/>
          <w:lang w:eastAsia="zh-CN"/>
        </w:rPr>
        <w:t>以下的企业，扣减</w:t>
      </w:r>
      <w:r>
        <w:rPr>
          <w:rFonts w:cs="宋体" w:ascii="LinTimes;思源黑体 CN Normal" w:hAnsi="LinTimes;思源黑体 CN Normal"/>
          <w:b w:val="false"/>
          <w:i w:val="false"/>
          <w:color w:val="262600"/>
          <w:sz w:val="32"/>
        </w:rPr>
        <w:t>50%</w:t>
      </w:r>
      <w:r>
        <w:rPr>
          <w:rFonts w:ascii="仿宋_GB2312" w:hAnsi="仿宋_GB2312" w:cs="仿宋_GB2312" w:eastAsia="仿宋_GB2312"/>
          <w:b w:val="false"/>
          <w:i w:val="false"/>
          <w:color w:val="262600"/>
          <w:sz w:val="32"/>
          <w:lang w:eastAsia="zh-CN"/>
        </w:rPr>
        <w:t>；</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仿宋_GB2312" w:hAnsi="仿宋_GB2312" w:cs="仿宋_GB2312" w:eastAsia="仿宋_GB2312"/>
          <w:b w:val="false"/>
          <w:i w:val="false"/>
          <w:color w:val="262600"/>
          <w:sz w:val="32"/>
          <w:lang w:eastAsia="zh-CN"/>
        </w:rPr>
        <w:t>（五）</w:t>
      </w:r>
      <w:r>
        <w:rPr>
          <w:rFonts w:cs="宋体" w:ascii="LinTimes;思源黑体 CN Normal" w:hAnsi="LinTimes;思源黑体 CN Normal"/>
          <w:b w:val="false"/>
          <w:i w:val="false"/>
          <w:color w:val="262600"/>
          <w:sz w:val="32"/>
        </w:rPr>
        <w:t>2026</w:t>
      </w:r>
      <w:r>
        <w:rPr>
          <w:rFonts w:ascii="仿宋_GB2312" w:hAnsi="仿宋_GB2312" w:cs="仿宋_GB2312" w:eastAsia="仿宋_GB2312"/>
          <w:b w:val="false"/>
          <w:i w:val="false"/>
          <w:color w:val="262600"/>
          <w:sz w:val="32"/>
          <w:lang w:eastAsia="zh-CN"/>
        </w:rPr>
        <w:t>年之前有业绩，但</w:t>
      </w:r>
      <w:r>
        <w:rPr>
          <w:rFonts w:cs="宋体" w:ascii="LinTimes;思源黑体 CN Normal" w:hAnsi="LinTimes;思源黑体 CN Normal"/>
          <w:b w:val="false"/>
          <w:i w:val="false"/>
          <w:color w:val="262600"/>
          <w:sz w:val="32"/>
        </w:rPr>
        <w:t>2026</w:t>
      </w:r>
      <w:r>
        <w:rPr>
          <w:rFonts w:ascii="仿宋_GB2312" w:hAnsi="仿宋_GB2312" w:cs="仿宋_GB2312" w:eastAsia="仿宋_GB2312"/>
          <w:b w:val="false"/>
          <w:i w:val="false"/>
          <w:color w:val="262600"/>
          <w:sz w:val="32"/>
          <w:lang w:eastAsia="zh-CN"/>
        </w:rPr>
        <w:t>年没有申领化肥进口关税配额证明的企业，起始量维持不变；</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仿宋_GB2312" w:hAnsi="仿宋_GB2312" w:cs="仿宋_GB2312" w:eastAsia="仿宋_GB2312"/>
          <w:b w:val="false"/>
          <w:i w:val="false"/>
          <w:color w:val="262600"/>
          <w:sz w:val="32"/>
          <w:lang w:eastAsia="zh-CN"/>
        </w:rPr>
        <w:t>（六）新申请企业：起始关税配额</w:t>
      </w:r>
      <w:r>
        <w:rPr>
          <w:rFonts w:cs="宋体" w:ascii="LinTimes;思源黑体 CN Normal" w:hAnsi="LinTimes;思源黑体 CN Normal"/>
          <w:b w:val="false"/>
          <w:i w:val="false"/>
          <w:color w:val="262600"/>
          <w:sz w:val="32"/>
        </w:rPr>
        <w:t>2000</w:t>
      </w:r>
      <w:r>
        <w:rPr>
          <w:rFonts w:ascii="仿宋_GB2312" w:hAnsi="仿宋_GB2312" w:cs="仿宋_GB2312" w:eastAsia="仿宋_GB2312"/>
          <w:b w:val="false"/>
          <w:i w:val="false"/>
          <w:color w:val="262600"/>
          <w:sz w:val="32"/>
          <w:lang w:eastAsia="zh-CN"/>
        </w:rPr>
        <w:t>吨。</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仿宋_GB2312" w:hAnsi="仿宋_GB2312" w:cs="仿宋_GB2312" w:eastAsia="仿宋_GB2312"/>
          <w:b w:val="false"/>
          <w:i w:val="false"/>
          <w:color w:val="262600"/>
          <w:sz w:val="32"/>
          <w:lang w:eastAsia="zh-CN"/>
        </w:rPr>
        <w:t>（七）</w:t>
      </w:r>
      <w:r>
        <w:rPr>
          <w:rFonts w:ascii="LinTimes;思源黑体 CN Normal" w:hAnsi="LinTimes;思源黑体 CN Normal" w:cs="LinTimes;思源黑体 CN Normal" w:eastAsia="LinTimes;思源黑体 CN Normal"/>
          <w:b w:val="false"/>
          <w:i w:val="false"/>
          <w:color w:val="262600"/>
          <w:sz w:val="32"/>
        </w:rPr>
        <w:t xml:space="preserve"> </w:t>
      </w:r>
      <w:r>
        <w:rPr>
          <w:rFonts w:cs="宋体" w:ascii="LinTimes;思源黑体 CN Normal" w:hAnsi="LinTimes;思源黑体 CN Normal"/>
          <w:b w:val="false"/>
          <w:i w:val="false"/>
          <w:color w:val="262600"/>
          <w:sz w:val="32"/>
        </w:rPr>
        <w:t>2027</w:t>
      </w:r>
      <w:r>
        <w:rPr>
          <w:rFonts w:ascii="仿宋_GB2312" w:hAnsi="仿宋_GB2312" w:cs="仿宋_GB2312" w:eastAsia="仿宋_GB2312"/>
          <w:b w:val="false"/>
          <w:i w:val="false"/>
          <w:color w:val="262600"/>
          <w:sz w:val="32"/>
          <w:lang w:eastAsia="zh-CN"/>
        </w:rPr>
        <w:t>年关税配额起始申领量最高不超过</w:t>
      </w:r>
      <w:r>
        <w:rPr>
          <w:rFonts w:cs="宋体" w:ascii="LinTimes;思源黑体 CN Normal" w:hAnsi="LinTimes;思源黑体 CN Normal"/>
          <w:b w:val="false"/>
          <w:i w:val="false"/>
          <w:color w:val="262600"/>
          <w:sz w:val="32"/>
        </w:rPr>
        <w:t>50</w:t>
      </w:r>
      <w:r>
        <w:rPr>
          <w:rFonts w:ascii="仿宋_GB2312" w:hAnsi="仿宋_GB2312" w:cs="仿宋_GB2312" w:eastAsia="仿宋_GB2312"/>
          <w:b w:val="false"/>
          <w:i w:val="false"/>
          <w:color w:val="262600"/>
          <w:sz w:val="32"/>
          <w:lang w:eastAsia="zh-CN"/>
        </w:rPr>
        <w:t>万吨，最低不低于</w:t>
      </w:r>
      <w:r>
        <w:rPr>
          <w:rFonts w:cs="宋体" w:ascii="LinTimes;思源黑体 CN Normal" w:hAnsi="LinTimes;思源黑体 CN Normal"/>
          <w:b w:val="false"/>
          <w:i w:val="false"/>
          <w:color w:val="262600"/>
          <w:sz w:val="32"/>
        </w:rPr>
        <w:t>2000</w:t>
      </w:r>
      <w:r>
        <w:rPr>
          <w:rFonts w:ascii="仿宋_GB2312" w:hAnsi="仿宋_GB2312" w:cs="仿宋_GB2312" w:eastAsia="仿宋_GB2312"/>
          <w:b w:val="false"/>
          <w:i w:val="false"/>
          <w:color w:val="262600"/>
          <w:sz w:val="32"/>
          <w:lang w:eastAsia="zh-CN"/>
        </w:rPr>
        <w:t>吨。</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黑体" w:hAnsi="黑体" w:cs="黑体" w:eastAsia="黑体"/>
          <w:b w:val="false"/>
          <w:i w:val="false"/>
          <w:color w:val="262600"/>
          <w:sz w:val="32"/>
          <w:lang w:eastAsia="zh-CN"/>
        </w:rPr>
        <w:t>第六条</w:t>
      </w:r>
      <w:r>
        <w:rPr>
          <w:rFonts w:ascii="LinTimes;思源黑体 CN Normal" w:hAnsi="LinTimes;思源黑体 CN Normal" w:cs="LinTimes;思源黑体 CN Normal" w:eastAsia="LinTimes;思源黑体 CN Normal"/>
          <w:b w:val="false"/>
          <w:i w:val="false"/>
          <w:color w:val="262600"/>
          <w:sz w:val="32"/>
        </w:rPr>
        <w:t xml:space="preserve">  </w:t>
      </w:r>
      <w:r>
        <w:rPr>
          <w:rFonts w:ascii="黑体" w:hAnsi="黑体" w:cs="黑体" w:eastAsia="黑体"/>
          <w:b w:val="false"/>
          <w:i w:val="false"/>
          <w:color w:val="262600"/>
          <w:sz w:val="32"/>
          <w:lang w:eastAsia="zh-CN"/>
        </w:rPr>
        <w:t>申领材料</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仿宋_GB2312" w:hAnsi="仿宋_GB2312" w:cs="仿宋_GB2312" w:eastAsia="仿宋_GB2312"/>
          <w:b w:val="false"/>
          <w:i w:val="false"/>
          <w:color w:val="262600"/>
          <w:sz w:val="32"/>
          <w:lang w:eastAsia="zh-CN"/>
        </w:rPr>
        <w:t>自</w:t>
      </w:r>
      <w:r>
        <w:rPr>
          <w:rFonts w:cs="宋体" w:ascii="LinTimes;思源黑体 CN Normal" w:hAnsi="LinTimes;思源黑体 CN Normal"/>
          <w:b w:val="false"/>
          <w:i w:val="false"/>
          <w:color w:val="262600"/>
          <w:sz w:val="32"/>
        </w:rPr>
        <w:t>2022</w:t>
      </w:r>
      <w:r>
        <w:rPr>
          <w:rFonts w:ascii="仿宋_GB2312" w:hAnsi="仿宋_GB2312" w:cs="仿宋_GB2312" w:eastAsia="仿宋_GB2312"/>
          <w:b w:val="false"/>
          <w:i w:val="false"/>
          <w:color w:val="262600"/>
          <w:sz w:val="32"/>
          <w:lang w:eastAsia="zh-CN"/>
        </w:rPr>
        <w:t>年</w:t>
      </w:r>
      <w:r>
        <w:rPr>
          <w:rFonts w:cs="宋体" w:ascii="LinTimes;思源黑体 CN Normal" w:hAnsi="LinTimes;思源黑体 CN Normal"/>
          <w:b w:val="false"/>
          <w:i w:val="false"/>
          <w:color w:val="262600"/>
          <w:sz w:val="32"/>
        </w:rPr>
        <w:t>9</w:t>
      </w:r>
      <w:r>
        <w:rPr>
          <w:rFonts w:ascii="仿宋_GB2312" w:hAnsi="仿宋_GB2312" w:cs="仿宋_GB2312" w:eastAsia="仿宋_GB2312"/>
          <w:b w:val="false"/>
          <w:i w:val="false"/>
          <w:color w:val="262600"/>
          <w:sz w:val="32"/>
          <w:lang w:eastAsia="zh-CN"/>
        </w:rPr>
        <w:t>月</w:t>
      </w:r>
      <w:r>
        <w:rPr>
          <w:rFonts w:cs="宋体" w:ascii="LinTimes;思源黑体 CN Normal" w:hAnsi="LinTimes;思源黑体 CN Normal"/>
          <w:b w:val="false"/>
          <w:i w:val="false"/>
          <w:color w:val="262600"/>
          <w:sz w:val="32"/>
        </w:rPr>
        <w:t>29</w:t>
      </w:r>
      <w:r>
        <w:rPr>
          <w:rFonts w:ascii="仿宋_GB2312" w:hAnsi="仿宋_GB2312" w:cs="仿宋_GB2312" w:eastAsia="仿宋_GB2312"/>
          <w:b w:val="false"/>
          <w:i w:val="false"/>
          <w:color w:val="262600"/>
          <w:sz w:val="32"/>
          <w:lang w:eastAsia="zh-CN"/>
        </w:rPr>
        <w:t>日起，全国范围试点实施《化肥进口关税配额证明》电子数据与报关单电子数据的联网核查。企业向受商务部委托的化肥进口关税配额发证机构（以下简称关税配额发证机构）申领化肥进口关税配额，需提供以下材料：</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仿宋_GB2312" w:hAnsi="仿宋_GB2312" w:cs="仿宋_GB2312" w:eastAsia="仿宋_GB2312"/>
          <w:b w:val="false"/>
          <w:i w:val="false"/>
          <w:color w:val="262600"/>
          <w:sz w:val="32"/>
          <w:lang w:eastAsia="zh-CN"/>
        </w:rPr>
        <w:t>（一）《化肥进口关税配额申请表》及申明报送材料真实性的承诺函；</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仿宋_GB2312" w:hAnsi="仿宋_GB2312" w:cs="仿宋_GB2312" w:eastAsia="仿宋_GB2312"/>
          <w:b w:val="false"/>
          <w:i w:val="false"/>
          <w:color w:val="262600"/>
          <w:sz w:val="32"/>
          <w:lang w:eastAsia="zh-CN"/>
        </w:rPr>
        <w:t>（二）具有法律效力的进口合同或委托代理的进口合同；</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仿宋_GB2312" w:hAnsi="仿宋_GB2312" w:cs="仿宋_GB2312" w:eastAsia="仿宋_GB2312"/>
          <w:b w:val="false"/>
          <w:i w:val="false"/>
          <w:color w:val="262600"/>
          <w:sz w:val="32"/>
          <w:lang w:eastAsia="zh-CN"/>
        </w:rPr>
        <w:t>（三）银行信用证或其他付汇凭证；</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仿宋_GB2312" w:hAnsi="仿宋_GB2312" w:cs="仿宋_GB2312" w:eastAsia="仿宋_GB2312"/>
          <w:b w:val="false"/>
          <w:i w:val="false"/>
          <w:color w:val="262600"/>
          <w:sz w:val="32"/>
          <w:lang w:eastAsia="zh-CN"/>
        </w:rPr>
        <w:t>（四）提单或其他能证明货物所有权的有效凭证；</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仿宋_GB2312" w:hAnsi="仿宋_GB2312" w:cs="仿宋_GB2312" w:eastAsia="仿宋_GB2312"/>
          <w:b w:val="false"/>
          <w:i w:val="false"/>
          <w:color w:val="262600"/>
          <w:sz w:val="32"/>
          <w:lang w:eastAsia="zh-CN"/>
        </w:rPr>
        <w:t>（五）关税配额管理机构要求出具的其他材料；</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仿宋_GB2312" w:hAnsi="仿宋_GB2312" w:cs="仿宋_GB2312" w:eastAsia="仿宋_GB2312"/>
          <w:b w:val="false"/>
          <w:i w:val="false"/>
          <w:color w:val="262600"/>
          <w:sz w:val="32"/>
          <w:lang w:eastAsia="zh-CN"/>
        </w:rPr>
        <w:t>（六）</w:t>
      </w:r>
      <w:r>
        <w:rPr>
          <w:rFonts w:cs="宋体" w:ascii="LinTimes;思源黑体 CN Normal" w:hAnsi="LinTimes;思源黑体 CN Normal"/>
          <w:b w:val="false"/>
          <w:i w:val="false"/>
          <w:color w:val="262600"/>
          <w:sz w:val="32"/>
        </w:rPr>
        <w:t>2027</w:t>
      </w:r>
      <w:r>
        <w:rPr>
          <w:rFonts w:ascii="仿宋_GB2312" w:hAnsi="仿宋_GB2312" w:cs="仿宋_GB2312" w:eastAsia="仿宋_GB2312"/>
          <w:b w:val="false"/>
          <w:i w:val="false"/>
          <w:color w:val="262600"/>
          <w:sz w:val="32"/>
          <w:lang w:eastAsia="zh-CN"/>
        </w:rPr>
        <w:t>年度内首次申领的新申请企业除提供上述规定材料外，需同时提供营业执照及企业代码，中外合资经营企业、中外合作经营企业和外资企业需提供批准证书或依据《外商投资企业设立及变更备案管理暂行办法》取得的备案回执。</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黑体" w:hAnsi="黑体" w:cs="黑体" w:eastAsia="黑体"/>
          <w:b w:val="false"/>
          <w:i w:val="false"/>
          <w:color w:val="262600"/>
          <w:sz w:val="32"/>
          <w:lang w:eastAsia="zh-CN"/>
        </w:rPr>
        <w:t>第七条</w:t>
      </w:r>
      <w:r>
        <w:rPr>
          <w:rFonts w:ascii="LinTimes;思源黑体 CN Normal" w:hAnsi="LinTimes;思源黑体 CN Normal" w:cs="LinTimes;思源黑体 CN Normal" w:eastAsia="LinTimes;思源黑体 CN Normal"/>
          <w:b w:val="false"/>
          <w:i w:val="false"/>
          <w:color w:val="262600"/>
          <w:sz w:val="32"/>
        </w:rPr>
        <w:t xml:space="preserve">  </w:t>
      </w:r>
      <w:r>
        <w:rPr>
          <w:rFonts w:ascii="黑体" w:hAnsi="黑体" w:cs="黑体" w:eastAsia="黑体"/>
          <w:b w:val="false"/>
          <w:i w:val="false"/>
          <w:color w:val="262600"/>
          <w:sz w:val="32"/>
          <w:lang w:eastAsia="zh-CN"/>
        </w:rPr>
        <w:t>《化肥进口关税配额证明》的申请、受理及发放</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仿宋_GB2312" w:hAnsi="仿宋_GB2312" w:cs="仿宋_GB2312" w:eastAsia="仿宋_GB2312"/>
          <w:b w:val="false"/>
          <w:i w:val="false"/>
          <w:color w:val="262600"/>
          <w:sz w:val="32"/>
          <w:lang w:eastAsia="zh-CN"/>
        </w:rPr>
        <w:t>各关税配额发证机构负责受理所在地企业化肥进口关税配额申请，并在</w:t>
      </w:r>
      <w:r>
        <w:rPr>
          <w:rFonts w:cs="宋体" w:ascii="LinTimes;思源黑体 CN Normal" w:hAnsi="LinTimes;思源黑体 CN Normal"/>
          <w:b w:val="false"/>
          <w:i w:val="false"/>
          <w:color w:val="262600"/>
          <w:sz w:val="32"/>
        </w:rPr>
        <w:t>5</w:t>
      </w:r>
      <w:r>
        <w:rPr>
          <w:rFonts w:ascii="仿宋_GB2312" w:hAnsi="仿宋_GB2312" w:cs="仿宋_GB2312" w:eastAsia="仿宋_GB2312"/>
          <w:b w:val="false"/>
          <w:i w:val="false"/>
          <w:color w:val="262600"/>
          <w:sz w:val="32"/>
          <w:lang w:eastAsia="zh-CN"/>
        </w:rPr>
        <w:t>个工作日内为申请材料齐全、符合条件的企业签发《化肥进口关税配额证明》。</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仿宋_GB2312" w:hAnsi="仿宋_GB2312" w:cs="仿宋_GB2312" w:eastAsia="仿宋_GB2312"/>
          <w:b w:val="false"/>
          <w:i w:val="false"/>
          <w:color w:val="262600"/>
          <w:sz w:val="32"/>
          <w:lang w:eastAsia="zh-CN"/>
        </w:rPr>
        <w:t>首次申领化肥进口关税配额的企业，可通过各关税配额发证机构以邮寄、快递、现场提交的方式向商务部行政事务服务大厅提交申请和上述第六条第六款所要求材料。经商务部审核备案后，企业即可向关税配额发证机构申领化肥进口关税配额证明。</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黑体" w:hAnsi="黑体" w:cs="黑体" w:eastAsia="黑体"/>
          <w:b w:val="false"/>
          <w:i w:val="false"/>
          <w:color w:val="262600"/>
          <w:sz w:val="32"/>
          <w:lang w:eastAsia="zh-CN"/>
        </w:rPr>
        <w:t>第八条</w:t>
      </w:r>
      <w:r>
        <w:rPr>
          <w:rFonts w:ascii="LinTimes;思源黑体 CN Normal" w:hAnsi="LinTimes;思源黑体 CN Normal" w:cs="LinTimes;思源黑体 CN Normal" w:eastAsia="LinTimes;思源黑体 CN Normal"/>
          <w:b w:val="false"/>
          <w:i w:val="false"/>
          <w:color w:val="262600"/>
          <w:sz w:val="32"/>
        </w:rPr>
        <w:t xml:space="preserve">  </w:t>
      </w:r>
      <w:r>
        <w:rPr>
          <w:rFonts w:ascii="黑体" w:hAnsi="黑体" w:cs="黑体" w:eastAsia="黑体"/>
          <w:b w:val="false"/>
          <w:i w:val="false"/>
          <w:color w:val="262600"/>
          <w:sz w:val="32"/>
          <w:lang w:eastAsia="zh-CN"/>
        </w:rPr>
        <w:t>《化肥进口关税配额证明》的有效期和更改</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仿宋_GB2312" w:hAnsi="仿宋_GB2312" w:cs="仿宋_GB2312" w:eastAsia="仿宋_GB2312"/>
          <w:b w:val="false"/>
          <w:i w:val="false"/>
          <w:color w:val="262600"/>
          <w:sz w:val="32"/>
          <w:lang w:eastAsia="zh-CN"/>
        </w:rPr>
        <w:t>《化肥进口关税配额证明》有效期</w:t>
      </w:r>
      <w:r>
        <w:rPr>
          <w:rFonts w:cs="宋体" w:ascii="LinTimes;思源黑体 CN Normal" w:hAnsi="LinTimes;思源黑体 CN Normal"/>
          <w:b w:val="false"/>
          <w:i w:val="false"/>
          <w:color w:val="262600"/>
          <w:sz w:val="32"/>
        </w:rPr>
        <w:t>3</w:t>
      </w:r>
      <w:r>
        <w:rPr>
          <w:rFonts w:ascii="仿宋_GB2312" w:hAnsi="仿宋_GB2312" w:cs="仿宋_GB2312" w:eastAsia="仿宋_GB2312"/>
          <w:b w:val="false"/>
          <w:i w:val="false"/>
          <w:color w:val="262600"/>
          <w:sz w:val="32"/>
          <w:lang w:eastAsia="zh-CN"/>
        </w:rPr>
        <w:t>个月，最迟不得超过</w:t>
      </w:r>
      <w:r>
        <w:rPr>
          <w:rFonts w:cs="宋体" w:ascii="LinTimes;思源黑体 CN Normal" w:hAnsi="LinTimes;思源黑体 CN Normal"/>
          <w:b w:val="false"/>
          <w:i w:val="false"/>
          <w:color w:val="262600"/>
          <w:sz w:val="32"/>
        </w:rPr>
        <w:t>2027</w:t>
      </w:r>
      <w:r>
        <w:rPr>
          <w:rFonts w:ascii="仿宋_GB2312" w:hAnsi="仿宋_GB2312" w:cs="仿宋_GB2312" w:eastAsia="仿宋_GB2312"/>
          <w:b w:val="false"/>
          <w:i w:val="false"/>
          <w:color w:val="262600"/>
          <w:sz w:val="32"/>
          <w:lang w:eastAsia="zh-CN"/>
        </w:rPr>
        <w:t>年</w:t>
      </w:r>
      <w:r>
        <w:rPr>
          <w:rFonts w:cs="宋体" w:ascii="LinTimes;思源黑体 CN Normal" w:hAnsi="LinTimes;思源黑体 CN Normal"/>
          <w:b w:val="false"/>
          <w:i w:val="false"/>
          <w:color w:val="262600"/>
          <w:sz w:val="32"/>
        </w:rPr>
        <w:t>12</w:t>
      </w:r>
      <w:r>
        <w:rPr>
          <w:rFonts w:ascii="仿宋_GB2312" w:hAnsi="仿宋_GB2312" w:cs="仿宋_GB2312" w:eastAsia="仿宋_GB2312"/>
          <w:b w:val="false"/>
          <w:i w:val="false"/>
          <w:color w:val="262600"/>
          <w:sz w:val="32"/>
          <w:lang w:eastAsia="zh-CN"/>
        </w:rPr>
        <w:t>月</w:t>
      </w:r>
      <w:r>
        <w:rPr>
          <w:rFonts w:cs="宋体" w:ascii="LinTimes;思源黑体 CN Normal" w:hAnsi="LinTimes;思源黑体 CN Normal"/>
          <w:b w:val="false"/>
          <w:i w:val="false"/>
          <w:color w:val="262600"/>
          <w:sz w:val="32"/>
        </w:rPr>
        <w:t>31</w:t>
      </w:r>
      <w:r>
        <w:rPr>
          <w:rFonts w:ascii="仿宋_GB2312" w:hAnsi="仿宋_GB2312" w:cs="仿宋_GB2312" w:eastAsia="仿宋_GB2312"/>
          <w:b w:val="false"/>
          <w:i w:val="false"/>
          <w:color w:val="262600"/>
          <w:sz w:val="32"/>
          <w:lang w:eastAsia="zh-CN"/>
        </w:rPr>
        <w:t>日。延期或者变更的，需重新办理，旧证撤销同时换发新证，并在备注栏中注明原证号。</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黑体" w:hAnsi="黑体" w:cs="黑体" w:eastAsia="黑体"/>
          <w:b w:val="false"/>
          <w:i w:val="false"/>
          <w:color w:val="262600"/>
          <w:sz w:val="32"/>
          <w:lang w:eastAsia="zh-CN"/>
        </w:rPr>
        <w:t>第九条</w:t>
      </w:r>
      <w:r>
        <w:rPr>
          <w:rFonts w:ascii="LinTimes;思源黑体 CN Normal" w:hAnsi="LinTimes;思源黑体 CN Normal" w:cs="LinTimes;思源黑体 CN Normal" w:eastAsia="LinTimes;思源黑体 CN Normal"/>
          <w:b w:val="false"/>
          <w:i w:val="false"/>
          <w:color w:val="262600"/>
          <w:sz w:val="32"/>
        </w:rPr>
        <w:t xml:space="preserve">  </w:t>
      </w:r>
      <w:r>
        <w:rPr>
          <w:rFonts w:ascii="黑体" w:hAnsi="黑体" w:cs="黑体" w:eastAsia="黑体"/>
          <w:b w:val="false"/>
          <w:i w:val="false"/>
          <w:color w:val="262600"/>
          <w:sz w:val="32"/>
          <w:lang w:eastAsia="zh-CN"/>
        </w:rPr>
        <w:t>已使用《化肥进口关税配额证明》的核销</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仿宋_GB2312" w:hAnsi="仿宋_GB2312" w:cs="仿宋_GB2312" w:eastAsia="仿宋_GB2312"/>
          <w:b w:val="false"/>
          <w:i w:val="false"/>
          <w:color w:val="262600"/>
          <w:sz w:val="32"/>
          <w:lang w:eastAsia="zh-CN"/>
        </w:rPr>
        <w:t>企业在报关进口的</w:t>
      </w:r>
      <w:r>
        <w:rPr>
          <w:rFonts w:cs="宋体" w:ascii="LinTimes;思源黑体 CN Normal" w:hAnsi="LinTimes;思源黑体 CN Normal"/>
          <w:b w:val="false"/>
          <w:i w:val="false"/>
          <w:color w:val="262600"/>
          <w:sz w:val="32"/>
        </w:rPr>
        <w:t>10</w:t>
      </w:r>
      <w:r>
        <w:rPr>
          <w:rFonts w:ascii="仿宋_GB2312" w:hAnsi="仿宋_GB2312" w:cs="仿宋_GB2312" w:eastAsia="仿宋_GB2312"/>
          <w:b w:val="false"/>
          <w:i w:val="false"/>
          <w:color w:val="262600"/>
          <w:sz w:val="32"/>
          <w:lang w:eastAsia="zh-CN"/>
        </w:rPr>
        <w:t>个工作日内，通过商务部业务系统统一平台向关税配额发证机构提交预核销已使用《化肥进口关税配额证明》的申请。预核销的已使用关税配额不计入企业可申领的起始关税配额数量，企业可按预核销数量再次申领《化肥进口关税配额证明》。企业办理全部付汇、清关手续后，需通过商务部业务系统统一平台向关税配额发证机构提交正式核销已使用《化肥进口关税配额证明》的申请。正式核销手续应在清关后</w:t>
      </w:r>
      <w:r>
        <w:rPr>
          <w:rFonts w:cs="宋体" w:ascii="LinTimes;思源黑体 CN Normal" w:hAnsi="LinTimes;思源黑体 CN Normal"/>
          <w:b w:val="false"/>
          <w:i w:val="false"/>
          <w:color w:val="262600"/>
          <w:sz w:val="32"/>
        </w:rPr>
        <w:t>3</w:t>
      </w:r>
      <w:r>
        <w:rPr>
          <w:rFonts w:ascii="仿宋_GB2312" w:hAnsi="仿宋_GB2312" w:cs="仿宋_GB2312" w:eastAsia="仿宋_GB2312"/>
          <w:b w:val="false"/>
          <w:i w:val="false"/>
          <w:color w:val="262600"/>
          <w:sz w:val="32"/>
          <w:lang w:eastAsia="zh-CN"/>
        </w:rPr>
        <w:t>个月内完成。</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仿宋_GB2312" w:hAnsi="仿宋_GB2312" w:cs="仿宋_GB2312" w:eastAsia="仿宋_GB2312"/>
          <w:b w:val="false"/>
          <w:i w:val="false"/>
          <w:color w:val="262600"/>
          <w:sz w:val="32"/>
          <w:lang w:eastAsia="zh-CN"/>
        </w:rPr>
        <w:t>对于确需延期付汇的企业，需由企业出函说明情况，并承诺在付汇后，持银行出具的境外汇款申请书（企业联）到关税配额发证机构正式核销。</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黑体" w:hAnsi="黑体" w:cs="黑体" w:eastAsia="黑体"/>
          <w:b w:val="false"/>
          <w:i w:val="false"/>
          <w:color w:val="262600"/>
          <w:sz w:val="32"/>
          <w:lang w:eastAsia="zh-CN"/>
        </w:rPr>
        <w:t>第十条</w:t>
      </w:r>
      <w:r>
        <w:rPr>
          <w:rFonts w:ascii="LinTimes;思源黑体 CN Normal" w:hAnsi="LinTimes;思源黑体 CN Normal" w:cs="LinTimes;思源黑体 CN Normal" w:eastAsia="LinTimes;思源黑体 CN Normal"/>
          <w:b w:val="false"/>
          <w:i w:val="false"/>
          <w:color w:val="262600"/>
          <w:sz w:val="32"/>
        </w:rPr>
        <w:t xml:space="preserve">  </w:t>
      </w:r>
      <w:r>
        <w:rPr>
          <w:rFonts w:ascii="黑体" w:hAnsi="黑体" w:cs="黑体" w:eastAsia="黑体"/>
          <w:b w:val="false"/>
          <w:i w:val="false"/>
          <w:color w:val="262600"/>
          <w:sz w:val="32"/>
          <w:lang w:eastAsia="zh-CN"/>
        </w:rPr>
        <w:t>未使用《化肥进口关税配额证明》的退还</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仿宋_GB2312" w:hAnsi="仿宋_GB2312" w:cs="仿宋_GB2312" w:eastAsia="仿宋_GB2312"/>
          <w:b w:val="false"/>
          <w:i w:val="false"/>
          <w:color w:val="262600"/>
          <w:sz w:val="32"/>
          <w:lang w:eastAsia="zh-CN"/>
        </w:rPr>
        <w:t>企业需将未使用或未全部使用的《化肥进口关税配额证明》在有效期满后</w:t>
      </w:r>
      <w:r>
        <w:rPr>
          <w:rFonts w:cs="宋体" w:ascii="LinTimes;思源黑体 CN Normal" w:hAnsi="LinTimes;思源黑体 CN Normal"/>
          <w:b w:val="false"/>
          <w:i w:val="false"/>
          <w:color w:val="262600"/>
          <w:sz w:val="32"/>
        </w:rPr>
        <w:t>15</w:t>
      </w:r>
      <w:r>
        <w:rPr>
          <w:rFonts w:ascii="仿宋_GB2312" w:hAnsi="仿宋_GB2312" w:cs="仿宋_GB2312" w:eastAsia="仿宋_GB2312"/>
          <w:b w:val="false"/>
          <w:i w:val="false"/>
          <w:color w:val="262600"/>
          <w:sz w:val="32"/>
          <w:lang w:eastAsia="zh-CN"/>
        </w:rPr>
        <w:t>个工作日内向关税配额发证机构提出退回申请。企业退回的未使用化肥进口关税配额数量归入全国未使用化肥进口关税配额总量。</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黑体" w:hAnsi="黑体" w:cs="黑体" w:eastAsia="黑体"/>
          <w:b w:val="false"/>
          <w:i w:val="false"/>
          <w:color w:val="262600"/>
          <w:sz w:val="32"/>
          <w:lang w:eastAsia="zh-CN"/>
        </w:rPr>
        <w:t>第十一条</w:t>
      </w:r>
      <w:r>
        <w:rPr>
          <w:rFonts w:ascii="LinTimes;思源黑体 CN Normal" w:hAnsi="LinTimes;思源黑体 CN Normal" w:cs="LinTimes;思源黑体 CN Normal" w:eastAsia="LinTimes;思源黑体 CN Normal"/>
          <w:b w:val="false"/>
          <w:i w:val="false"/>
          <w:color w:val="262600"/>
          <w:sz w:val="32"/>
        </w:rPr>
        <w:t xml:space="preserve">  </w:t>
      </w:r>
      <w:r>
        <w:rPr>
          <w:rFonts w:ascii="黑体" w:hAnsi="黑体" w:cs="黑体" w:eastAsia="黑体"/>
          <w:b w:val="false"/>
          <w:i w:val="false"/>
          <w:color w:val="262600"/>
          <w:sz w:val="32"/>
          <w:lang w:eastAsia="zh-CN"/>
        </w:rPr>
        <w:t>《化肥进口关税配额证明》核销的监督管理</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仿宋_GB2312" w:hAnsi="仿宋_GB2312" w:cs="仿宋_GB2312" w:eastAsia="仿宋_GB2312"/>
          <w:b w:val="false"/>
          <w:i w:val="false"/>
          <w:color w:val="262600"/>
          <w:sz w:val="32"/>
          <w:lang w:eastAsia="zh-CN"/>
        </w:rPr>
        <w:t>商务部配额许可证事务局负责全国《化肥进口关税配额证明》核销工作的监督和管理，并将分季度监测、公布企业《化肥进口关税配额证明》的核销率，即企业已核销数量（含预核销数量）</w:t>
      </w:r>
      <w:r>
        <w:rPr>
          <w:rFonts w:cs="宋体" w:ascii="LinTimes;思源黑体 CN Normal" w:hAnsi="LinTimes;思源黑体 CN Normal"/>
          <w:b w:val="false"/>
          <w:i w:val="false"/>
          <w:color w:val="262600"/>
          <w:sz w:val="32"/>
        </w:rPr>
        <w:t>/</w:t>
      </w:r>
      <w:r>
        <w:rPr>
          <w:rFonts w:ascii="仿宋_GB2312" w:hAnsi="仿宋_GB2312" w:cs="仿宋_GB2312" w:eastAsia="仿宋_GB2312"/>
          <w:b w:val="false"/>
          <w:i w:val="false"/>
          <w:color w:val="262600"/>
          <w:sz w:val="32"/>
          <w:lang w:eastAsia="zh-CN"/>
        </w:rPr>
        <w:t>企业已申领总量。</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仿宋_GB2312" w:hAnsi="仿宋_GB2312" w:cs="仿宋_GB2312" w:eastAsia="仿宋_GB2312"/>
          <w:b w:val="false"/>
          <w:i w:val="false"/>
          <w:color w:val="262600"/>
          <w:sz w:val="32"/>
          <w:lang w:eastAsia="zh-CN"/>
        </w:rPr>
        <w:t>商务部配额许可证事务局督促关税配额发证机构提醒第一季度末累计核销率低于</w:t>
      </w:r>
      <w:r>
        <w:rPr>
          <w:rFonts w:cs="宋体" w:ascii="LinTimes;思源黑体 CN Normal" w:hAnsi="LinTimes;思源黑体 CN Normal"/>
          <w:b w:val="false"/>
          <w:i w:val="false"/>
          <w:color w:val="262600"/>
          <w:sz w:val="32"/>
        </w:rPr>
        <w:t>25%</w:t>
      </w:r>
      <w:r>
        <w:rPr>
          <w:rFonts w:ascii="仿宋_GB2312" w:hAnsi="仿宋_GB2312" w:cs="仿宋_GB2312" w:eastAsia="仿宋_GB2312"/>
          <w:b w:val="false"/>
          <w:i w:val="false"/>
          <w:color w:val="262600"/>
          <w:sz w:val="32"/>
          <w:lang w:eastAsia="zh-CN"/>
        </w:rPr>
        <w:t>的企业及时交回未用关税配额，对第二季度末累计核销率低于</w:t>
      </w:r>
      <w:r>
        <w:rPr>
          <w:rFonts w:cs="宋体" w:ascii="LinTimes;思源黑体 CN Normal" w:hAnsi="LinTimes;思源黑体 CN Normal"/>
          <w:b w:val="false"/>
          <w:i w:val="false"/>
          <w:color w:val="262600"/>
          <w:sz w:val="32"/>
        </w:rPr>
        <w:t>25%</w:t>
      </w:r>
      <w:r>
        <w:rPr>
          <w:rFonts w:ascii="仿宋_GB2312" w:hAnsi="仿宋_GB2312" w:cs="仿宋_GB2312" w:eastAsia="仿宋_GB2312"/>
          <w:b w:val="false"/>
          <w:i w:val="false"/>
          <w:color w:val="262600"/>
          <w:sz w:val="32"/>
          <w:lang w:eastAsia="zh-CN"/>
        </w:rPr>
        <w:t>的企业给予警示和警告，对第三季度末累计核销率低于</w:t>
      </w:r>
      <w:r>
        <w:rPr>
          <w:rFonts w:cs="宋体" w:ascii="LinTimes;思源黑体 CN Normal" w:hAnsi="LinTimes;思源黑体 CN Normal"/>
          <w:b w:val="false"/>
          <w:i w:val="false"/>
          <w:color w:val="262600"/>
          <w:sz w:val="32"/>
        </w:rPr>
        <w:t>25%</w:t>
      </w:r>
      <w:r>
        <w:rPr>
          <w:rFonts w:ascii="仿宋_GB2312" w:hAnsi="仿宋_GB2312" w:cs="仿宋_GB2312" w:eastAsia="仿宋_GB2312"/>
          <w:b w:val="false"/>
          <w:i w:val="false"/>
          <w:color w:val="262600"/>
          <w:sz w:val="32"/>
          <w:lang w:eastAsia="zh-CN"/>
        </w:rPr>
        <w:t>的企业，采取扣减</w:t>
      </w:r>
      <w:r>
        <w:rPr>
          <w:rFonts w:cs="宋体" w:ascii="LinTimes;思源黑体 CN Normal" w:hAnsi="LinTimes;思源黑体 CN Normal"/>
          <w:b w:val="false"/>
          <w:i w:val="false"/>
          <w:color w:val="262600"/>
          <w:sz w:val="32"/>
        </w:rPr>
        <w:t>50%</w:t>
      </w:r>
      <w:r>
        <w:rPr>
          <w:rFonts w:ascii="仿宋_GB2312" w:hAnsi="仿宋_GB2312" w:cs="仿宋_GB2312" w:eastAsia="仿宋_GB2312"/>
          <w:b w:val="false"/>
          <w:i w:val="false"/>
          <w:color w:val="262600"/>
          <w:sz w:val="32"/>
          <w:lang w:eastAsia="zh-CN"/>
        </w:rPr>
        <w:t>起始关税配额数量、暂停发放新的《化肥进口关税配额证明》等措施。</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仿宋_GB2312" w:hAnsi="仿宋_GB2312" w:cs="仿宋_GB2312" w:eastAsia="仿宋_GB2312"/>
          <w:b w:val="false"/>
          <w:i w:val="false"/>
          <w:color w:val="262600"/>
          <w:sz w:val="32"/>
          <w:lang w:eastAsia="zh-CN"/>
        </w:rPr>
        <w:t>企业全年核销率将作为该企业下一年度起始关税配额数量的设定依据。</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黑体" w:hAnsi="黑体" w:cs="黑体" w:eastAsia="黑体"/>
          <w:b w:val="false"/>
          <w:i w:val="false"/>
          <w:color w:val="262600"/>
          <w:sz w:val="32"/>
          <w:lang w:eastAsia="zh-CN"/>
        </w:rPr>
        <w:t>第十二条</w:t>
      </w:r>
      <w:r>
        <w:rPr>
          <w:rFonts w:ascii="LinTimes;思源黑体 CN Normal" w:hAnsi="LinTimes;思源黑体 CN Normal" w:cs="LinTimes;思源黑体 CN Normal" w:eastAsia="LinTimes;思源黑体 CN Normal"/>
          <w:b w:val="false"/>
          <w:i w:val="false"/>
          <w:color w:val="262600"/>
          <w:sz w:val="32"/>
        </w:rPr>
        <w:t xml:space="preserve">  </w:t>
      </w:r>
      <w:r>
        <w:rPr>
          <w:rFonts w:ascii="黑体" w:hAnsi="黑体" w:cs="黑体" w:eastAsia="黑体"/>
          <w:b w:val="false"/>
          <w:i w:val="false"/>
          <w:color w:val="262600"/>
          <w:sz w:val="32"/>
          <w:lang w:eastAsia="zh-CN"/>
        </w:rPr>
        <w:t>未使用化肥进口关税配额量的公布</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仿宋_GB2312" w:hAnsi="仿宋_GB2312" w:cs="仿宋_GB2312" w:eastAsia="仿宋_GB2312"/>
          <w:b w:val="false"/>
          <w:i w:val="false"/>
          <w:color w:val="262600"/>
          <w:sz w:val="32"/>
          <w:lang w:eastAsia="zh-CN"/>
        </w:rPr>
        <w:t>化肥进口关税配额剩余量不足年度配额总量</w:t>
      </w:r>
      <w:r>
        <w:rPr>
          <w:rFonts w:cs="宋体" w:ascii="LinTimes;思源黑体 CN Normal" w:hAnsi="LinTimes;思源黑体 CN Normal"/>
          <w:b w:val="false"/>
          <w:i w:val="false"/>
          <w:color w:val="262600"/>
          <w:sz w:val="32"/>
        </w:rPr>
        <w:t>20%</w:t>
      </w:r>
      <w:r>
        <w:rPr>
          <w:rFonts w:ascii="仿宋_GB2312" w:hAnsi="仿宋_GB2312" w:cs="仿宋_GB2312" w:eastAsia="仿宋_GB2312"/>
          <w:b w:val="false"/>
          <w:i w:val="false"/>
          <w:color w:val="262600"/>
          <w:sz w:val="32"/>
          <w:lang w:eastAsia="zh-CN"/>
        </w:rPr>
        <w:t>时，商务部配额许可证事务局将每半个月公布一次全国化肥进口关税配额剩余数量。</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黑体" w:hAnsi="黑体" w:cs="黑体" w:eastAsia="黑体"/>
          <w:b w:val="false"/>
          <w:i w:val="false"/>
          <w:color w:val="262600"/>
          <w:sz w:val="32"/>
          <w:lang w:eastAsia="zh-CN"/>
        </w:rPr>
        <w:t>第十三条</w:t>
      </w:r>
      <w:r>
        <w:rPr>
          <w:rFonts w:ascii="LinTimes;思源黑体 CN Normal" w:hAnsi="LinTimes;思源黑体 CN Normal" w:cs="LinTimes;思源黑体 CN Normal" w:eastAsia="LinTimes;思源黑体 CN Normal"/>
          <w:b w:val="false"/>
          <w:i w:val="false"/>
          <w:color w:val="262600"/>
          <w:sz w:val="32"/>
        </w:rPr>
        <w:t xml:space="preserve">  </w:t>
      </w:r>
      <w:r>
        <w:rPr>
          <w:rFonts w:ascii="黑体" w:hAnsi="黑体" w:cs="黑体" w:eastAsia="黑体"/>
          <w:b w:val="false"/>
          <w:i w:val="false"/>
          <w:color w:val="262600"/>
          <w:sz w:val="32"/>
          <w:lang w:eastAsia="zh-CN"/>
        </w:rPr>
        <w:t>企业的相关责任</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仿宋_GB2312" w:hAnsi="仿宋_GB2312" w:cs="仿宋_GB2312" w:eastAsia="仿宋_GB2312"/>
          <w:b w:val="false"/>
          <w:i w:val="false"/>
          <w:color w:val="262600"/>
          <w:sz w:val="32"/>
          <w:lang w:eastAsia="zh-CN"/>
        </w:rPr>
        <w:t>申请企业应遵守国家安全生产等有关法律法规，对其报送材料的真实性负责，并同时出具加盖企业公章的承诺函。企业如有伪造、变造报送材料的行为，将追究其法律责任。</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仿宋_GB2312" w:hAnsi="仿宋_GB2312" w:cs="仿宋_GB2312" w:eastAsia="仿宋_GB2312"/>
          <w:b w:val="false"/>
          <w:i w:val="false"/>
          <w:color w:val="262600"/>
          <w:sz w:val="32"/>
          <w:lang w:eastAsia="zh-CN"/>
        </w:rPr>
        <w:t>伪造、变造或者买卖《化肥进口关税配额证明》的，将追究其刑事责任。</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仿宋_GB2312" w:hAnsi="仿宋_GB2312" w:cs="仿宋_GB2312" w:eastAsia="仿宋_GB2312"/>
          <w:b w:val="false"/>
          <w:i w:val="false"/>
          <w:color w:val="262600"/>
          <w:sz w:val="32"/>
          <w:lang w:eastAsia="zh-CN"/>
        </w:rPr>
        <w:t>对有上述违法行为的企业，关税配额管理机构</w:t>
      </w:r>
      <w:r>
        <w:rPr>
          <w:rFonts w:cs="宋体" w:ascii="LinTimes;思源黑体 CN Normal" w:hAnsi="LinTimes;思源黑体 CN Normal"/>
          <w:b w:val="false"/>
          <w:i w:val="false"/>
          <w:color w:val="262600"/>
          <w:sz w:val="32"/>
        </w:rPr>
        <w:t>3</w:t>
      </w:r>
      <w:r>
        <w:rPr>
          <w:rFonts w:ascii="仿宋_GB2312" w:hAnsi="仿宋_GB2312" w:cs="仿宋_GB2312" w:eastAsia="仿宋_GB2312"/>
          <w:b w:val="false"/>
          <w:i w:val="false"/>
          <w:color w:val="262600"/>
          <w:sz w:val="32"/>
          <w:lang w:eastAsia="zh-CN"/>
        </w:rPr>
        <w:t>年内不受理其《化肥进口关税配额证明》申请。</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黑体" w:hAnsi="黑体" w:cs="黑体" w:eastAsia="黑体"/>
          <w:b w:val="false"/>
          <w:i w:val="false"/>
          <w:color w:val="262600"/>
          <w:sz w:val="32"/>
          <w:lang w:eastAsia="zh-CN"/>
        </w:rPr>
        <w:t>第十四条</w:t>
      </w:r>
      <w:r>
        <w:rPr>
          <w:rFonts w:ascii="LinTimes;思源黑体 CN Normal" w:hAnsi="LinTimes;思源黑体 CN Normal" w:cs="LinTimes;思源黑体 CN Normal" w:eastAsia="LinTimes;思源黑体 CN Normal"/>
          <w:b w:val="false"/>
          <w:i w:val="false"/>
          <w:color w:val="262600"/>
          <w:sz w:val="32"/>
        </w:rPr>
        <w:t xml:space="preserve">  </w:t>
      </w:r>
      <w:r>
        <w:rPr>
          <w:rFonts w:ascii="黑体" w:hAnsi="黑体" w:cs="黑体" w:eastAsia="黑体"/>
          <w:b w:val="false"/>
          <w:i w:val="false"/>
          <w:color w:val="262600"/>
          <w:sz w:val="32"/>
          <w:lang w:eastAsia="zh-CN"/>
        </w:rPr>
        <w:t>其他</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仿宋_GB2312" w:hAnsi="仿宋_GB2312" w:cs="仿宋_GB2312" w:eastAsia="仿宋_GB2312"/>
          <w:b w:val="false"/>
          <w:i w:val="false"/>
          <w:color w:val="262600"/>
          <w:sz w:val="32"/>
          <w:lang w:eastAsia="zh-CN"/>
        </w:rPr>
        <w:t>自</w:t>
      </w:r>
      <w:r>
        <w:rPr>
          <w:rFonts w:cs="宋体" w:ascii="LinTimes;思源黑体 CN Normal" w:hAnsi="LinTimes;思源黑体 CN Normal"/>
          <w:b w:val="false"/>
          <w:i w:val="false"/>
          <w:color w:val="262600"/>
          <w:sz w:val="32"/>
        </w:rPr>
        <w:t>2026</w:t>
      </w:r>
      <w:r>
        <w:rPr>
          <w:rFonts w:ascii="仿宋_GB2312" w:hAnsi="仿宋_GB2312" w:cs="仿宋_GB2312" w:eastAsia="仿宋_GB2312"/>
          <w:b w:val="false"/>
          <w:i w:val="false"/>
          <w:color w:val="262600"/>
          <w:sz w:val="32"/>
          <w:lang w:eastAsia="zh-CN"/>
        </w:rPr>
        <w:t>年</w:t>
      </w:r>
      <w:r>
        <w:rPr>
          <w:rFonts w:cs="宋体" w:ascii="LinTimes;思源黑体 CN Normal" w:hAnsi="LinTimes;思源黑体 CN Normal"/>
          <w:b w:val="false"/>
          <w:i w:val="false"/>
          <w:color w:val="262600"/>
          <w:sz w:val="32"/>
        </w:rPr>
        <w:t>12</w:t>
      </w:r>
      <w:r>
        <w:rPr>
          <w:rFonts w:ascii="仿宋_GB2312" w:hAnsi="仿宋_GB2312" w:cs="仿宋_GB2312" w:eastAsia="仿宋_GB2312"/>
          <w:b w:val="false"/>
          <w:i w:val="false"/>
          <w:color w:val="262600"/>
          <w:sz w:val="32"/>
          <w:lang w:eastAsia="zh-CN"/>
        </w:rPr>
        <w:t>月</w:t>
      </w:r>
      <w:r>
        <w:rPr>
          <w:rFonts w:cs="宋体" w:ascii="LinTimes;思源黑体 CN Normal" w:hAnsi="LinTimes;思源黑体 CN Normal"/>
          <w:b w:val="false"/>
          <w:i w:val="false"/>
          <w:color w:val="262600"/>
          <w:sz w:val="32"/>
        </w:rPr>
        <w:t>15</w:t>
      </w:r>
      <w:r>
        <w:rPr>
          <w:rFonts w:ascii="仿宋_GB2312" w:hAnsi="仿宋_GB2312" w:cs="仿宋_GB2312" w:eastAsia="仿宋_GB2312"/>
          <w:b w:val="false"/>
          <w:i w:val="false"/>
          <w:color w:val="262600"/>
          <w:sz w:val="32"/>
          <w:lang w:eastAsia="zh-CN"/>
        </w:rPr>
        <w:t>日起，关税配额管理机构受理化肥进口关税配额申请并发放</w:t>
      </w:r>
      <w:r>
        <w:rPr>
          <w:rFonts w:cs="宋体" w:ascii="LinTimes;思源黑体 CN Normal" w:hAnsi="LinTimes;思源黑体 CN Normal"/>
          <w:b w:val="false"/>
          <w:i w:val="false"/>
          <w:color w:val="262600"/>
          <w:sz w:val="32"/>
        </w:rPr>
        <w:t>2027</w:t>
      </w:r>
      <w:r>
        <w:rPr>
          <w:rFonts w:ascii="仿宋_GB2312" w:hAnsi="仿宋_GB2312" w:cs="仿宋_GB2312" w:eastAsia="仿宋_GB2312"/>
          <w:b w:val="false"/>
          <w:i w:val="false"/>
          <w:color w:val="262600"/>
          <w:sz w:val="32"/>
          <w:lang w:eastAsia="zh-CN"/>
        </w:rPr>
        <w:t>年《化肥进口关税配额证明》。</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黑体" w:hAnsi="黑体" w:cs="黑体" w:eastAsia="黑体"/>
          <w:b w:val="false"/>
          <w:i w:val="false"/>
          <w:color w:val="262600"/>
          <w:sz w:val="32"/>
          <w:lang w:eastAsia="zh-CN"/>
        </w:rPr>
        <w:t>第十五条</w:t>
      </w:r>
      <w:r>
        <w:rPr>
          <w:rFonts w:ascii="LinTimes;思源黑体 CN Normal" w:hAnsi="LinTimes;思源黑体 CN Normal" w:cs="LinTimes;思源黑体 CN Normal" w:eastAsia="LinTimes;思源黑体 CN Normal"/>
          <w:b w:val="false"/>
          <w:i w:val="false"/>
          <w:color w:val="262600"/>
          <w:sz w:val="32"/>
        </w:rPr>
        <w:t xml:space="preserve">  </w:t>
      </w:r>
      <w:r>
        <w:rPr>
          <w:rFonts w:ascii="仿宋_GB2312" w:hAnsi="仿宋_GB2312" w:cs="仿宋_GB2312" w:eastAsia="仿宋_GB2312"/>
          <w:b w:val="false"/>
          <w:i w:val="false"/>
          <w:color w:val="262600"/>
          <w:sz w:val="32"/>
          <w:lang w:eastAsia="zh-CN"/>
        </w:rPr>
        <w:t>本公告由商务部负责解释。</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eastAsia="LinTimes;思源黑体 CN Normal" w:cs="LinTimes;思源黑体 CN Normal" w:ascii="LinTimes;思源黑体 CN Normal" w:hAnsi="LinTimes;思源黑体 CN Normal"/>
          <w:b w:val="false"/>
          <w:i w:val="false"/>
          <w:color w:val="262600"/>
          <w:sz w:val="32"/>
        </w:rPr>
        <w:t xml:space="preserve"> </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ascii="仿宋_GB2312" w:hAnsi="仿宋_GB2312" w:cs="仿宋_GB2312" w:eastAsia="仿宋_GB2312"/>
          <w:b w:val="false"/>
          <w:i w:val="false"/>
          <w:color w:val="262600"/>
          <w:sz w:val="32"/>
          <w:lang w:eastAsia="zh-CN"/>
        </w:rPr>
        <w:t>附件：</w:t>
      </w:r>
      <w:r>
        <w:rPr>
          <w:rFonts w:cs="宋体" w:ascii="LinTimes;思源黑体 CN Normal" w:hAnsi="LinTimes;思源黑体 CN Normal"/>
          <w:b w:val="false"/>
          <w:i w:val="false"/>
          <w:color w:val="262600"/>
          <w:sz w:val="32"/>
        </w:rPr>
        <w:t xml:space="preserve">1. </w:t>
      </w:r>
      <w:r>
        <w:rPr>
          <w:rFonts w:ascii="仿宋_GB2312" w:hAnsi="仿宋_GB2312" w:cs="仿宋_GB2312" w:eastAsia="仿宋_GB2312"/>
          <w:b w:val="false"/>
          <w:i w:val="false"/>
          <w:color w:val="262600"/>
          <w:sz w:val="32"/>
          <w:lang w:eastAsia="zh-CN"/>
        </w:rPr>
        <w:t>化肥进口关税配额管理税目、税率表</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eastAsia="LinTimes;思源黑体 CN Normal" w:cs="LinTimes;思源黑体 CN Normal" w:ascii="LinTimes;思源黑体 CN Normal" w:hAnsi="LinTimes;思源黑体 CN Normal"/>
          <w:b w:val="false"/>
          <w:i w:val="false"/>
          <w:color w:val="262600"/>
          <w:sz w:val="32"/>
        </w:rPr>
        <w:t xml:space="preserve">      </w:t>
      </w:r>
      <w:r>
        <w:rPr>
          <w:rFonts w:cs="宋体" w:ascii="LinTimes;思源黑体 CN Normal" w:hAnsi="LinTimes;思源黑体 CN Normal"/>
          <w:b w:val="false"/>
          <w:i w:val="false"/>
          <w:color w:val="262600"/>
          <w:sz w:val="32"/>
        </w:rPr>
        <w:t xml:space="preserve">2. </w:t>
      </w:r>
      <w:r>
        <w:rPr>
          <w:rFonts w:ascii="仿宋_GB2312" w:hAnsi="仿宋_GB2312" w:cs="仿宋_GB2312" w:eastAsia="仿宋_GB2312"/>
          <w:b w:val="false"/>
          <w:i w:val="false"/>
          <w:color w:val="262600"/>
          <w:sz w:val="32"/>
          <w:lang w:eastAsia="zh-CN"/>
        </w:rPr>
        <w:t>商务部委托的化肥进口关税配额发证机构</w:t>
      </w:r>
    </w:p>
    <w:p>
      <w:pPr>
        <w:pStyle w:val="Normal"/>
        <w:kinsoku w:val="true"/>
        <w:autoSpaceDE w:val="true"/>
        <w:spacing w:lineRule="atLeast" w:line="540"/>
        <w:ind w:firstLine="640"/>
        <w:jc w:val="both"/>
        <w:rPr>
          <w:rFonts w:ascii="Calibri" w:hAnsi="Calibri" w:cs="宋体"/>
          <w:b w:val="false"/>
          <w:b w:val="false"/>
          <w:i w:val="false"/>
          <w:i w:val="false"/>
          <w:color w:val="262600"/>
          <w:sz w:val="21"/>
        </w:rPr>
      </w:pPr>
      <w:r>
        <w:rPr>
          <w:rFonts w:eastAsia="LinTimes;思源黑体 CN Normal" w:cs="LinTimes;思源黑体 CN Normal" w:ascii="LinTimes;思源黑体 CN Normal" w:hAnsi="LinTimes;思源黑体 CN Normal"/>
          <w:b w:val="false"/>
          <w:i w:val="false"/>
          <w:color w:val="262600"/>
          <w:sz w:val="32"/>
        </w:rPr>
        <w:t xml:space="preserve"> </w:t>
      </w:r>
    </w:p>
    <w:p>
      <w:pPr>
        <w:pStyle w:val="Normal"/>
        <w:kinsoku w:val="true"/>
        <w:autoSpaceDE w:val="true"/>
        <w:jc w:val="both"/>
        <w:rPr>
          <w:rFonts w:ascii="Calibri" w:hAnsi="Calibri" w:cs="宋体"/>
          <w:b w:val="false"/>
          <w:b w:val="false"/>
          <w:i w:val="false"/>
          <w:i w:val="false"/>
          <w:color w:val="262600"/>
          <w:sz w:val="21"/>
        </w:rPr>
      </w:pPr>
      <w:r>
        <w:rPr>
          <w:rFonts w:eastAsia="LinTimes;思源黑体 CN Normal" w:cs="LinTimes;思源黑体 CN Normal" w:ascii="LinTimes;思源黑体 CN Normal" w:hAnsi="LinTimes;思源黑体 CN Normal"/>
          <w:b w:val="false"/>
          <w:i w:val="false"/>
          <w:color w:val="262600"/>
          <w:sz w:val="21"/>
        </w:rPr>
        <w:t xml:space="preserve"> </w:t>
      </w:r>
    </w:p>
    <w:p>
      <w:pPr>
        <w:pStyle w:val="Normal"/>
        <w:kinsoku w:val="true"/>
        <w:autoSpaceDE w:val="true"/>
        <w:jc w:val="both"/>
        <w:rPr>
          <w:rFonts w:ascii="Calibri" w:hAnsi="Calibri" w:cs="宋体"/>
          <w:b w:val="false"/>
          <w:b w:val="false"/>
          <w:i w:val="false"/>
          <w:i w:val="false"/>
          <w:color w:val="262600"/>
          <w:sz w:val="21"/>
        </w:rPr>
      </w:pPr>
      <w:r>
        <w:rPr>
          <w:rFonts w:eastAsia="LinTimes;思源黑体 CN Normal" w:cs="LinTimes;思源黑体 CN Normal" w:ascii="LinTimes;思源黑体 CN Normal" w:hAnsi="LinTimes;思源黑体 CN Normal"/>
          <w:b w:val="false"/>
          <w:i w:val="false"/>
          <w:color w:val="262600"/>
          <w:sz w:val="21"/>
        </w:rPr>
        <w:t xml:space="preserve"> </w:t>
      </w:r>
    </w:p>
    <w:p>
      <w:pPr>
        <w:pStyle w:val="Normal"/>
        <w:kinsoku w:val="true"/>
        <w:autoSpaceDE w:val="true"/>
        <w:jc w:val="both"/>
        <w:rPr>
          <w:rFonts w:ascii="Calibri" w:hAnsi="Calibri" w:cs="宋体"/>
          <w:b w:val="false"/>
          <w:b w:val="false"/>
          <w:i w:val="false"/>
          <w:i w:val="false"/>
          <w:color w:val="262600"/>
          <w:sz w:val="21"/>
        </w:rPr>
      </w:pPr>
      <w:r>
        <w:rPr>
          <w:rFonts w:ascii="黑体" w:hAnsi="黑体" w:cs="黑体" w:eastAsia="黑体"/>
          <w:b w:val="false"/>
          <w:i w:val="false"/>
          <w:color w:val="262600"/>
          <w:sz w:val="32"/>
          <w:lang w:eastAsia="zh-CN"/>
        </w:rPr>
        <w:t>附件</w:t>
      </w:r>
      <w:r>
        <w:rPr>
          <w:rFonts w:cs="宋体" w:ascii="LinTimes;思源黑体 CN Normal" w:hAnsi="LinTimes;思源黑体 CN Normal"/>
          <w:b w:val="false"/>
          <w:i w:val="false"/>
          <w:color w:val="262600"/>
          <w:sz w:val="32"/>
        </w:rPr>
        <w:t>1</w:t>
      </w:r>
    </w:p>
    <w:p>
      <w:pPr>
        <w:pStyle w:val="Normal"/>
        <w:kinsoku w:val="true"/>
        <w:autoSpaceDE w:val="true"/>
        <w:jc w:val="both"/>
        <w:rPr>
          <w:rFonts w:ascii="Calibri" w:hAnsi="Calibri" w:cs="宋体"/>
          <w:b w:val="false"/>
          <w:b w:val="false"/>
          <w:i w:val="false"/>
          <w:i w:val="false"/>
          <w:color w:val="262600"/>
          <w:sz w:val="21"/>
        </w:rPr>
      </w:pPr>
      <w:r>
        <w:rPr>
          <w:rFonts w:eastAsia="Times New Roman" w:cs="Times New Roman"/>
          <w:b/>
          <w:i w:val="false"/>
          <w:color w:val="262600"/>
          <w:sz w:val="32"/>
        </w:rPr>
        <w:t xml:space="preserve"> </w:t>
      </w:r>
    </w:p>
    <w:p>
      <w:pPr>
        <w:pStyle w:val="Normal"/>
        <w:kinsoku w:val="true"/>
        <w:autoSpaceDE w:val="true"/>
        <w:spacing w:lineRule="atLeast" w:line="540" w:before="240" w:after="60"/>
        <w:jc w:val="center"/>
        <w:rPr>
          <w:rFonts w:ascii="Cambria" w:hAnsi="Cambria" w:cs="宋体"/>
          <w:b/>
          <w:b/>
          <w:i w:val="false"/>
          <w:i w:val="false"/>
          <w:color w:val="262600"/>
          <w:sz w:val="32"/>
        </w:rPr>
      </w:pPr>
      <w:r>
        <w:rPr>
          <w:rFonts w:ascii="方正小标宋简体" w:hAnsi="方正小标宋简体" w:cs="方正小标宋简体" w:eastAsia="方正小标宋简体"/>
          <w:b w:val="false"/>
          <w:i w:val="false"/>
          <w:color w:val="262600"/>
          <w:sz w:val="36"/>
          <w:lang w:eastAsia="zh-CN"/>
        </w:rPr>
        <w:t>化肥进口关税配额管理税目、税率表</w:t>
      </w:r>
    </w:p>
    <w:p>
      <w:pPr>
        <w:pStyle w:val="Normal"/>
        <w:kinsoku w:val="true"/>
        <w:autoSpaceDE w:val="true"/>
        <w:jc w:val="both"/>
        <w:rPr>
          <w:rFonts w:ascii="Calibri" w:hAnsi="Calibri" w:eastAsia="Times New Roman" w:cs="宋体"/>
          <w:b w:val="false"/>
          <w:b w:val="false"/>
          <w:i w:val="false"/>
          <w:i w:val="false"/>
          <w:color w:val="262600"/>
          <w:sz w:val="21"/>
        </w:rPr>
      </w:pPr>
      <w:r>
        <w:rPr>
          <w:rFonts w:eastAsia="Times New Roman" w:cs="宋体" w:ascii="Calibri" w:hAnsi="Calibri"/>
          <w:b w:val="false"/>
          <w:i w:val="false"/>
          <w:color w:val="262600"/>
          <w:sz w:val="21"/>
        </w:rPr>
        <w:t xml:space="preserve"> </w:t>
      </w:r>
    </w:p>
    <w:tbl>
      <w:tblPr>
        <w:tblW w:w="9892" w:type="dxa"/>
        <w:jc w:val="center"/>
        <w:tblInd w:w="0" w:type="dxa"/>
        <w:tblLayout w:type="fixed"/>
        <w:tblCellMar>
          <w:top w:w="0" w:type="dxa"/>
          <w:left w:w="108" w:type="dxa"/>
          <w:bottom w:w="0" w:type="dxa"/>
          <w:right w:w="108" w:type="dxa"/>
        </w:tblCellMar>
      </w:tblPr>
      <w:tblGrid>
        <w:gridCol w:w="2389"/>
        <w:gridCol w:w="5233"/>
        <w:gridCol w:w="2270"/>
      </w:tblGrid>
      <w:tr>
        <w:trPr/>
        <w:tc>
          <w:tcPr>
            <w:tcW w:w="2389" w:type="dxa"/>
            <w:tcBorders>
              <w:top w:val="single" w:sz="8" w:space="0" w:color="000000"/>
              <w:left w:val="single" w:sz="8" w:space="0" w:color="000000"/>
              <w:bottom w:val="single" w:sz="8" w:space="0" w:color="000000"/>
              <w:right w:val="single" w:sz="8" w:space="0" w:color="000000"/>
            </w:tcBorders>
            <w:vAlign w:val="center"/>
          </w:tcPr>
          <w:p>
            <w:pPr>
              <w:pStyle w:val="Normal"/>
              <w:kinsoku w:val="true"/>
              <w:autoSpaceDE w:val="true"/>
              <w:jc w:val="center"/>
              <w:rPr>
                <w:rFonts w:ascii="Calibri" w:hAnsi="Calibri" w:cs="宋体"/>
                <w:b w:val="false"/>
                <w:b w:val="false"/>
                <w:i w:val="false"/>
                <w:i w:val="false"/>
                <w:color w:val="000000"/>
                <w:sz w:val="20"/>
              </w:rPr>
            </w:pPr>
            <w:r>
              <w:rPr>
                <w:rFonts w:ascii="仿宋_GB2312" w:hAnsi="仿宋_GB2312" w:cs="仿宋_GB2312" w:eastAsia="仿宋_GB2312"/>
                <w:b/>
                <w:i w:val="false"/>
                <w:color w:val="262600"/>
                <w:sz w:val="32"/>
                <w:lang w:eastAsia="zh-CN"/>
              </w:rPr>
              <w:t>税则号列</w:t>
            </w:r>
          </w:p>
        </w:tc>
        <w:tc>
          <w:tcPr>
            <w:tcW w:w="5233" w:type="dxa"/>
            <w:tcBorders>
              <w:top w:val="single" w:sz="8" w:space="0" w:color="000000"/>
              <w:bottom w:val="single" w:sz="8" w:space="0" w:color="000000"/>
              <w:right w:val="single" w:sz="8" w:space="0" w:color="000000"/>
            </w:tcBorders>
            <w:vAlign w:val="center"/>
          </w:tcPr>
          <w:p>
            <w:pPr>
              <w:pStyle w:val="Normal"/>
              <w:kinsoku w:val="true"/>
              <w:autoSpaceDE w:val="true"/>
              <w:jc w:val="center"/>
              <w:rPr>
                <w:rFonts w:ascii="Calibri" w:hAnsi="Calibri" w:cs="宋体"/>
                <w:b w:val="false"/>
                <w:b w:val="false"/>
                <w:i w:val="false"/>
                <w:i w:val="false"/>
                <w:color w:val="000000"/>
                <w:sz w:val="20"/>
              </w:rPr>
            </w:pPr>
            <w:r>
              <w:rPr>
                <w:rFonts w:ascii="仿宋_GB2312" w:hAnsi="仿宋_GB2312" w:cs="仿宋_GB2312" w:eastAsia="仿宋_GB2312"/>
                <w:b/>
                <w:i w:val="false"/>
                <w:color w:val="262600"/>
                <w:sz w:val="32"/>
                <w:lang w:eastAsia="zh-CN"/>
              </w:rPr>
              <w:t>商品类别</w:t>
            </w:r>
          </w:p>
        </w:tc>
        <w:tc>
          <w:tcPr>
            <w:tcW w:w="2270" w:type="dxa"/>
            <w:tcBorders>
              <w:top w:val="single" w:sz="8" w:space="0" w:color="000000"/>
              <w:bottom w:val="single" w:sz="8" w:space="0" w:color="000000"/>
              <w:right w:val="single" w:sz="8" w:space="0" w:color="000000"/>
            </w:tcBorders>
            <w:vAlign w:val="center"/>
          </w:tcPr>
          <w:p>
            <w:pPr>
              <w:pStyle w:val="Normal"/>
              <w:kinsoku w:val="true"/>
              <w:autoSpaceDE w:val="true"/>
              <w:jc w:val="center"/>
              <w:rPr>
                <w:rFonts w:ascii="Calibri" w:hAnsi="Calibri" w:cs="宋体"/>
                <w:b w:val="false"/>
                <w:b w:val="false"/>
                <w:i w:val="false"/>
                <w:i w:val="false"/>
                <w:color w:val="262600"/>
                <w:sz w:val="21"/>
              </w:rPr>
            </w:pPr>
            <w:r>
              <w:rPr>
                <w:rFonts w:ascii="仿宋_GB2312" w:hAnsi="仿宋_GB2312" w:cs="仿宋_GB2312" w:eastAsia="仿宋_GB2312"/>
                <w:b/>
                <w:i w:val="false"/>
                <w:color w:val="262600"/>
                <w:sz w:val="32"/>
                <w:lang w:eastAsia="zh-CN"/>
              </w:rPr>
              <w:t>配额内税率</w:t>
            </w:r>
          </w:p>
          <w:p>
            <w:pPr>
              <w:pStyle w:val="Normal"/>
              <w:kinsoku w:val="true"/>
              <w:autoSpaceDE w:val="true"/>
              <w:jc w:val="center"/>
              <w:rPr>
                <w:rFonts w:ascii="Calibri" w:hAnsi="Calibri" w:cs="宋体"/>
                <w:b w:val="false"/>
                <w:b w:val="false"/>
                <w:i w:val="false"/>
                <w:i w:val="false"/>
                <w:color w:val="000000"/>
                <w:sz w:val="20"/>
              </w:rPr>
            </w:pPr>
            <w:r>
              <w:rPr>
                <w:rFonts w:ascii="仿宋_GB2312" w:hAnsi="仿宋_GB2312" w:cs="仿宋_GB2312" w:eastAsia="仿宋_GB2312"/>
                <w:b/>
                <w:i w:val="false"/>
                <w:color w:val="262600"/>
                <w:sz w:val="32"/>
                <w:lang w:eastAsia="zh-CN"/>
              </w:rPr>
              <w:t>（</w:t>
            </w:r>
            <w:r>
              <w:rPr>
                <w:rFonts w:cs="宋体" w:ascii="LinTimes;思源黑体 CN Normal" w:hAnsi="LinTimes;思源黑体 CN Normal"/>
                <w:b/>
                <w:i w:val="false"/>
                <w:color w:val="262600"/>
                <w:sz w:val="32"/>
              </w:rPr>
              <w:t>%</w:t>
            </w:r>
            <w:r>
              <w:rPr>
                <w:rFonts w:ascii="仿宋_GB2312" w:hAnsi="仿宋_GB2312" w:cs="仿宋_GB2312" w:eastAsia="仿宋_GB2312"/>
                <w:b/>
                <w:i w:val="false"/>
                <w:color w:val="262600"/>
                <w:sz w:val="32"/>
                <w:lang w:eastAsia="zh-CN"/>
              </w:rPr>
              <w:t>）</w:t>
            </w:r>
          </w:p>
        </w:tc>
      </w:tr>
      <w:tr>
        <w:trPr/>
        <w:tc>
          <w:tcPr>
            <w:tcW w:w="2389" w:type="dxa"/>
            <w:tcBorders>
              <w:left w:val="single" w:sz="8" w:space="0" w:color="000000"/>
              <w:bottom w:val="single" w:sz="8" w:space="0" w:color="000000"/>
              <w:right w:val="single" w:sz="8" w:space="0" w:color="000000"/>
            </w:tcBorders>
          </w:tcPr>
          <w:p>
            <w:pPr>
              <w:pStyle w:val="Normal"/>
              <w:kinsoku w:val="true"/>
              <w:autoSpaceDE w:val="true"/>
              <w:jc w:val="center"/>
              <w:rPr>
                <w:rFonts w:ascii="Calibri" w:hAnsi="Calibri" w:cs="宋体"/>
                <w:b w:val="false"/>
                <w:b w:val="false"/>
                <w:i w:val="false"/>
                <w:i w:val="false"/>
                <w:color w:val="000000"/>
                <w:sz w:val="20"/>
              </w:rPr>
            </w:pPr>
            <w:r>
              <w:rPr>
                <w:rFonts w:cs="宋体" w:ascii="LinTimes;思源黑体 CN Normal" w:hAnsi="LinTimes;思源黑体 CN Normal"/>
                <w:b w:val="false"/>
                <w:i w:val="false"/>
                <w:color w:val="262600"/>
                <w:sz w:val="32"/>
              </w:rPr>
              <w:t>31021000</w:t>
            </w:r>
          </w:p>
        </w:tc>
        <w:tc>
          <w:tcPr>
            <w:tcW w:w="5233" w:type="dxa"/>
            <w:tcBorders>
              <w:bottom w:val="single" w:sz="8" w:space="0" w:color="000000"/>
              <w:right w:val="single" w:sz="8" w:space="0" w:color="000000"/>
            </w:tcBorders>
          </w:tcPr>
          <w:p>
            <w:pPr>
              <w:pStyle w:val="Normal"/>
              <w:kinsoku w:val="true"/>
              <w:autoSpaceDE w:val="true"/>
              <w:rPr>
                <w:rFonts w:ascii="Calibri" w:hAnsi="Calibri" w:cs="宋体"/>
                <w:b w:val="false"/>
                <w:b w:val="false"/>
                <w:i w:val="false"/>
                <w:i w:val="false"/>
                <w:color w:val="000000"/>
                <w:sz w:val="20"/>
              </w:rPr>
            </w:pPr>
            <w:r>
              <w:rPr>
                <w:rFonts w:ascii="仿宋_GB2312" w:hAnsi="仿宋_GB2312" w:cs="仿宋_GB2312" w:eastAsia="仿宋_GB2312"/>
                <w:b w:val="false"/>
                <w:i w:val="false"/>
                <w:color w:val="262600"/>
                <w:sz w:val="32"/>
                <w:lang w:eastAsia="zh-CN"/>
              </w:rPr>
              <w:t>尿素，不论是否水溶液</w:t>
            </w:r>
          </w:p>
        </w:tc>
        <w:tc>
          <w:tcPr>
            <w:tcW w:w="2270" w:type="dxa"/>
            <w:tcBorders>
              <w:bottom w:val="single" w:sz="8" w:space="0" w:color="000000"/>
              <w:right w:val="single" w:sz="8" w:space="0" w:color="000000"/>
            </w:tcBorders>
          </w:tcPr>
          <w:p>
            <w:pPr>
              <w:pStyle w:val="Normal"/>
              <w:kinsoku w:val="true"/>
              <w:autoSpaceDE w:val="true"/>
              <w:jc w:val="center"/>
              <w:rPr>
                <w:rFonts w:ascii="Calibri" w:hAnsi="Calibri" w:cs="宋体"/>
                <w:b w:val="false"/>
                <w:b w:val="false"/>
                <w:i w:val="false"/>
                <w:i w:val="false"/>
                <w:color w:val="000000"/>
                <w:sz w:val="20"/>
              </w:rPr>
            </w:pPr>
            <w:r>
              <w:rPr>
                <w:rFonts w:cs="宋体" w:ascii="LinTimes;思源黑体 CN Normal" w:hAnsi="LinTimes;思源黑体 CN Normal"/>
                <w:b w:val="false"/>
                <w:i w:val="false"/>
                <w:color w:val="262600"/>
                <w:sz w:val="32"/>
              </w:rPr>
              <w:t>1%</w:t>
            </w:r>
          </w:p>
        </w:tc>
      </w:tr>
      <w:tr>
        <w:trPr/>
        <w:tc>
          <w:tcPr>
            <w:tcW w:w="2389" w:type="dxa"/>
            <w:tcBorders>
              <w:left w:val="single" w:sz="8" w:space="0" w:color="000000"/>
              <w:bottom w:val="single" w:sz="8" w:space="0" w:color="000000"/>
              <w:right w:val="single" w:sz="8" w:space="0" w:color="000000"/>
            </w:tcBorders>
          </w:tcPr>
          <w:p>
            <w:pPr>
              <w:pStyle w:val="Normal"/>
              <w:kinsoku w:val="true"/>
              <w:autoSpaceDE w:val="true"/>
              <w:jc w:val="center"/>
              <w:rPr>
                <w:rFonts w:ascii="Calibri" w:hAnsi="Calibri" w:cs="宋体"/>
                <w:b w:val="false"/>
                <w:b w:val="false"/>
                <w:i w:val="false"/>
                <w:i w:val="false"/>
                <w:color w:val="000000"/>
                <w:sz w:val="20"/>
              </w:rPr>
            </w:pPr>
            <w:r>
              <w:rPr>
                <w:rFonts w:cs="宋体" w:ascii="LinTimes;思源黑体 CN Normal" w:hAnsi="LinTimes;思源黑体 CN Normal"/>
                <w:b w:val="false"/>
                <w:i w:val="false"/>
                <w:color w:val="262600"/>
                <w:sz w:val="32"/>
              </w:rPr>
              <w:t>31052000</w:t>
            </w:r>
          </w:p>
        </w:tc>
        <w:tc>
          <w:tcPr>
            <w:tcW w:w="5233" w:type="dxa"/>
            <w:tcBorders>
              <w:bottom w:val="single" w:sz="8" w:space="0" w:color="000000"/>
              <w:right w:val="single" w:sz="8" w:space="0" w:color="000000"/>
            </w:tcBorders>
          </w:tcPr>
          <w:p>
            <w:pPr>
              <w:pStyle w:val="Normal"/>
              <w:kinsoku w:val="true"/>
              <w:autoSpaceDE w:val="true"/>
              <w:rPr>
                <w:rFonts w:ascii="Calibri" w:hAnsi="Calibri" w:cs="宋体"/>
                <w:b w:val="false"/>
                <w:b w:val="false"/>
                <w:i w:val="false"/>
                <w:i w:val="false"/>
                <w:color w:val="000000"/>
                <w:sz w:val="20"/>
              </w:rPr>
            </w:pPr>
            <w:r>
              <w:rPr>
                <w:rFonts w:ascii="仿宋_GB2312" w:hAnsi="仿宋_GB2312" w:cs="仿宋_GB2312" w:eastAsia="仿宋_GB2312"/>
                <w:b w:val="false"/>
                <w:i w:val="false"/>
                <w:color w:val="262600"/>
                <w:sz w:val="32"/>
                <w:lang w:eastAsia="zh-CN"/>
              </w:rPr>
              <w:t>含氮、磷、钾三种肥效元素的化学肥料或矿物肥料</w:t>
            </w:r>
          </w:p>
        </w:tc>
        <w:tc>
          <w:tcPr>
            <w:tcW w:w="2270" w:type="dxa"/>
            <w:tcBorders>
              <w:bottom w:val="single" w:sz="8" w:space="0" w:color="000000"/>
              <w:right w:val="single" w:sz="8" w:space="0" w:color="000000"/>
            </w:tcBorders>
          </w:tcPr>
          <w:p>
            <w:pPr>
              <w:pStyle w:val="Normal"/>
              <w:kinsoku w:val="true"/>
              <w:autoSpaceDE w:val="true"/>
              <w:jc w:val="center"/>
              <w:rPr>
                <w:rFonts w:ascii="Calibri" w:hAnsi="Calibri" w:cs="宋体"/>
                <w:b w:val="false"/>
                <w:b w:val="false"/>
                <w:i w:val="false"/>
                <w:i w:val="false"/>
                <w:color w:val="000000"/>
                <w:sz w:val="20"/>
              </w:rPr>
            </w:pPr>
            <w:r>
              <w:rPr>
                <w:rFonts w:cs="宋体" w:ascii="LinTimes;思源黑体 CN Normal" w:hAnsi="LinTimes;思源黑体 CN Normal"/>
                <w:b w:val="false"/>
                <w:i w:val="false"/>
                <w:color w:val="262600"/>
                <w:sz w:val="32"/>
              </w:rPr>
              <w:t>1%</w:t>
            </w:r>
          </w:p>
        </w:tc>
      </w:tr>
      <w:tr>
        <w:trPr/>
        <w:tc>
          <w:tcPr>
            <w:tcW w:w="2389" w:type="dxa"/>
            <w:tcBorders>
              <w:left w:val="single" w:sz="8" w:space="0" w:color="000000"/>
              <w:bottom w:val="single" w:sz="8" w:space="0" w:color="000000"/>
              <w:right w:val="single" w:sz="8" w:space="0" w:color="000000"/>
            </w:tcBorders>
          </w:tcPr>
          <w:p>
            <w:pPr>
              <w:pStyle w:val="Normal"/>
              <w:kinsoku w:val="true"/>
              <w:autoSpaceDE w:val="true"/>
              <w:jc w:val="center"/>
              <w:rPr>
                <w:rFonts w:ascii="Calibri" w:hAnsi="Calibri" w:cs="宋体"/>
                <w:b w:val="false"/>
                <w:b w:val="false"/>
                <w:i w:val="false"/>
                <w:i w:val="false"/>
                <w:color w:val="000000"/>
                <w:sz w:val="20"/>
              </w:rPr>
            </w:pPr>
            <w:r>
              <w:rPr>
                <w:rFonts w:cs="宋体" w:ascii="LinTimes;思源黑体 CN Normal" w:hAnsi="LinTimes;思源黑体 CN Normal"/>
                <w:b w:val="false"/>
                <w:i w:val="false"/>
                <w:color w:val="262600"/>
                <w:sz w:val="32"/>
              </w:rPr>
              <w:t>31053000</w:t>
            </w:r>
          </w:p>
        </w:tc>
        <w:tc>
          <w:tcPr>
            <w:tcW w:w="5233" w:type="dxa"/>
            <w:tcBorders>
              <w:bottom w:val="single" w:sz="8" w:space="0" w:color="000000"/>
              <w:right w:val="single" w:sz="8" w:space="0" w:color="000000"/>
            </w:tcBorders>
          </w:tcPr>
          <w:p>
            <w:pPr>
              <w:pStyle w:val="Normal"/>
              <w:kinsoku w:val="true"/>
              <w:autoSpaceDE w:val="true"/>
              <w:rPr>
                <w:rFonts w:ascii="Calibri" w:hAnsi="Calibri" w:cs="宋体"/>
                <w:b w:val="false"/>
                <w:b w:val="false"/>
                <w:i w:val="false"/>
                <w:i w:val="false"/>
                <w:color w:val="000000"/>
                <w:sz w:val="20"/>
              </w:rPr>
            </w:pPr>
            <w:r>
              <w:rPr>
                <w:rFonts w:ascii="仿宋_GB2312" w:hAnsi="仿宋_GB2312" w:cs="仿宋_GB2312" w:eastAsia="仿宋_GB2312"/>
                <w:b w:val="false"/>
                <w:i w:val="false"/>
                <w:color w:val="262600"/>
                <w:sz w:val="32"/>
                <w:lang w:eastAsia="zh-CN"/>
              </w:rPr>
              <w:t>磷酸氢二铵</w:t>
            </w:r>
          </w:p>
        </w:tc>
        <w:tc>
          <w:tcPr>
            <w:tcW w:w="2270" w:type="dxa"/>
            <w:tcBorders>
              <w:bottom w:val="single" w:sz="8" w:space="0" w:color="000000"/>
              <w:right w:val="single" w:sz="8" w:space="0" w:color="000000"/>
            </w:tcBorders>
          </w:tcPr>
          <w:p>
            <w:pPr>
              <w:pStyle w:val="Normal"/>
              <w:kinsoku w:val="true"/>
              <w:autoSpaceDE w:val="true"/>
              <w:jc w:val="center"/>
              <w:rPr>
                <w:rFonts w:ascii="Calibri" w:hAnsi="Calibri" w:cs="宋体"/>
                <w:b w:val="false"/>
                <w:b w:val="false"/>
                <w:i w:val="false"/>
                <w:i w:val="false"/>
                <w:color w:val="000000"/>
                <w:sz w:val="20"/>
              </w:rPr>
            </w:pPr>
            <w:r>
              <w:rPr>
                <w:rFonts w:cs="宋体" w:ascii="LinTimes;思源黑体 CN Normal" w:hAnsi="LinTimes;思源黑体 CN Normal"/>
                <w:b w:val="false"/>
                <w:i w:val="false"/>
                <w:color w:val="262600"/>
                <w:sz w:val="32"/>
              </w:rPr>
              <w:t>1%</w:t>
            </w:r>
          </w:p>
        </w:tc>
      </w:tr>
    </w:tbl>
    <w:p>
      <w:pPr>
        <w:pStyle w:val="Normal"/>
        <w:kinsoku w:val="true"/>
        <w:autoSpaceDE w:val="true"/>
        <w:jc w:val="both"/>
        <w:rPr>
          <w:rFonts w:ascii="Calibri" w:hAnsi="Calibri" w:cs="宋体"/>
          <w:b w:val="false"/>
          <w:b w:val="false"/>
          <w:i w:val="false"/>
          <w:i w:val="false"/>
          <w:color w:val="262600"/>
          <w:sz w:val="21"/>
        </w:rPr>
      </w:pPr>
      <w:r>
        <w:rPr>
          <w:rFonts w:eastAsia="Times New Roman" w:cs="Times New Roman"/>
          <w:b w:val="false"/>
          <w:i w:val="false"/>
          <w:color w:val="262600"/>
          <w:sz w:val="32"/>
        </w:rPr>
        <w:t xml:space="preserve"> </w:t>
      </w:r>
    </w:p>
    <w:p>
      <w:pPr>
        <w:pStyle w:val="Normal"/>
        <w:kinsoku w:val="true"/>
        <w:autoSpaceDE w:val="true"/>
        <w:jc w:val="both"/>
        <w:rPr>
          <w:rFonts w:ascii="黑体" w:hAnsi="黑体" w:eastAsia="黑体" w:cs="黑体"/>
          <w:b w:val="false"/>
          <w:b w:val="false"/>
          <w:i w:val="false"/>
          <w:i w:val="false"/>
          <w:color w:val="262600"/>
          <w:sz w:val="32"/>
          <w:lang w:eastAsia="zh-CN"/>
        </w:rPr>
      </w:pPr>
      <w:r>
        <w:rPr>
          <w:rFonts w:eastAsia="黑体" w:cs="黑体" w:ascii="黑体" w:hAnsi="黑体"/>
          <w:b w:val="false"/>
          <w:i w:val="false"/>
          <w:color w:val="262600"/>
          <w:sz w:val="32"/>
          <w:lang w:eastAsia="zh-CN"/>
        </w:rPr>
      </w:r>
    </w:p>
    <w:p>
      <w:pPr>
        <w:pStyle w:val="Normal"/>
        <w:kinsoku w:val="true"/>
        <w:autoSpaceDE w:val="true"/>
        <w:jc w:val="both"/>
        <w:rPr>
          <w:rFonts w:ascii="黑体" w:hAnsi="黑体" w:eastAsia="黑体" w:cs="黑体"/>
          <w:b w:val="false"/>
          <w:b w:val="false"/>
          <w:i w:val="false"/>
          <w:i w:val="false"/>
          <w:color w:val="262600"/>
          <w:sz w:val="32"/>
          <w:lang w:eastAsia="zh-CN"/>
        </w:rPr>
      </w:pPr>
      <w:r>
        <w:rPr>
          <w:rFonts w:eastAsia="黑体" w:cs="黑体" w:ascii="黑体" w:hAnsi="黑体"/>
          <w:b w:val="false"/>
          <w:i w:val="false"/>
          <w:color w:val="262600"/>
          <w:sz w:val="32"/>
          <w:lang w:eastAsia="zh-CN"/>
        </w:rPr>
      </w:r>
    </w:p>
    <w:p>
      <w:pPr>
        <w:pStyle w:val="Normal"/>
        <w:kinsoku w:val="true"/>
        <w:autoSpaceDE w:val="true"/>
        <w:jc w:val="both"/>
        <w:rPr>
          <w:rFonts w:ascii="Calibri" w:hAnsi="Calibri" w:cs="宋体"/>
          <w:b w:val="false"/>
          <w:b w:val="false"/>
          <w:i w:val="false"/>
          <w:i w:val="false"/>
          <w:color w:val="262600"/>
          <w:sz w:val="21"/>
        </w:rPr>
      </w:pPr>
      <w:r>
        <w:rPr>
          <w:rFonts w:ascii="黑体" w:hAnsi="黑体" w:cs="黑体" w:eastAsia="黑体"/>
          <w:b w:val="false"/>
          <w:i w:val="false"/>
          <w:color w:val="262600"/>
          <w:sz w:val="32"/>
          <w:lang w:eastAsia="zh-CN"/>
        </w:rPr>
        <w:t>附件</w:t>
      </w:r>
      <w:r>
        <w:rPr>
          <w:rFonts w:cs="宋体" w:ascii="LinTimes;思源黑体 CN Normal" w:hAnsi="LinTimes;思源黑体 CN Normal"/>
          <w:b w:val="false"/>
          <w:i w:val="false"/>
          <w:color w:val="262600"/>
          <w:sz w:val="32"/>
        </w:rPr>
        <w:t>2</w:t>
      </w:r>
    </w:p>
    <w:p>
      <w:pPr>
        <w:pStyle w:val="Normal"/>
        <w:kinsoku w:val="true"/>
        <w:autoSpaceDE w:val="true"/>
        <w:jc w:val="both"/>
        <w:rPr>
          <w:rFonts w:ascii="Calibri" w:hAnsi="Calibri" w:cs="宋体"/>
          <w:b w:val="false"/>
          <w:b w:val="false"/>
          <w:i w:val="false"/>
          <w:i w:val="false"/>
          <w:color w:val="262600"/>
          <w:sz w:val="21"/>
        </w:rPr>
      </w:pPr>
      <w:r>
        <w:rPr>
          <w:rFonts w:eastAsia="Times New Roman" w:cs="Times New Roman"/>
          <w:b/>
          <w:i w:val="false"/>
          <w:color w:val="262600"/>
          <w:sz w:val="32"/>
        </w:rPr>
        <w:t xml:space="preserve"> </w:t>
      </w:r>
    </w:p>
    <w:p>
      <w:pPr>
        <w:pStyle w:val="Normal"/>
        <w:kinsoku w:val="true"/>
        <w:autoSpaceDE w:val="true"/>
        <w:spacing w:lineRule="atLeast" w:line="540" w:before="240" w:after="60"/>
        <w:jc w:val="center"/>
        <w:rPr>
          <w:rFonts w:ascii="Cambria" w:hAnsi="Cambria" w:cs="宋体"/>
          <w:b/>
          <w:b/>
          <w:i w:val="false"/>
          <w:i w:val="false"/>
          <w:color w:val="262600"/>
          <w:sz w:val="32"/>
        </w:rPr>
      </w:pPr>
      <w:r>
        <w:rPr>
          <w:rFonts w:ascii="方正小标宋简体" w:hAnsi="方正小标宋简体" w:cs="方正小标宋简体" w:eastAsia="方正小标宋简体"/>
          <w:b w:val="false"/>
          <w:i w:val="false"/>
          <w:color w:val="262600"/>
          <w:sz w:val="36"/>
          <w:lang w:eastAsia="zh-CN"/>
        </w:rPr>
        <w:t>商务部委托的化肥进口关税配额发证机构</w:t>
      </w:r>
    </w:p>
    <w:p>
      <w:pPr>
        <w:pStyle w:val="Normal"/>
        <w:kinsoku w:val="true"/>
        <w:autoSpaceDE w:val="true"/>
        <w:jc w:val="both"/>
        <w:rPr>
          <w:rFonts w:ascii="Calibri" w:hAnsi="Calibri" w:cs="宋体"/>
          <w:b w:val="false"/>
          <w:b w:val="false"/>
          <w:i w:val="false"/>
          <w:i w:val="false"/>
          <w:color w:val="262600"/>
          <w:sz w:val="21"/>
        </w:rPr>
      </w:pPr>
      <w:r>
        <w:rPr>
          <w:rFonts w:eastAsia="Times New Roman" w:cs="Times New Roman"/>
          <w:b w:val="false"/>
          <w:i w:val="false"/>
          <w:color w:val="262600"/>
          <w:sz w:val="32"/>
        </w:rPr>
        <w:t xml:space="preserve"> </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1. </w:t>
      </w:r>
      <w:r>
        <w:rPr>
          <w:rFonts w:ascii="仿宋_GB2312" w:hAnsi="仿宋_GB2312" w:cs="仿宋_GB2312" w:eastAsia="仿宋_GB2312"/>
          <w:b w:val="false"/>
          <w:i w:val="false"/>
          <w:color w:val="262600"/>
          <w:sz w:val="32"/>
          <w:lang w:eastAsia="zh-CN"/>
        </w:rPr>
        <w:t>北京市商务局</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2. </w:t>
      </w:r>
      <w:r>
        <w:rPr>
          <w:rFonts w:ascii="仿宋_GB2312" w:hAnsi="仿宋_GB2312" w:cs="仿宋_GB2312" w:eastAsia="仿宋_GB2312"/>
          <w:b w:val="false"/>
          <w:i w:val="false"/>
          <w:color w:val="262600"/>
          <w:sz w:val="32"/>
          <w:lang w:eastAsia="zh-CN"/>
        </w:rPr>
        <w:t>天津市商务局</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3. </w:t>
      </w:r>
      <w:r>
        <w:rPr>
          <w:rFonts w:ascii="仿宋_GB2312" w:hAnsi="仿宋_GB2312" w:cs="仿宋_GB2312" w:eastAsia="仿宋_GB2312"/>
          <w:b w:val="false"/>
          <w:i w:val="false"/>
          <w:color w:val="262600"/>
          <w:sz w:val="32"/>
          <w:lang w:eastAsia="zh-CN"/>
        </w:rPr>
        <w:t>河北省商务厅</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4. </w:t>
      </w:r>
      <w:r>
        <w:rPr>
          <w:rFonts w:ascii="仿宋_GB2312" w:hAnsi="仿宋_GB2312" w:cs="仿宋_GB2312" w:eastAsia="仿宋_GB2312"/>
          <w:b w:val="false"/>
          <w:i w:val="false"/>
          <w:color w:val="262600"/>
          <w:sz w:val="32"/>
          <w:lang w:eastAsia="zh-CN"/>
        </w:rPr>
        <w:t>山西省商务厅</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5. </w:t>
      </w:r>
      <w:r>
        <w:rPr>
          <w:rFonts w:ascii="仿宋_GB2312" w:hAnsi="仿宋_GB2312" w:cs="仿宋_GB2312" w:eastAsia="仿宋_GB2312"/>
          <w:b w:val="false"/>
          <w:i w:val="false"/>
          <w:color w:val="262600"/>
          <w:sz w:val="32"/>
          <w:lang w:eastAsia="zh-CN"/>
        </w:rPr>
        <w:t>内蒙古自治区商务厅</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6. </w:t>
      </w:r>
      <w:r>
        <w:rPr>
          <w:rFonts w:ascii="仿宋_GB2312" w:hAnsi="仿宋_GB2312" w:cs="仿宋_GB2312" w:eastAsia="仿宋_GB2312"/>
          <w:b w:val="false"/>
          <w:i w:val="false"/>
          <w:color w:val="262600"/>
          <w:sz w:val="32"/>
          <w:lang w:eastAsia="zh-CN"/>
        </w:rPr>
        <w:t>辽宁省商务厅</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7. </w:t>
      </w:r>
      <w:r>
        <w:rPr>
          <w:rFonts w:ascii="仿宋_GB2312" w:hAnsi="仿宋_GB2312" w:cs="仿宋_GB2312" w:eastAsia="仿宋_GB2312"/>
          <w:b w:val="false"/>
          <w:i w:val="false"/>
          <w:color w:val="262600"/>
          <w:sz w:val="32"/>
          <w:lang w:eastAsia="zh-CN"/>
        </w:rPr>
        <w:t>吉林省商务厅</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8. </w:t>
      </w:r>
      <w:r>
        <w:rPr>
          <w:rFonts w:ascii="仿宋_GB2312" w:hAnsi="仿宋_GB2312" w:cs="仿宋_GB2312" w:eastAsia="仿宋_GB2312"/>
          <w:b w:val="false"/>
          <w:i w:val="false"/>
          <w:color w:val="262600"/>
          <w:sz w:val="32"/>
          <w:lang w:eastAsia="zh-CN"/>
        </w:rPr>
        <w:t>黑龙江省商务厅</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9. </w:t>
      </w:r>
      <w:r>
        <w:rPr>
          <w:rFonts w:ascii="仿宋_GB2312" w:hAnsi="仿宋_GB2312" w:cs="仿宋_GB2312" w:eastAsia="仿宋_GB2312"/>
          <w:b w:val="false"/>
          <w:i w:val="false"/>
          <w:color w:val="262600"/>
          <w:sz w:val="32"/>
          <w:lang w:eastAsia="zh-CN"/>
        </w:rPr>
        <w:t>上海市商务委员会</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10. </w:t>
      </w:r>
      <w:r>
        <w:rPr>
          <w:rFonts w:ascii="仿宋_GB2312" w:hAnsi="仿宋_GB2312" w:cs="仿宋_GB2312" w:eastAsia="仿宋_GB2312"/>
          <w:b w:val="false"/>
          <w:i w:val="false"/>
          <w:color w:val="262600"/>
          <w:sz w:val="32"/>
          <w:lang w:eastAsia="zh-CN"/>
        </w:rPr>
        <w:t>江苏省商务厅</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11. </w:t>
      </w:r>
      <w:r>
        <w:rPr>
          <w:rFonts w:ascii="仿宋_GB2312" w:hAnsi="仿宋_GB2312" w:cs="仿宋_GB2312" w:eastAsia="仿宋_GB2312"/>
          <w:b w:val="false"/>
          <w:i w:val="false"/>
          <w:color w:val="262600"/>
          <w:sz w:val="32"/>
          <w:lang w:eastAsia="zh-CN"/>
        </w:rPr>
        <w:t>浙江省商务厅</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12. </w:t>
      </w:r>
      <w:r>
        <w:rPr>
          <w:rFonts w:ascii="仿宋_GB2312" w:hAnsi="仿宋_GB2312" w:cs="仿宋_GB2312" w:eastAsia="仿宋_GB2312"/>
          <w:b w:val="false"/>
          <w:i w:val="false"/>
          <w:color w:val="262600"/>
          <w:sz w:val="32"/>
          <w:lang w:eastAsia="zh-CN"/>
        </w:rPr>
        <w:t>安徽省商务厅</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13. </w:t>
      </w:r>
      <w:r>
        <w:rPr>
          <w:rFonts w:ascii="仿宋_GB2312" w:hAnsi="仿宋_GB2312" w:cs="仿宋_GB2312" w:eastAsia="仿宋_GB2312"/>
          <w:b w:val="false"/>
          <w:i w:val="false"/>
          <w:color w:val="262600"/>
          <w:sz w:val="32"/>
          <w:lang w:eastAsia="zh-CN"/>
        </w:rPr>
        <w:t>福建省商务厅</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14. </w:t>
      </w:r>
      <w:r>
        <w:rPr>
          <w:rFonts w:ascii="仿宋_GB2312" w:hAnsi="仿宋_GB2312" w:cs="仿宋_GB2312" w:eastAsia="仿宋_GB2312"/>
          <w:b w:val="false"/>
          <w:i w:val="false"/>
          <w:color w:val="262600"/>
          <w:sz w:val="32"/>
          <w:lang w:eastAsia="zh-CN"/>
        </w:rPr>
        <w:t>江西省商务厅</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15. </w:t>
      </w:r>
      <w:r>
        <w:rPr>
          <w:rFonts w:ascii="仿宋_GB2312" w:hAnsi="仿宋_GB2312" w:cs="仿宋_GB2312" w:eastAsia="仿宋_GB2312"/>
          <w:b w:val="false"/>
          <w:i w:val="false"/>
          <w:color w:val="262600"/>
          <w:sz w:val="32"/>
          <w:lang w:eastAsia="zh-CN"/>
        </w:rPr>
        <w:t>山东省商务厅</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16. </w:t>
      </w:r>
      <w:r>
        <w:rPr>
          <w:rFonts w:ascii="仿宋_GB2312" w:hAnsi="仿宋_GB2312" w:cs="仿宋_GB2312" w:eastAsia="仿宋_GB2312"/>
          <w:b w:val="false"/>
          <w:i w:val="false"/>
          <w:color w:val="262600"/>
          <w:sz w:val="32"/>
          <w:lang w:eastAsia="zh-CN"/>
        </w:rPr>
        <w:t>河南省商务厅</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17. </w:t>
      </w:r>
      <w:r>
        <w:rPr>
          <w:rFonts w:ascii="仿宋_GB2312" w:hAnsi="仿宋_GB2312" w:cs="仿宋_GB2312" w:eastAsia="仿宋_GB2312"/>
          <w:b w:val="false"/>
          <w:i w:val="false"/>
          <w:color w:val="262600"/>
          <w:sz w:val="32"/>
          <w:lang w:eastAsia="zh-CN"/>
        </w:rPr>
        <w:t>湖北省商务厅</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18. </w:t>
      </w:r>
      <w:r>
        <w:rPr>
          <w:rFonts w:ascii="仿宋_GB2312" w:hAnsi="仿宋_GB2312" w:cs="仿宋_GB2312" w:eastAsia="仿宋_GB2312"/>
          <w:b w:val="false"/>
          <w:i w:val="false"/>
          <w:color w:val="262600"/>
          <w:sz w:val="32"/>
          <w:lang w:eastAsia="zh-CN"/>
        </w:rPr>
        <w:t>湖南省商务厅</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19. </w:t>
      </w:r>
      <w:r>
        <w:rPr>
          <w:rFonts w:ascii="仿宋_GB2312" w:hAnsi="仿宋_GB2312" w:cs="仿宋_GB2312" w:eastAsia="仿宋_GB2312"/>
          <w:b w:val="false"/>
          <w:i w:val="false"/>
          <w:color w:val="262600"/>
          <w:sz w:val="32"/>
          <w:lang w:eastAsia="zh-CN"/>
        </w:rPr>
        <w:t>广东省商务厅</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20. </w:t>
      </w:r>
      <w:r>
        <w:rPr>
          <w:rFonts w:ascii="仿宋_GB2312" w:hAnsi="仿宋_GB2312" w:cs="仿宋_GB2312" w:eastAsia="仿宋_GB2312"/>
          <w:b w:val="false"/>
          <w:i w:val="false"/>
          <w:color w:val="262600"/>
          <w:sz w:val="32"/>
          <w:lang w:eastAsia="zh-CN"/>
        </w:rPr>
        <w:t>广西壮族自治区商务厅</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21. </w:t>
      </w:r>
      <w:r>
        <w:rPr>
          <w:rFonts w:ascii="仿宋_GB2312" w:hAnsi="仿宋_GB2312" w:cs="仿宋_GB2312" w:eastAsia="仿宋_GB2312"/>
          <w:b w:val="false"/>
          <w:i w:val="false"/>
          <w:color w:val="262600"/>
          <w:sz w:val="32"/>
          <w:lang w:eastAsia="zh-CN"/>
        </w:rPr>
        <w:t>海南省商务厅</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22. </w:t>
      </w:r>
      <w:r>
        <w:rPr>
          <w:rFonts w:ascii="仿宋_GB2312" w:hAnsi="仿宋_GB2312" w:cs="仿宋_GB2312" w:eastAsia="仿宋_GB2312"/>
          <w:b w:val="false"/>
          <w:i w:val="false"/>
          <w:color w:val="262600"/>
          <w:sz w:val="32"/>
          <w:lang w:eastAsia="zh-CN"/>
        </w:rPr>
        <w:t>重庆市商务委员会</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23. </w:t>
      </w:r>
      <w:r>
        <w:rPr>
          <w:rFonts w:ascii="仿宋_GB2312" w:hAnsi="仿宋_GB2312" w:cs="仿宋_GB2312" w:eastAsia="仿宋_GB2312"/>
          <w:b w:val="false"/>
          <w:i w:val="false"/>
          <w:color w:val="262600"/>
          <w:sz w:val="32"/>
          <w:lang w:eastAsia="zh-CN"/>
        </w:rPr>
        <w:t>四川省商务厅</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24. </w:t>
      </w:r>
      <w:r>
        <w:rPr>
          <w:rFonts w:ascii="仿宋_GB2312" w:hAnsi="仿宋_GB2312" w:cs="仿宋_GB2312" w:eastAsia="仿宋_GB2312"/>
          <w:b w:val="false"/>
          <w:i w:val="false"/>
          <w:color w:val="262600"/>
          <w:sz w:val="32"/>
          <w:lang w:eastAsia="zh-CN"/>
        </w:rPr>
        <w:t>贵州省商务厅</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25. </w:t>
      </w:r>
      <w:r>
        <w:rPr>
          <w:rFonts w:ascii="仿宋_GB2312" w:hAnsi="仿宋_GB2312" w:cs="仿宋_GB2312" w:eastAsia="仿宋_GB2312"/>
          <w:b w:val="false"/>
          <w:i w:val="false"/>
          <w:color w:val="262600"/>
          <w:sz w:val="32"/>
          <w:lang w:eastAsia="zh-CN"/>
        </w:rPr>
        <w:t>云南省商务厅</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26. </w:t>
      </w:r>
      <w:r>
        <w:rPr>
          <w:rFonts w:ascii="仿宋_GB2312" w:hAnsi="仿宋_GB2312" w:cs="仿宋_GB2312" w:eastAsia="仿宋_GB2312"/>
          <w:b w:val="false"/>
          <w:i w:val="false"/>
          <w:color w:val="262600"/>
          <w:sz w:val="32"/>
          <w:lang w:eastAsia="zh-CN"/>
        </w:rPr>
        <w:t>西藏自治区商务厅</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27. </w:t>
      </w:r>
      <w:r>
        <w:rPr>
          <w:rFonts w:ascii="仿宋_GB2312" w:hAnsi="仿宋_GB2312" w:cs="仿宋_GB2312" w:eastAsia="仿宋_GB2312"/>
          <w:b w:val="false"/>
          <w:i w:val="false"/>
          <w:color w:val="262600"/>
          <w:sz w:val="32"/>
          <w:lang w:eastAsia="zh-CN"/>
        </w:rPr>
        <w:t>陕西省商务厅</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28. </w:t>
      </w:r>
      <w:r>
        <w:rPr>
          <w:rFonts w:ascii="仿宋_GB2312" w:hAnsi="仿宋_GB2312" w:cs="仿宋_GB2312" w:eastAsia="仿宋_GB2312"/>
          <w:b w:val="false"/>
          <w:i w:val="false"/>
          <w:color w:val="262600"/>
          <w:sz w:val="32"/>
          <w:lang w:eastAsia="zh-CN"/>
        </w:rPr>
        <w:t>甘肃省商务厅</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29. </w:t>
      </w:r>
      <w:r>
        <w:rPr>
          <w:rFonts w:ascii="仿宋_GB2312" w:hAnsi="仿宋_GB2312" w:cs="仿宋_GB2312" w:eastAsia="仿宋_GB2312"/>
          <w:b w:val="false"/>
          <w:i w:val="false"/>
          <w:color w:val="262600"/>
          <w:sz w:val="32"/>
          <w:lang w:eastAsia="zh-CN"/>
        </w:rPr>
        <w:t>青海省商务厅</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30. </w:t>
      </w:r>
      <w:r>
        <w:rPr>
          <w:rFonts w:ascii="仿宋_GB2312" w:hAnsi="仿宋_GB2312" w:cs="仿宋_GB2312" w:eastAsia="仿宋_GB2312"/>
          <w:b w:val="false"/>
          <w:i w:val="false"/>
          <w:color w:val="262600"/>
          <w:sz w:val="32"/>
          <w:lang w:eastAsia="zh-CN"/>
        </w:rPr>
        <w:t>宁夏回族自治区商务厅</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31. </w:t>
      </w:r>
      <w:r>
        <w:rPr>
          <w:rFonts w:ascii="仿宋_GB2312" w:hAnsi="仿宋_GB2312" w:cs="仿宋_GB2312" w:eastAsia="仿宋_GB2312"/>
          <w:b w:val="false"/>
          <w:i w:val="false"/>
          <w:color w:val="262600"/>
          <w:sz w:val="32"/>
          <w:lang w:eastAsia="zh-CN"/>
        </w:rPr>
        <w:t>新疆维吾尔自治区商务厅</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32. </w:t>
      </w:r>
      <w:r>
        <w:rPr>
          <w:rFonts w:ascii="仿宋_GB2312" w:hAnsi="仿宋_GB2312" w:cs="仿宋_GB2312" w:eastAsia="仿宋_GB2312"/>
          <w:b w:val="false"/>
          <w:i w:val="false"/>
          <w:color w:val="262600"/>
          <w:sz w:val="32"/>
          <w:lang w:eastAsia="zh-CN"/>
        </w:rPr>
        <w:t>新疆生产建设兵团商务局</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33. </w:t>
      </w:r>
      <w:r>
        <w:rPr>
          <w:rFonts w:ascii="仿宋_GB2312" w:hAnsi="仿宋_GB2312" w:cs="仿宋_GB2312" w:eastAsia="仿宋_GB2312"/>
          <w:b w:val="false"/>
          <w:i w:val="false"/>
          <w:color w:val="262600"/>
          <w:sz w:val="32"/>
          <w:lang w:eastAsia="zh-CN"/>
        </w:rPr>
        <w:t>大连市商务局</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34. </w:t>
      </w:r>
      <w:r>
        <w:rPr>
          <w:rFonts w:ascii="仿宋_GB2312" w:hAnsi="仿宋_GB2312" w:cs="仿宋_GB2312" w:eastAsia="仿宋_GB2312"/>
          <w:b w:val="false"/>
          <w:i w:val="false"/>
          <w:color w:val="262600"/>
          <w:sz w:val="32"/>
          <w:lang w:eastAsia="zh-CN"/>
        </w:rPr>
        <w:t>青岛市商务局</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35. </w:t>
      </w:r>
      <w:r>
        <w:rPr>
          <w:rFonts w:ascii="仿宋_GB2312" w:hAnsi="仿宋_GB2312" w:cs="仿宋_GB2312" w:eastAsia="仿宋_GB2312"/>
          <w:b w:val="false"/>
          <w:i w:val="false"/>
          <w:color w:val="262600"/>
          <w:sz w:val="32"/>
          <w:lang w:eastAsia="zh-CN"/>
        </w:rPr>
        <w:t>宁波市商务局</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36. </w:t>
      </w:r>
      <w:r>
        <w:rPr>
          <w:rFonts w:ascii="仿宋_GB2312" w:hAnsi="仿宋_GB2312" w:cs="仿宋_GB2312" w:eastAsia="仿宋_GB2312"/>
          <w:b w:val="false"/>
          <w:i w:val="false"/>
          <w:color w:val="262600"/>
          <w:sz w:val="32"/>
          <w:lang w:eastAsia="zh-CN"/>
        </w:rPr>
        <w:t>厦门市商务局</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37. </w:t>
      </w:r>
      <w:r>
        <w:rPr>
          <w:rFonts w:ascii="仿宋_GB2312" w:hAnsi="仿宋_GB2312" w:cs="仿宋_GB2312" w:eastAsia="仿宋_GB2312"/>
          <w:b w:val="false"/>
          <w:i w:val="false"/>
          <w:color w:val="262600"/>
          <w:sz w:val="32"/>
          <w:lang w:eastAsia="zh-CN"/>
        </w:rPr>
        <w:t>深圳市商务局</w:t>
      </w:r>
    </w:p>
    <w:p>
      <w:pPr>
        <w:pStyle w:val="Normal"/>
        <w:kinsoku w:val="true"/>
        <w:autoSpaceDE w:val="true"/>
        <w:ind w:left="1060" w:hanging="420"/>
        <w:rPr>
          <w:rFonts w:ascii="\5 FAE8F6F96C59ED1;思源黑体 CN Normal" w:hAnsi="\5 FAE8F6F96C59ED1;思源黑体 CN Normal" w:cs="宋体"/>
          <w:b w:val="false"/>
          <w:b w:val="false"/>
          <w:i w:val="false"/>
          <w:i w:val="false"/>
          <w:color w:val="262600"/>
          <w:sz w:val="27"/>
        </w:rPr>
      </w:pPr>
      <w:r>
        <w:rPr>
          <w:rFonts w:cs="宋体" w:ascii="LinTimes;思源黑体 CN Normal" w:hAnsi="LinTimes;思源黑体 CN Normal"/>
          <w:b w:val="false"/>
          <w:i w:val="false"/>
          <w:color w:val="262600"/>
          <w:sz w:val="32"/>
        </w:rPr>
        <w:t xml:space="preserve">38. </w:t>
      </w:r>
      <w:r>
        <w:rPr>
          <w:rFonts w:ascii="仿宋_GB2312" w:hAnsi="仿宋_GB2312" w:cs="仿宋_GB2312" w:eastAsia="仿宋_GB2312"/>
          <w:b w:val="false"/>
          <w:i w:val="false"/>
          <w:color w:val="262600"/>
          <w:sz w:val="32"/>
          <w:lang w:eastAsia="zh-CN"/>
        </w:rPr>
        <w:t>商务部配额许可证事务局</w:t>
      </w:r>
    </w:p>
    <w:p>
      <w:pPr>
        <w:pStyle w:val="Normal"/>
        <w:rPr>
          <w:rFonts w:ascii="\5 FAE8F6F96C59ED1;思源黑体 CN Normal" w:hAnsi="\5 FAE8F6F96C59ED1;思源黑体 CN Normal" w:cs="宋体"/>
          <w:b w:val="false"/>
          <w:b w:val="false"/>
          <w:i w:val="false"/>
          <w:i w:val="false"/>
          <w:color w:val="262600"/>
          <w:sz w:val="27"/>
          <w:lang w:val="en-US"/>
        </w:rPr>
      </w:pPr>
      <w:r>
        <w:rPr>
          <w:rFonts w:cs="宋体" w:ascii="\5 FAE8F6F96C59ED1;思源黑体 CN Normal" w:hAnsi="\5 FAE8F6F96C59ED1;思源黑体 CN Normal"/>
          <w:b w:val="false"/>
          <w:i w:val="false"/>
          <w:color w:val="262600"/>
          <w:sz w:val="27"/>
          <w:lang w:val="en-US"/>
        </w:rPr>
      </w:r>
    </w:p>
    <w:sectPr>
      <w:type w:val="nextPage"/>
      <w:pgSz w:w="11906" w:h="16838"/>
      <w:pgMar w:left="1800" w:right="1800" w:gutter="0" w:header="0" w:top="1440" w:footer="0" w:bottom="144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方正小标宋简体">
    <w:charset w:val="86"/>
    <w:family w:val="auto"/>
    <w:pitch w:val="default"/>
  </w:font>
  <w:font w:name="仿宋_GB2312">
    <w:charset w:val="86"/>
    <w:family w:val="auto"/>
    <w:pitch w:val="default"/>
  </w:font>
  <w:font w:name="Helvetica Neue">
    <w:altName w:val="Helvetica"/>
    <w:charset w:val="01"/>
    <w:family w:val="swiss"/>
    <w:pitch w:val="default"/>
  </w:font>
  <w:font w:name="LinTimes">
    <w:altName w:val="思源黑体 CN Normal"/>
    <w:charset w:val="01"/>
    <w:family w:val="auto"/>
    <w:pitch w:val="default"/>
  </w:font>
  <w:font w:name="Calibri">
    <w:charset w:val="00"/>
    <w:family w:val="auto"/>
    <w:pitch w:val="default"/>
  </w:font>
  <w:font w:name="Cambria">
    <w:charset w:val="00"/>
    <w:family w:val="auto"/>
    <w:pitch w:val="default"/>
  </w:font>
  <w:font w:name="黑体">
    <w:charset w:val="86"/>
    <w:family w:val="auto"/>
    <w:pitch w:val="default"/>
  </w:font>
  <w:font w:name="\5 FAE8F6F96C59ED1">
    <w:altName w:val="思源黑体 CN Normal"/>
    <w:charset w:val="01"/>
    <w:family w:val="auto"/>
    <w:pitch w:val="default"/>
  </w:font>
</w:fonts>
</file>

<file path=word/settings.xml><?xml version="1.0" encoding="utf-8"?>
<w:settings xmlns:w="http://schemas.openxmlformats.org/wordprocessingml/2006/main">
  <w:zoom w:percent="10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Times New Roman" w:hAnsi="Times New Roman" w:eastAsia="宋体" w:cs="Times New Roman"/>
      <w:color w:val="auto"/>
      <w:kern w:val="2"/>
      <w:sz w:val="21"/>
      <w:szCs w:val="20"/>
      <w:lang w:val="en-US" w:eastAsia="zh-CN" w:bidi="hi-IN"/>
    </w:rPr>
  </w:style>
  <w:style w:type="character" w:styleId="Style14">
    <w:name w:val="默认段落字体"/>
    <w:qFormat/>
    <w:rPr/>
  </w:style>
  <w:style w:type="paragraph" w:styleId="Heading">
    <w:name w:val="Heading"/>
    <w:basedOn w:val="Normal"/>
    <w:next w:val="TextBody"/>
    <w:qFormat/>
    <w:pPr>
      <w:keepNext w:val="true"/>
      <w:spacing w:before="240" w:after="120"/>
    </w:pPr>
    <w:rPr>
      <w:rFonts w:ascii="Liberation Sans" w:hAnsi="Liberation Sans" w:eastAsia="Noto Sans CJK SC" w:cs="Noto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suppressLineNumbers/>
      <w:tabs>
        <w:tab w:val="clear" w:pos="420"/>
        <w:tab w:val="center" w:pos="4819" w:leader="none"/>
        <w:tab w:val="right" w:pos="9638" w:leader="none"/>
      </w:tabs>
    </w:pPr>
    <w:rPr/>
  </w:style>
  <w:style w:type="paragraph" w:styleId="Footer">
    <w:name w:val="Footer"/>
    <w:basedOn w:val="Normal"/>
    <w:pPr>
      <w:tabs>
        <w:tab w:val="clear" w:pos="420"/>
        <w:tab w:val="center" w:pos="4153" w:leader="none"/>
        <w:tab w:val="right" w:pos="8306" w:leader="none"/>
      </w:tabs>
      <w:snapToGrid w:val="false"/>
      <w:jc w:val="left"/>
    </w:pPr>
    <w:rPr>
      <w:sz w:val="18"/>
    </w:rPr>
  </w:style>
  <w:style w:type="paragraph" w:styleId="Header">
    <w:name w:val="Header"/>
    <w:basedOn w:val="Normal"/>
    <w:pPr>
      <w:pBdr/>
      <w:tabs>
        <w:tab w:val="clear" w:pos="420"/>
        <w:tab w:val="center" w:pos="4153" w:leader="none"/>
        <w:tab w:val="right" w:pos="8306" w:leader="none"/>
      </w:tabs>
      <w:snapToGrid w:val="false"/>
      <w:spacing w:lineRule="auto" w:line="240"/>
      <w:jc w:val="both"/>
    </w:pPr>
    <w:rPr>
      <w:rFonts w:ascii="Times New Roman" w:hAnsi="Times New Roman" w:cs="Times New Roman"/>
      <w:sz w:val="18"/>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2012-06-06T01:30:27Z</dcterms:created>
  <dc:creator>a</dc:creator>
  <dc:description/>
  <dc:language>en-US</dc:language>
  <cp:lastModifiedBy>杜雨潇</cp:lastModifiedBy>
  <dcterms:modified xsi:type="dcterms:W3CDTF">2026-10-16T09:36:49Z</dcterms:modified>
  <cp:revision>0</cp:revision>
  <dc:subject/>
  <dc:title>根据《中华人民共和国货物进出口管理条例》《化肥进口关税配额管理暂行办法》，商务部制定了《2027年化肥进口关税配额总量、分配原则及相关程序》，现予公布。</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2052-9.1.0.4473</vt:lpwstr>
  </property>
</Properties>
</file>