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false"/>
        <w:keepLines w:val="false"/>
        <w:pageBreakBefore w:val="false"/>
        <w:widowControl w:val="false"/>
        <w:kinsoku w:val="true"/>
        <w:autoSpaceDE w:val="true"/>
        <w:bidi w:val="0"/>
        <w:spacing w:lineRule="exact" w:line="590"/>
        <w:jc w:val="center"/>
        <w:textAlignment w:val="auto"/>
        <w:rPr>
          <w:rFonts w:ascii="Times New Roman" w:hAnsi="Times New Roman" w:eastAsia="方正小标宋简体" w:cs="Times New Roman"/>
          <w:sz w:val="44"/>
          <w:szCs w:val="44"/>
        </w:rPr>
      </w:pPr>
      <w:r>
        <w:rPr>
          <w:rFonts w:eastAsia="方正小标宋简体" w:cs="Times New Roman" w:ascii="Times New Roman" w:hAnsi="Times New Roman"/>
          <w:sz w:val="44"/>
          <w:szCs w:val="44"/>
        </w:rPr>
      </w:r>
    </w:p>
    <w:p>
      <w:pPr>
        <w:pStyle w:val="Normal"/>
        <w:keepNext w:val="false"/>
        <w:keepLines w:val="false"/>
        <w:pageBreakBefore w:val="false"/>
        <w:widowControl w:val="false"/>
        <w:kinsoku w:val="true"/>
        <w:autoSpaceDE w:val="true"/>
        <w:bidi w:val="0"/>
        <w:spacing w:lineRule="exact" w:line="590"/>
        <w:jc w:val="center"/>
        <w:textAlignment w:val="auto"/>
        <w:rPr>
          <w:rFonts w:ascii="Times New Roman" w:hAnsi="Times New Roman" w:eastAsia="方正小标宋简体" w:cs="Times New Roman"/>
          <w:sz w:val="44"/>
          <w:szCs w:val="44"/>
          <w:lang w:val="en" w:eastAsia="zh-CN"/>
        </w:rPr>
      </w:pPr>
      <w:r>
        <w:rPr>
          <w:rFonts w:ascii="方正小标宋简体" w:hAnsi="方正小标宋简体" w:cs="宋体;方正书宋_GBK" w:eastAsia="方正小标宋简体"/>
          <w:color w:val="000000"/>
          <w:kern w:val="0"/>
          <w:sz w:val="44"/>
          <w:szCs w:val="44"/>
        </w:rPr>
        <w:t>《</w:t>
      </w:r>
      <w:r>
        <w:rPr>
          <w:rFonts w:ascii="方正小标宋简体" w:hAnsi="方正小标宋简体" w:cs="方正小标宋简体" w:eastAsia="方正小标宋简体"/>
          <w:sz w:val="44"/>
          <w:szCs w:val="44"/>
        </w:rPr>
        <w:t>河南省市场监督管理行政处罚裁量基准</w:t>
      </w:r>
      <w:r>
        <w:rPr>
          <w:rFonts w:ascii="方正小标宋简体" w:hAnsi="方正小标宋简体" w:cs="方正小标宋简体" w:eastAsia="方正小标宋简体"/>
          <w:sz w:val="44"/>
          <w:szCs w:val="44"/>
          <w:lang w:eastAsia="zh-CN"/>
        </w:rPr>
        <w:t>（</w:t>
      </w:r>
      <w:r>
        <w:rPr>
          <w:rFonts w:eastAsia="方正小标宋简体" w:cs="方正小标宋简体" w:ascii="方正小标宋简体" w:hAnsi="方正小标宋简体"/>
          <w:sz w:val="44"/>
          <w:szCs w:val="44"/>
          <w:lang w:val="en-US" w:eastAsia="zh-CN"/>
        </w:rPr>
        <w:t>2025</w:t>
      </w:r>
      <w:r>
        <w:rPr>
          <w:rFonts w:ascii="方正小标宋简体" w:hAnsi="方正小标宋简体" w:cs="方正小标宋简体" w:eastAsia="方正小标宋简体"/>
          <w:sz w:val="44"/>
          <w:szCs w:val="44"/>
          <w:lang w:val="en-US" w:eastAsia="zh-CN"/>
        </w:rPr>
        <w:t>版</w:t>
      </w:r>
      <w:r>
        <w:rPr>
          <w:rFonts w:ascii="方正小标宋简体" w:hAnsi="方正小标宋简体" w:cs="方正小标宋简体" w:eastAsia="方正小标宋简体"/>
          <w:sz w:val="44"/>
          <w:szCs w:val="44"/>
          <w:lang w:eastAsia="zh-CN"/>
        </w:rPr>
        <w:t>）</w:t>
      </w:r>
      <w:r>
        <w:rPr>
          <w:rFonts w:ascii="方正小标宋简体" w:hAnsi="方正小标宋简体" w:cs="方正小标宋简体" w:eastAsia="方正小标宋简体"/>
          <w:sz w:val="44"/>
          <w:szCs w:val="44"/>
        </w:rPr>
        <w:t>修改单</w:t>
      </w:r>
      <w:r>
        <w:rPr>
          <w:rFonts w:ascii="方正小标宋简体" w:hAnsi="方正小标宋简体" w:cs="宋体;方正书宋_GBK" w:eastAsia="方正小标宋简体"/>
          <w:color w:val="000000"/>
          <w:kern w:val="0"/>
          <w:sz w:val="44"/>
          <w:szCs w:val="44"/>
        </w:rPr>
        <w:t>》</w:t>
      </w:r>
      <w:r>
        <w:rPr>
          <w:rFonts w:ascii="Times New Roman" w:hAnsi="Times New Roman" w:cs="Times New Roman" w:eastAsia="方正小标宋简体"/>
          <w:sz w:val="44"/>
          <w:szCs w:val="44"/>
          <w:lang w:val="en" w:eastAsia="zh-CN"/>
        </w:rPr>
        <w:t>政策解读</w:t>
      </w:r>
    </w:p>
    <w:p>
      <w:pPr>
        <w:pStyle w:val="Normal"/>
        <w:keepNext w:val="false"/>
        <w:keepLines w:val="false"/>
        <w:pageBreakBefore w:val="false"/>
        <w:widowControl w:val="false"/>
        <w:kinsoku w:val="true"/>
        <w:autoSpaceDE w:val="true"/>
        <w:bidi w:val="0"/>
        <w:spacing w:lineRule="exact" w:line="590"/>
        <w:jc w:val="both"/>
        <w:textAlignment w:val="auto"/>
        <w:rPr>
          <w:rFonts w:ascii="Times New Roman" w:hAnsi="Times New Roman" w:eastAsia="方正小标宋简体" w:cs="Times New Roman"/>
          <w:sz w:val="36"/>
          <w:szCs w:val="36"/>
          <w:lang w:val="en" w:eastAsia="zh-CN"/>
        </w:rPr>
      </w:pPr>
      <w:r>
        <w:rPr>
          <w:rFonts w:eastAsia="方正小标宋简体" w:cs="Times New Roman" w:ascii="Times New Roman" w:hAnsi="Times New Roman"/>
          <w:sz w:val="36"/>
          <w:szCs w:val="36"/>
          <w:lang w:val="en" w:eastAsia="zh-CN"/>
        </w:rPr>
      </w:r>
    </w:p>
    <w:p>
      <w:pPr>
        <w:pStyle w:val="Normal"/>
        <w:keepNext w:val="false"/>
        <w:keepLines w:val="false"/>
        <w:pageBreakBefore w:val="false"/>
        <w:widowControl/>
        <w:kinsoku w:val="true"/>
        <w:autoSpaceDE w:val="true"/>
        <w:bidi w:val="0"/>
        <w:snapToGrid w:val="false"/>
        <w:spacing w:lineRule="exact" w:line="560"/>
        <w:ind w:firstLine="640"/>
        <w:jc w:val="left"/>
        <w:textAlignment w:val="auto"/>
        <w:rPr>
          <w:rFonts w:ascii="仿宋_GB2312;方正仿宋_GBK" w:hAnsi="仿宋_GB2312;方正仿宋_GBK" w:eastAsia="仿宋_GB2312;方正仿宋_GBK" w:cs="仿宋_GB2312;方正仿宋_GBK"/>
          <w:kern w:val="0"/>
          <w:sz w:val="32"/>
          <w:szCs w:val="32"/>
          <w:lang w:eastAsia="zh-CN"/>
        </w:rPr>
      </w:pPr>
      <w:r>
        <w:rPr>
          <w:rFonts w:ascii="仿宋_GB2312;方正仿宋_GBK" w:hAnsi="仿宋_GB2312;方正仿宋_GBK" w:cs="仿宋_GB2312;方正仿宋_GBK"/>
          <w:kern w:val="0"/>
          <w:sz w:val="32"/>
          <w:szCs w:val="32"/>
          <w:lang w:val="en-US" w:eastAsia="zh-CN"/>
        </w:rPr>
        <w:t>为进一步规范行政处罚裁量权行使，我局组织起草了</w:t>
      </w:r>
      <w:r>
        <w:rPr>
          <w:rFonts w:ascii="仿宋_GB2312;方正仿宋_GBK" w:hAnsi="仿宋_GB2312;方正仿宋_GBK" w:cs="仿宋_GB2312;方正仿宋_GBK"/>
          <w:kern w:val="0"/>
          <w:sz w:val="32"/>
          <w:szCs w:val="32"/>
        </w:rPr>
        <w:t>《河南省市场监督管理行政处罚裁量基准</w:t>
      </w:r>
      <w:r>
        <w:rPr>
          <w:rFonts w:ascii="仿宋_GB2312;方正仿宋_GBK" w:hAnsi="仿宋_GB2312;方正仿宋_GBK" w:cs="仿宋_GB2312;方正仿宋_GBK"/>
          <w:kern w:val="0"/>
          <w:sz w:val="32"/>
          <w:szCs w:val="32"/>
          <w:lang w:eastAsia="zh-CN"/>
        </w:rPr>
        <w:t>（</w:t>
      </w:r>
      <w:r>
        <w:rPr>
          <w:rFonts w:eastAsia="仿宋_GB2312;方正仿宋_GBK" w:cs="仿宋_GB2312;方正仿宋_GBK" w:ascii="仿宋_GB2312;方正仿宋_GBK" w:hAnsi="仿宋_GB2312;方正仿宋_GBK"/>
          <w:kern w:val="0"/>
          <w:sz w:val="32"/>
          <w:szCs w:val="32"/>
          <w:lang w:val="en-US" w:eastAsia="zh-CN"/>
        </w:rPr>
        <w:t>2025</w:t>
      </w:r>
      <w:r>
        <w:rPr>
          <w:rFonts w:ascii="仿宋_GB2312;方正仿宋_GBK" w:hAnsi="仿宋_GB2312;方正仿宋_GBK" w:cs="仿宋_GB2312;方正仿宋_GBK"/>
          <w:kern w:val="0"/>
          <w:sz w:val="32"/>
          <w:szCs w:val="32"/>
          <w:lang w:val="en-US" w:eastAsia="zh-CN"/>
        </w:rPr>
        <w:t>版</w:t>
      </w:r>
      <w:r>
        <w:rPr>
          <w:rFonts w:ascii="仿宋_GB2312;方正仿宋_GBK" w:hAnsi="仿宋_GB2312;方正仿宋_GBK" w:cs="仿宋_GB2312;方正仿宋_GBK"/>
          <w:kern w:val="0"/>
          <w:sz w:val="32"/>
          <w:szCs w:val="32"/>
          <w:lang w:eastAsia="zh-CN"/>
        </w:rPr>
        <w:t>）</w:t>
      </w:r>
      <w:r>
        <w:rPr>
          <w:rFonts w:ascii="仿宋_GB2312;方正仿宋_GBK" w:hAnsi="仿宋_GB2312;方正仿宋_GBK" w:cs="仿宋_GB2312;方正仿宋_GBK"/>
          <w:kern w:val="0"/>
          <w:sz w:val="32"/>
          <w:szCs w:val="32"/>
        </w:rPr>
        <w:t>修改单》</w:t>
      </w:r>
      <w:r>
        <w:rPr>
          <w:rFonts w:ascii="仿宋_GB2312;方正仿宋_GBK" w:hAnsi="仿宋_GB2312;方正仿宋_GBK" w:cs="仿宋_GB2312;方正仿宋_GBK"/>
          <w:kern w:val="0"/>
          <w:sz w:val="32"/>
          <w:szCs w:val="32"/>
          <w:lang w:val="en-US" w:eastAsia="zh-CN"/>
        </w:rPr>
        <w:t>（豫市监〔</w:t>
      </w:r>
      <w:r>
        <w:rPr>
          <w:rFonts w:eastAsia="仿宋_GB2312;方正仿宋_GBK" w:cs="仿宋_GB2312;方正仿宋_GBK" w:ascii="仿宋_GB2312;方正仿宋_GBK" w:hAnsi="仿宋_GB2312;方正仿宋_GBK"/>
          <w:kern w:val="0"/>
          <w:sz w:val="32"/>
          <w:szCs w:val="32"/>
          <w:lang w:val="en-US" w:eastAsia="zh-CN"/>
        </w:rPr>
        <w:t>2026</w:t>
      </w:r>
      <w:r>
        <w:rPr>
          <w:rFonts w:ascii="仿宋_GB2312;方正仿宋_GBK" w:hAnsi="仿宋_GB2312;方正仿宋_GBK" w:cs="仿宋_GB2312;方正仿宋_GBK"/>
          <w:kern w:val="0"/>
          <w:sz w:val="32"/>
          <w:szCs w:val="32"/>
          <w:lang w:val="en-US" w:eastAsia="zh-CN"/>
        </w:rPr>
        <w:t>〕</w:t>
      </w:r>
      <w:r>
        <w:rPr>
          <w:rFonts w:eastAsia="仿宋_GB2312;方正仿宋_GBK" w:cs="仿宋_GB2312;方正仿宋_GBK" w:ascii="仿宋_GB2312;方正仿宋_GBK" w:hAnsi="仿宋_GB2312;方正仿宋_GBK"/>
          <w:kern w:val="0"/>
          <w:sz w:val="32"/>
          <w:szCs w:val="32"/>
          <w:lang w:val="en-US" w:eastAsia="zh-CN"/>
        </w:rPr>
        <w:t>40</w:t>
      </w:r>
      <w:r>
        <w:rPr>
          <w:rFonts w:ascii="仿宋_GB2312;方正仿宋_GBK" w:hAnsi="仿宋_GB2312;方正仿宋_GBK" w:cs="仿宋_GB2312;方正仿宋_GBK"/>
          <w:kern w:val="0"/>
          <w:sz w:val="32"/>
          <w:szCs w:val="32"/>
          <w:lang w:val="en-US" w:eastAsia="zh-CN"/>
        </w:rPr>
        <w:t>号）</w:t>
      </w:r>
      <w:r>
        <w:rPr>
          <w:rFonts w:ascii="仿宋_GB2312;方正仿宋_GBK" w:hAnsi="仿宋_GB2312;方正仿宋_GBK" w:cs="仿宋_GB2312;方正仿宋_GBK"/>
          <w:kern w:val="0"/>
          <w:sz w:val="32"/>
          <w:szCs w:val="32"/>
          <w:lang w:eastAsia="zh-CN"/>
        </w:rPr>
        <w:t>（以下简称</w:t>
      </w:r>
      <w:r>
        <w:rPr>
          <w:rFonts w:ascii="仿宋_GB2312;方正仿宋_GBK" w:hAnsi="仿宋_GB2312;方正仿宋_GBK" w:cs="仿宋_GB2312;方正仿宋_GBK"/>
          <w:kern w:val="0"/>
          <w:sz w:val="32"/>
          <w:szCs w:val="32"/>
          <w:lang w:val="en"/>
        </w:rPr>
        <w:t>《裁量基准修改单》</w:t>
      </w:r>
      <w:r>
        <w:rPr>
          <w:rFonts w:ascii="仿宋_GB2312;方正仿宋_GBK" w:hAnsi="仿宋_GB2312;方正仿宋_GBK" w:cs="仿宋_GB2312;方正仿宋_GBK"/>
          <w:kern w:val="0"/>
          <w:sz w:val="32"/>
          <w:szCs w:val="32"/>
          <w:lang w:eastAsia="zh-CN"/>
        </w:rPr>
        <w:t>），</w:t>
      </w:r>
      <w:r>
        <w:rPr>
          <w:rFonts w:ascii="仿宋_GB2312;方正仿宋_GBK" w:hAnsi="仿宋_GB2312;方正仿宋_GBK" w:cs="仿宋_GB2312;方正仿宋_GBK"/>
          <w:kern w:val="0"/>
          <w:sz w:val="32"/>
          <w:szCs w:val="32"/>
          <w:lang w:val="en-US" w:eastAsia="zh-CN"/>
        </w:rPr>
        <w:t>现将</w:t>
      </w:r>
      <w:r>
        <w:rPr>
          <w:rFonts w:ascii="仿宋_GB2312;方正仿宋_GBK" w:hAnsi="仿宋_GB2312;方正仿宋_GBK" w:cs="仿宋_GB2312;方正仿宋_GBK"/>
          <w:kern w:val="0"/>
          <w:sz w:val="32"/>
          <w:szCs w:val="32"/>
          <w:lang w:val="en-US" w:eastAsia="zh-CN"/>
        </w:rPr>
        <w:t>相</w:t>
      </w:r>
      <w:r>
        <w:rPr>
          <w:rFonts w:ascii="仿宋_GB2312;方正仿宋_GBK" w:hAnsi="仿宋_GB2312;方正仿宋_GBK" w:cs="仿宋_GB2312;方正仿宋_GBK"/>
          <w:kern w:val="0"/>
          <w:sz w:val="32"/>
          <w:szCs w:val="32"/>
          <w:lang w:val="en-US" w:eastAsia="zh-CN"/>
        </w:rPr>
        <w:t>关内容解读如下：</w:t>
      </w:r>
    </w:p>
    <w:p>
      <w:pPr>
        <w:pStyle w:val="Normal"/>
        <w:keepNext w:val="false"/>
        <w:keepLines w:val="false"/>
        <w:pageBreakBefore w:val="false"/>
        <w:widowControl w:val="false"/>
        <w:kinsoku w:val="true"/>
        <w:autoSpaceDE w:val="true"/>
        <w:bidi w:val="0"/>
        <w:snapToGrid w:val="false"/>
        <w:spacing w:lineRule="exact" w:line="560"/>
        <w:ind w:firstLine="640"/>
        <w:jc w:val="left"/>
        <w:textAlignment w:val="auto"/>
        <w:rPr>
          <w:rFonts w:ascii="黑体;方正黑体_GBK" w:hAnsi="黑体;方正黑体_GBK" w:eastAsia="黑体;方正黑体_GBK" w:cs="黑体;方正黑体_GBK"/>
          <w:sz w:val="32"/>
          <w:szCs w:val="32"/>
        </w:rPr>
      </w:pPr>
      <w:r>
        <w:rPr>
          <w:rFonts w:ascii="黑体;方正黑体_GBK" w:hAnsi="黑体;方正黑体_GBK" w:cs="黑体;方正黑体_GBK" w:eastAsia="黑体;方正黑体_GBK"/>
          <w:sz w:val="32"/>
          <w:szCs w:val="32"/>
        </w:rPr>
        <w:t>一、</w:t>
      </w:r>
      <w:r>
        <w:rPr>
          <w:rFonts w:ascii="黑体;方正黑体_GBK" w:hAnsi="黑体;方正黑体_GBK" w:cs="黑体;方正黑体_GBK" w:eastAsia="黑体;方正黑体_GBK"/>
          <w:kern w:val="0"/>
          <w:sz w:val="32"/>
          <w:szCs w:val="32"/>
          <w:lang w:eastAsia="zh-CN"/>
        </w:rPr>
        <w:t>出台背景</w:t>
      </w:r>
    </w:p>
    <w:p>
      <w:pPr>
        <w:pStyle w:val="Normal"/>
        <w:keepNext w:val="false"/>
        <w:keepLines w:val="false"/>
        <w:pageBreakBefore w:val="false"/>
        <w:widowControl w:val="false"/>
        <w:kinsoku w:val="true"/>
        <w:autoSpaceDE w:val="true"/>
        <w:bidi w:val="0"/>
        <w:snapToGrid w:val="false"/>
        <w:spacing w:lineRule="exact" w:line="560"/>
        <w:ind w:firstLine="640"/>
        <w:textAlignment w:val="auto"/>
        <w:rPr>
          <w:rFonts w:ascii="仿宋_GB2312;方正仿宋_GBK" w:hAnsi="仿宋_GB2312;方正仿宋_GBK" w:eastAsia="仿宋_GB2312;方正仿宋_GBK" w:cs="仿宋_GB2312;方正仿宋_GBK"/>
        </w:rPr>
      </w:pPr>
      <w:r>
        <w:rPr>
          <w:rFonts w:ascii="仿宋_GB2312;方正仿宋_GBK" w:hAnsi="仿宋_GB2312;方正仿宋_GBK" w:cs="仿宋_GB2312;方正仿宋_GBK"/>
          <w:lang w:val="en"/>
        </w:rPr>
        <w:t>制定行政处罚裁量基准并适时更新，是规范行政处罚裁量权</w:t>
      </w:r>
      <w:r>
        <w:rPr>
          <w:rFonts w:ascii="仿宋_GB2312;方正仿宋_GBK" w:hAnsi="仿宋_GB2312;方正仿宋_GBK" w:cs="仿宋_GB2312;方正仿宋_GBK"/>
          <w:lang w:val="en" w:eastAsia="zh-CN"/>
        </w:rPr>
        <w:t>行使</w:t>
      </w:r>
      <w:r>
        <w:rPr>
          <w:rFonts w:ascii="仿宋_GB2312;方正仿宋_GBK" w:hAnsi="仿宋_GB2312;方正仿宋_GBK" w:cs="仿宋_GB2312;方正仿宋_GBK"/>
          <w:lang w:val="en"/>
        </w:rPr>
        <w:t>，实现严格规范公正文明执法的基础性工作，也是</w:t>
      </w:r>
      <w:r>
        <w:rPr>
          <w:rFonts w:ascii="仿宋_GB2312;方正仿宋_GBK" w:hAnsi="仿宋_GB2312;方正仿宋_GBK" w:cs="仿宋_GB2312;方正仿宋_GBK"/>
          <w:lang w:val="en" w:eastAsia="zh-CN"/>
        </w:rPr>
        <w:t>市场监管</w:t>
      </w:r>
      <w:r>
        <w:rPr>
          <w:rFonts w:ascii="仿宋_GB2312;方正仿宋_GBK" w:hAnsi="仿宋_GB2312;方正仿宋_GBK" w:cs="仿宋_GB2312;方正仿宋_GBK"/>
          <w:lang w:val="en"/>
        </w:rPr>
        <w:t>总局和省有关部门的要求。去年</w:t>
      </w:r>
      <w:r>
        <w:rPr>
          <w:rFonts w:cs="仿宋_GB2312;方正仿宋_GBK" w:ascii="仿宋_GB2312;方正仿宋_GBK" w:hAnsi="仿宋_GB2312;方正仿宋_GBK"/>
          <w:lang w:val="en-US" w:eastAsia="zh-CN"/>
        </w:rPr>
        <w:t>11</w:t>
      </w:r>
      <w:r>
        <w:rPr>
          <w:rFonts w:ascii="仿宋_GB2312;方正仿宋_GBK" w:hAnsi="仿宋_GB2312;方正仿宋_GBK" w:cs="仿宋_GB2312;方正仿宋_GBK"/>
          <w:lang w:val="en-US" w:eastAsia="zh-CN"/>
        </w:rPr>
        <w:t>月</w:t>
      </w:r>
      <w:r>
        <w:rPr>
          <w:rFonts w:ascii="仿宋_GB2312;方正仿宋_GBK" w:hAnsi="仿宋_GB2312;方正仿宋_GBK" w:cs="仿宋_GB2312;方正仿宋_GBK"/>
          <w:lang w:val="en"/>
        </w:rPr>
        <w:t>，</w:t>
      </w:r>
      <w:r>
        <w:rPr>
          <w:rFonts w:ascii="仿宋_GB2312;方正仿宋_GBK" w:hAnsi="仿宋_GB2312;方正仿宋_GBK" w:cs="仿宋_GB2312;方正仿宋_GBK"/>
          <w:lang w:val="en" w:eastAsia="zh-CN"/>
        </w:rPr>
        <w:t>省</w:t>
      </w:r>
      <w:r>
        <w:rPr>
          <w:rFonts w:ascii="仿宋_GB2312;方正仿宋_GBK" w:hAnsi="仿宋_GB2312;方正仿宋_GBK" w:cs="仿宋_GB2312;方正仿宋_GBK"/>
          <w:lang w:val="en"/>
        </w:rPr>
        <w:t>局制定</w:t>
      </w:r>
      <w:r>
        <w:rPr>
          <w:rFonts w:ascii="仿宋_GB2312;方正仿宋_GBK" w:hAnsi="仿宋_GB2312;方正仿宋_GBK" w:cs="仿宋_GB2312;方正仿宋_GBK"/>
        </w:rPr>
        <w:t>《河南省市场监督管理行政处罚裁量权适用通则</w:t>
      </w:r>
      <w:r>
        <w:rPr>
          <w:rFonts w:ascii="仿宋_GB2312;方正仿宋_GBK" w:hAnsi="仿宋_GB2312;方正仿宋_GBK" w:cs="仿宋_GB2312;方正仿宋_GBK"/>
          <w:lang w:eastAsia="zh-CN"/>
        </w:rPr>
        <w:t>》《</w:t>
      </w:r>
      <w:r>
        <w:rPr>
          <w:rFonts w:ascii="仿宋_GB2312;方正仿宋_GBK" w:hAnsi="仿宋_GB2312;方正仿宋_GBK" w:cs="仿宋_GB2312;方正仿宋_GBK"/>
        </w:rPr>
        <w:t>河南省市场监督管理行政处罚裁量基准（</w:t>
      </w:r>
      <w:r>
        <w:rPr>
          <w:rFonts w:eastAsia="仿宋_GB2312;方正仿宋_GBK" w:cs="仿宋_GB2312;方正仿宋_GBK" w:ascii="仿宋_GB2312;方正仿宋_GBK" w:hAnsi="仿宋_GB2312;方正仿宋_GBK"/>
        </w:rPr>
        <w:t>202</w:t>
      </w:r>
      <w:r>
        <w:rPr>
          <w:rFonts w:eastAsia="仿宋_GB2312;方正仿宋_GBK" w:cs="仿宋_GB2312;方正仿宋_GBK" w:ascii="仿宋_GB2312;方正仿宋_GBK" w:hAnsi="仿宋_GB2312;方正仿宋_GBK"/>
          <w:lang w:val="en-US" w:eastAsia="zh-CN"/>
        </w:rPr>
        <w:t>5</w:t>
      </w:r>
      <w:r>
        <w:rPr>
          <w:rFonts w:ascii="仿宋_GB2312;方正仿宋_GBK" w:hAnsi="仿宋_GB2312;方正仿宋_GBK" w:cs="仿宋_GB2312;方正仿宋_GBK"/>
        </w:rPr>
        <w:t>版）》。</w:t>
      </w:r>
      <w:r>
        <w:rPr>
          <w:rFonts w:ascii="仿宋_GB2312;方正仿宋_GBK" w:hAnsi="仿宋_GB2312;方正仿宋_GBK" w:cs="仿宋_GB2312;方正仿宋_GBK"/>
          <w:lang w:eastAsia="zh-CN"/>
        </w:rPr>
        <w:t>近</w:t>
      </w:r>
      <w:r>
        <w:rPr>
          <w:rFonts w:ascii="仿宋_GB2312;方正仿宋_GBK" w:hAnsi="仿宋_GB2312;方正仿宋_GBK" w:cs="仿宋_GB2312;方正仿宋_GBK"/>
        </w:rPr>
        <w:t>一年来，</w:t>
      </w:r>
      <w:r>
        <w:rPr>
          <w:rFonts w:ascii="仿宋_GB2312;方正仿宋_GBK" w:hAnsi="仿宋_GB2312;方正仿宋_GBK" w:cs="仿宋_GB2312;方正仿宋_GBK"/>
          <w:lang w:eastAsia="zh-CN"/>
        </w:rPr>
        <w:t>国家制修订生态环境法典、商标法等法律</w:t>
      </w:r>
      <w:r>
        <w:rPr>
          <w:rFonts w:eastAsia="仿宋_GB2312;方正仿宋_GBK" w:cs="仿宋_GB2312;方正仿宋_GBK" w:ascii="仿宋_GB2312;方正仿宋_GBK" w:hAnsi="仿宋_GB2312;方正仿宋_GBK"/>
          <w:lang w:val="en" w:eastAsia="zh-CN"/>
        </w:rPr>
        <w:t>,</w:t>
      </w:r>
      <w:r>
        <w:rPr>
          <w:rFonts w:ascii="仿宋_GB2312;方正仿宋_GBK" w:hAnsi="仿宋_GB2312;方正仿宋_GBK" w:cs="仿宋_GB2312;方正仿宋_GBK"/>
          <w:lang w:val="en" w:eastAsia="zh-CN"/>
        </w:rPr>
        <w:t>废止</w:t>
      </w:r>
      <w:r>
        <w:rPr>
          <w:rFonts w:ascii="仿宋_GB2312;方正仿宋_GBK" w:hAnsi="仿宋_GB2312;方正仿宋_GBK" w:cs="仿宋_GB2312;方正仿宋_GBK"/>
          <w:lang w:val="en-US" w:eastAsia="zh-CN"/>
        </w:rPr>
        <w:t>大气污染防治法、固体废物污染环境防治法等法律</w:t>
      </w:r>
      <w:r>
        <w:rPr>
          <w:rFonts w:ascii="仿宋_GB2312;方正仿宋_GBK" w:hAnsi="仿宋_GB2312;方正仿宋_GBK" w:cs="仿宋_GB2312;方正仿宋_GBK"/>
          <w:lang w:eastAsia="zh-CN"/>
        </w:rPr>
        <w:t>；省人大修订</w:t>
      </w:r>
      <w:r>
        <w:rPr>
          <w:rFonts w:ascii="仿宋_GB2312;方正仿宋_GBK" w:hAnsi="仿宋_GB2312;方正仿宋_GBK" w:cs="仿宋_GB2312;方正仿宋_GBK"/>
          <w:lang w:val="en-US" w:eastAsia="zh-CN"/>
        </w:rPr>
        <w:t>《河南省烟草专卖管理条例》</w:t>
      </w:r>
      <w:r>
        <w:rPr>
          <w:rFonts w:ascii="仿宋_GB2312;方正仿宋_GBK" w:hAnsi="仿宋_GB2312;方正仿宋_GBK" w:cs="仿宋_GB2312;方正仿宋_GBK"/>
          <w:lang w:val="en-US" w:eastAsia="zh-CN"/>
        </w:rPr>
        <w:t>《河南省优化营商环境条例》等</w:t>
      </w:r>
      <w:r>
        <w:rPr>
          <w:rFonts w:ascii="仿宋_GB2312;方正仿宋_GBK" w:hAnsi="仿宋_GB2312;方正仿宋_GBK" w:cs="仿宋_GB2312;方正仿宋_GBK"/>
          <w:lang w:val="en-US" w:eastAsia="zh-CN"/>
        </w:rPr>
        <w:t>涉及市</w:t>
      </w:r>
      <w:r>
        <w:rPr>
          <w:rFonts w:ascii="仿宋_GB2312;方正仿宋_GBK" w:hAnsi="仿宋_GB2312;方正仿宋_GBK" w:cs="仿宋_GB2312;方正仿宋_GBK"/>
          <w:lang w:eastAsia="zh-CN"/>
        </w:rPr>
        <w:t>场监管部门的地方性法规；</w:t>
      </w:r>
      <w:r>
        <w:rPr>
          <w:rFonts w:ascii="仿宋_GB2312;方正仿宋_GBK" w:hAnsi="仿宋_GB2312;方正仿宋_GBK" w:cs="仿宋_GB2312;方正仿宋_GBK"/>
        </w:rPr>
        <w:t>市场监管总局制修订</w:t>
      </w:r>
      <w:r>
        <w:rPr>
          <w:rFonts w:ascii="仿宋_GB2312;方正仿宋_GBK" w:hAnsi="仿宋_GB2312;方正仿宋_GBK" w:cs="仿宋_GB2312;方正仿宋_GBK"/>
          <w:lang w:eastAsia="zh-CN"/>
        </w:rPr>
        <w:t>《</w:t>
      </w:r>
      <w:r>
        <w:rPr>
          <w:rFonts w:ascii="仿宋_GB2312;方正仿宋_GBK" w:hAnsi="仿宋_GB2312;方正仿宋_GBK" w:cs="仿宋_GB2312;方正仿宋_GBK"/>
          <w:lang w:val="en" w:eastAsia="zh-CN"/>
        </w:rPr>
        <w:t>纤维制品质量监督管理办法</w:t>
      </w:r>
      <w:r>
        <w:rPr>
          <w:rFonts w:ascii="仿宋_GB2312;方正仿宋_GBK" w:hAnsi="仿宋_GB2312;方正仿宋_GBK" w:cs="仿宋_GB2312;方正仿宋_GBK"/>
          <w:lang w:eastAsia="zh-CN"/>
        </w:rPr>
        <w:t>》等</w:t>
      </w:r>
      <w:r>
        <w:rPr>
          <w:rFonts w:ascii="仿宋_GB2312;方正仿宋_GBK" w:hAnsi="仿宋_GB2312;方正仿宋_GBK" w:cs="仿宋_GB2312;方正仿宋_GBK"/>
          <w:lang w:val="en-US" w:eastAsia="zh-CN"/>
        </w:rPr>
        <w:t>部门规章，</w:t>
      </w:r>
      <w:r>
        <w:rPr>
          <w:rFonts w:ascii="仿宋_GB2312;方正仿宋_GBK" w:hAnsi="仿宋_GB2312;方正仿宋_GBK" w:cs="仿宋_GB2312;方正仿宋_GBK"/>
        </w:rPr>
        <w:t>有必要对行政处罚裁量基准（</w:t>
      </w:r>
      <w:r>
        <w:rPr>
          <w:rFonts w:eastAsia="仿宋_GB2312;方正仿宋_GBK" w:cs="仿宋_GB2312;方正仿宋_GBK" w:ascii="仿宋_GB2312;方正仿宋_GBK" w:hAnsi="仿宋_GB2312;方正仿宋_GBK"/>
        </w:rPr>
        <w:t>202</w:t>
      </w:r>
      <w:r>
        <w:rPr>
          <w:rFonts w:eastAsia="仿宋_GB2312;方正仿宋_GBK" w:cs="仿宋_GB2312;方正仿宋_GBK" w:ascii="仿宋_GB2312;方正仿宋_GBK" w:hAnsi="仿宋_GB2312;方正仿宋_GBK"/>
          <w:lang w:val="en-US" w:eastAsia="zh-CN"/>
        </w:rPr>
        <w:t>5</w:t>
      </w:r>
      <w:r>
        <w:rPr>
          <w:rFonts w:ascii="仿宋_GB2312;方正仿宋_GBK" w:hAnsi="仿宋_GB2312;方正仿宋_GBK" w:cs="仿宋_GB2312;方正仿宋_GBK"/>
        </w:rPr>
        <w:t>版）进行</w:t>
      </w:r>
      <w:r>
        <w:rPr>
          <w:rFonts w:ascii="仿宋_GB2312;方正仿宋_GBK" w:hAnsi="仿宋_GB2312;方正仿宋_GBK" w:cs="仿宋_GB2312;方正仿宋_GBK"/>
          <w:lang w:val="en"/>
        </w:rPr>
        <w:t>相应的修改完善，以保持其准确性和适用性。</w:t>
      </w:r>
    </w:p>
    <w:p>
      <w:pPr>
        <w:pStyle w:val="Normal"/>
        <w:keepNext w:val="false"/>
        <w:keepLines w:val="false"/>
        <w:pageBreakBefore w:val="false"/>
        <w:widowControl w:val="false"/>
        <w:numPr>
          <w:ilvl w:val="0"/>
          <w:numId w:val="1"/>
        </w:numPr>
        <w:kinsoku w:val="true"/>
        <w:overflowPunct w:val="false"/>
        <w:autoSpaceDE w:val="true"/>
        <w:bidi w:val="0"/>
        <w:snapToGrid w:val="false"/>
        <w:spacing w:lineRule="exact" w:line="560"/>
        <w:ind w:left="0" w:firstLine="640"/>
        <w:textAlignment w:val="auto"/>
        <w:rPr>
          <w:rFonts w:ascii="黑体;方正黑体_GBK" w:hAnsi="黑体;方正黑体_GBK" w:eastAsia="黑体;方正黑体_GBK" w:cs="黑体;方正黑体_GBK"/>
          <w:b w:val="false"/>
          <w:b w:val="false"/>
          <w:bCs w:val="false"/>
          <w:sz w:val="32"/>
          <w:szCs w:val="32"/>
          <w:lang w:val="en"/>
        </w:rPr>
      </w:pPr>
      <w:r>
        <w:rPr>
          <w:rFonts w:ascii="黑体;方正黑体_GBK" w:hAnsi="黑体;方正黑体_GBK" w:cs="黑体;方正黑体_GBK" w:eastAsia="黑体;方正黑体_GBK"/>
          <w:b w:val="false"/>
          <w:bCs w:val="false"/>
          <w:sz w:val="32"/>
          <w:szCs w:val="32"/>
          <w:lang w:val="en"/>
        </w:rPr>
        <w:t>起草过程</w:t>
      </w:r>
    </w:p>
    <w:p>
      <w:pPr>
        <w:pStyle w:val="Normal"/>
        <w:keepNext w:val="false"/>
        <w:keepLines w:val="false"/>
        <w:pageBreakBefore w:val="false"/>
        <w:widowControl/>
        <w:kinsoku w:val="true"/>
        <w:autoSpaceDE w:val="true"/>
        <w:bidi w:val="0"/>
        <w:snapToGrid w:val="false"/>
        <w:spacing w:lineRule="exact" w:line="560"/>
        <w:ind w:firstLine="640"/>
        <w:jc w:val="left"/>
        <w:textAlignment w:val="auto"/>
        <w:rPr>
          <w:rFonts w:ascii="仿宋_GB2312;方正仿宋_GBK" w:hAnsi="仿宋_GB2312;方正仿宋_GBK" w:eastAsia="仿宋_GB2312;方正仿宋_GBK" w:cs="仿宋_GB2312;方正仿宋_GBK"/>
          <w:kern w:val="0"/>
          <w:sz w:val="32"/>
          <w:szCs w:val="32"/>
          <w:lang w:val="en"/>
        </w:rPr>
      </w:pPr>
      <w:r>
        <w:rPr>
          <w:rFonts w:ascii="仿宋_GB2312;方正仿宋_GBK" w:hAnsi="仿宋_GB2312;方正仿宋_GBK" w:cs="仿宋_GB2312;方正仿宋_GBK"/>
          <w:kern w:val="0"/>
          <w:sz w:val="32"/>
          <w:szCs w:val="32"/>
          <w:lang w:val="en" w:eastAsia="zh-CN"/>
        </w:rPr>
        <w:t>我局</w:t>
      </w:r>
      <w:r>
        <w:rPr>
          <w:rFonts w:ascii="仿宋_GB2312;方正仿宋_GBK" w:hAnsi="仿宋_GB2312;方正仿宋_GBK" w:cs="仿宋_GB2312;方正仿宋_GBK"/>
          <w:kern w:val="0"/>
          <w:sz w:val="32"/>
          <w:szCs w:val="32"/>
          <w:lang w:val="en"/>
        </w:rPr>
        <w:t>于今年</w:t>
      </w:r>
      <w:r>
        <w:rPr>
          <w:rFonts w:eastAsia="仿宋_GB2312;方正仿宋_GBK" w:cs="仿宋_GB2312;方正仿宋_GBK" w:ascii="仿宋_GB2312;方正仿宋_GBK" w:hAnsi="仿宋_GB2312;方正仿宋_GBK"/>
          <w:kern w:val="0"/>
          <w:sz w:val="32"/>
          <w:szCs w:val="32"/>
          <w:lang w:val="en-US" w:eastAsia="zh-CN"/>
        </w:rPr>
        <w:t>5</w:t>
      </w:r>
      <w:r>
        <w:rPr>
          <w:rFonts w:ascii="仿宋_GB2312;方正仿宋_GBK" w:hAnsi="仿宋_GB2312;方正仿宋_GBK" w:cs="仿宋_GB2312;方正仿宋_GBK"/>
          <w:kern w:val="0"/>
          <w:sz w:val="32"/>
          <w:szCs w:val="32"/>
          <w:lang w:val="en"/>
        </w:rPr>
        <w:t>月</w:t>
      </w:r>
      <w:r>
        <w:rPr>
          <w:rFonts w:ascii="仿宋_GB2312;方正仿宋_GBK" w:hAnsi="仿宋_GB2312;方正仿宋_GBK" w:cs="仿宋_GB2312;方正仿宋_GBK"/>
          <w:kern w:val="0"/>
          <w:sz w:val="32"/>
          <w:szCs w:val="32"/>
          <w:lang w:val="en" w:eastAsia="zh-CN"/>
        </w:rPr>
        <w:t>初</w:t>
      </w:r>
      <w:r>
        <w:rPr>
          <w:rFonts w:ascii="仿宋_GB2312;方正仿宋_GBK" w:hAnsi="仿宋_GB2312;方正仿宋_GBK" w:cs="仿宋_GB2312;方正仿宋_GBK"/>
          <w:kern w:val="0"/>
          <w:sz w:val="32"/>
          <w:szCs w:val="32"/>
          <w:lang w:val="en"/>
        </w:rPr>
        <w:t>启动《裁量基准修改单》的起草工作，</w:t>
      </w:r>
      <w:r>
        <w:rPr>
          <w:rFonts w:ascii="仿宋_GB2312;方正仿宋_GBK" w:hAnsi="仿宋_GB2312;方正仿宋_GBK" w:cs="仿宋_GB2312;方正仿宋_GBK"/>
          <w:kern w:val="0"/>
          <w:sz w:val="32"/>
          <w:szCs w:val="32"/>
          <w:lang w:val="en" w:eastAsia="zh-CN"/>
        </w:rPr>
        <w:t>并</w:t>
      </w:r>
      <w:r>
        <w:rPr>
          <w:rFonts w:ascii="仿宋_GB2312;方正仿宋_GBK" w:hAnsi="仿宋_GB2312;方正仿宋_GBK" w:cs="仿宋_GB2312;方正仿宋_GBK"/>
          <w:kern w:val="0"/>
          <w:sz w:val="32"/>
          <w:szCs w:val="32"/>
          <w:lang w:val="en"/>
        </w:rPr>
        <w:t>于</w:t>
      </w:r>
      <w:r>
        <w:rPr>
          <w:rFonts w:cs="仿宋_GB2312;方正仿宋_GBK" w:ascii="仿宋_GB2312;方正仿宋_GBK" w:hAnsi="仿宋_GB2312;方正仿宋_GBK"/>
          <w:kern w:val="0"/>
          <w:sz w:val="32"/>
          <w:szCs w:val="32"/>
          <w:lang w:val="en-US" w:eastAsia="zh-CN"/>
        </w:rPr>
        <w:t>7</w:t>
      </w:r>
      <w:r>
        <w:rPr>
          <w:rFonts w:ascii="仿宋_GB2312;方正仿宋_GBK" w:hAnsi="仿宋_GB2312;方正仿宋_GBK" w:cs="仿宋_GB2312;方正仿宋_GBK"/>
          <w:kern w:val="0"/>
          <w:sz w:val="32"/>
          <w:szCs w:val="32"/>
          <w:lang w:val="en"/>
        </w:rPr>
        <w:t>月</w:t>
      </w:r>
      <w:r>
        <w:rPr>
          <w:rFonts w:ascii="仿宋_GB2312;方正仿宋_GBK" w:hAnsi="仿宋_GB2312;方正仿宋_GBK" w:cs="仿宋_GB2312;方正仿宋_GBK"/>
          <w:kern w:val="0"/>
          <w:sz w:val="32"/>
          <w:szCs w:val="32"/>
          <w:lang w:val="en" w:eastAsia="zh-CN"/>
        </w:rPr>
        <w:t>底征求</w:t>
      </w:r>
      <w:r>
        <w:rPr>
          <w:rFonts w:ascii="仿宋_GB2312;方正仿宋_GBK" w:hAnsi="仿宋_GB2312;方正仿宋_GBK" w:cs="仿宋_GB2312;方正仿宋_GBK"/>
          <w:kern w:val="0"/>
          <w:sz w:val="32"/>
          <w:szCs w:val="32"/>
          <w:lang w:val="en"/>
        </w:rPr>
        <w:t>各</w:t>
      </w:r>
      <w:r>
        <w:rPr>
          <w:rFonts w:ascii="仿宋_GB2312;方正仿宋_GBK" w:hAnsi="仿宋_GB2312;方正仿宋_GBK" w:cs="仿宋_GB2312;方正仿宋_GBK"/>
          <w:kern w:val="0"/>
          <w:sz w:val="32"/>
          <w:szCs w:val="32"/>
          <w:lang w:val="en" w:eastAsia="zh-CN"/>
        </w:rPr>
        <w:t>市级</w:t>
      </w:r>
      <w:r>
        <w:rPr>
          <w:rFonts w:ascii="仿宋_GB2312;方正仿宋_GBK" w:hAnsi="仿宋_GB2312;方正仿宋_GBK" w:cs="仿宋_GB2312;方正仿宋_GBK"/>
          <w:kern w:val="0"/>
          <w:sz w:val="32"/>
          <w:szCs w:val="32"/>
          <w:lang w:val="en"/>
        </w:rPr>
        <w:t>局</w:t>
      </w:r>
      <w:r>
        <w:rPr>
          <w:rFonts w:ascii="仿宋_GB2312;方正仿宋_GBK" w:hAnsi="仿宋_GB2312;方正仿宋_GBK" w:cs="仿宋_GB2312;方正仿宋_GBK"/>
          <w:kern w:val="0"/>
          <w:sz w:val="32"/>
          <w:szCs w:val="32"/>
          <w:lang w:val="en" w:eastAsia="zh-CN"/>
        </w:rPr>
        <w:t>、</w:t>
      </w:r>
      <w:r>
        <w:rPr>
          <w:rFonts w:ascii="仿宋_GB2312;方正仿宋_GBK" w:hAnsi="仿宋_GB2312;方正仿宋_GBK" w:cs="仿宋_GB2312;方正仿宋_GBK"/>
          <w:kern w:val="0"/>
          <w:sz w:val="32"/>
          <w:szCs w:val="32"/>
          <w:lang w:val="en"/>
        </w:rPr>
        <w:t>省局机关各处室</w:t>
      </w:r>
      <w:r>
        <w:rPr>
          <w:rFonts w:ascii="仿宋_GB2312;方正仿宋_GBK" w:hAnsi="仿宋_GB2312;方正仿宋_GBK" w:cs="仿宋_GB2312;方正仿宋_GBK"/>
          <w:kern w:val="0"/>
          <w:sz w:val="32"/>
          <w:szCs w:val="32"/>
          <w:lang w:val="en" w:eastAsia="zh-CN"/>
        </w:rPr>
        <w:t>意见。</w:t>
      </w:r>
      <w:r>
        <w:rPr>
          <w:rFonts w:ascii="仿宋_GB2312;方正仿宋_GBK" w:hAnsi="仿宋_GB2312;方正仿宋_GBK" w:cs="仿宋_GB2312;方正仿宋_GBK"/>
          <w:kern w:val="0"/>
          <w:sz w:val="32"/>
          <w:szCs w:val="32"/>
          <w:lang w:val="en-US" w:eastAsia="zh-CN"/>
        </w:rPr>
        <w:t>根据征求意见情况，对文件进行了修改完善</w:t>
      </w:r>
      <w:r>
        <w:rPr>
          <w:rFonts w:ascii="仿宋_GB2312;方正仿宋_GBK" w:hAnsi="仿宋_GB2312;方正仿宋_GBK" w:cs="仿宋_GB2312;方正仿宋_GBK"/>
          <w:kern w:val="0"/>
          <w:sz w:val="32"/>
          <w:szCs w:val="32"/>
          <w:lang w:val="en-US" w:eastAsia="zh-CN"/>
        </w:rPr>
        <w:t>，并</w:t>
      </w:r>
      <w:r>
        <w:rPr>
          <w:rFonts w:ascii="仿宋_GB2312;方正仿宋_GBK" w:hAnsi="仿宋_GB2312;方正仿宋_GBK" w:cs="仿宋_GB2312;方正仿宋_GBK"/>
          <w:kern w:val="0"/>
          <w:sz w:val="32"/>
          <w:szCs w:val="32"/>
          <w:lang w:val="en-US" w:eastAsia="zh-CN"/>
        </w:rPr>
        <w:t>于</w:t>
      </w:r>
      <w:r>
        <w:rPr>
          <w:rFonts w:eastAsia="仿宋_GB2312;方正仿宋_GBK" w:cs="仿宋_GB2312;方正仿宋_GBK" w:ascii="仿宋_GB2312;方正仿宋_GBK" w:hAnsi="仿宋_GB2312;方正仿宋_GBK"/>
          <w:kern w:val="0"/>
          <w:sz w:val="32"/>
          <w:szCs w:val="32"/>
          <w:lang w:val="en-US" w:eastAsia="zh-CN"/>
        </w:rPr>
        <w:t>9</w:t>
      </w:r>
      <w:r>
        <w:rPr>
          <w:rFonts w:ascii="仿宋_GB2312;方正仿宋_GBK" w:hAnsi="仿宋_GB2312;方正仿宋_GBK" w:cs="仿宋_GB2312;方正仿宋_GBK"/>
          <w:kern w:val="0"/>
          <w:sz w:val="32"/>
          <w:szCs w:val="32"/>
          <w:lang w:val="en-US" w:eastAsia="zh-CN"/>
        </w:rPr>
        <w:t>月份再次</w:t>
      </w:r>
      <w:r>
        <w:rPr>
          <w:rFonts w:ascii="仿宋_GB2312;方正仿宋_GBK" w:hAnsi="仿宋_GB2312;方正仿宋_GBK" w:cs="仿宋_GB2312;方正仿宋_GBK"/>
          <w:kern w:val="0"/>
          <w:sz w:val="32"/>
          <w:szCs w:val="32"/>
          <w:lang w:val="en" w:eastAsia="zh-CN"/>
        </w:rPr>
        <w:t>面向社会公开</w:t>
      </w:r>
      <w:r>
        <w:rPr>
          <w:rFonts w:ascii="仿宋_GB2312;方正仿宋_GBK" w:hAnsi="仿宋_GB2312;方正仿宋_GBK" w:cs="仿宋_GB2312;方正仿宋_GBK"/>
          <w:kern w:val="0"/>
          <w:sz w:val="32"/>
          <w:szCs w:val="32"/>
          <w:lang w:val="en-US" w:eastAsia="zh-CN"/>
        </w:rPr>
        <w:t>征求意见，再次进行修改完善。</w:t>
      </w:r>
    </w:p>
    <w:p>
      <w:pPr>
        <w:pStyle w:val="Normal"/>
        <w:keepNext w:val="false"/>
        <w:keepLines w:val="false"/>
        <w:pageBreakBefore w:val="false"/>
        <w:widowControl w:val="false"/>
        <w:numPr>
          <w:ilvl w:val="0"/>
          <w:numId w:val="1"/>
        </w:numPr>
        <w:kinsoku w:val="true"/>
        <w:autoSpaceDE w:val="true"/>
        <w:bidi w:val="0"/>
        <w:snapToGrid w:val="false"/>
        <w:spacing w:lineRule="exact" w:line="560"/>
        <w:ind w:left="0" w:firstLine="640"/>
        <w:textAlignment w:val="auto"/>
        <w:rPr>
          <w:rFonts w:ascii="黑体;方正黑体_GBK" w:hAnsi="黑体;方正黑体_GBK" w:eastAsia="黑体;方正黑体_GBK" w:cs="黑体;方正黑体_GBK"/>
          <w:b w:val="false"/>
          <w:b w:val="false"/>
          <w:bCs w:val="false"/>
          <w:sz w:val="32"/>
          <w:szCs w:val="32"/>
        </w:rPr>
      </w:pPr>
      <w:r>
        <w:rPr>
          <w:rFonts w:ascii="黑体;方正黑体_GBK" w:hAnsi="黑体;方正黑体_GBK" w:cs="黑体;方正黑体_GBK" w:eastAsia="黑体;方正黑体_GBK"/>
          <w:b w:val="false"/>
          <w:bCs w:val="false"/>
          <w:sz w:val="32"/>
          <w:szCs w:val="32"/>
        </w:rPr>
        <w:t>主要内容</w:t>
      </w:r>
    </w:p>
    <w:p>
      <w:pPr>
        <w:pStyle w:val="Normal"/>
        <w:keepNext w:val="false"/>
        <w:keepLines w:val="false"/>
        <w:pageBreakBefore w:val="false"/>
        <w:widowControl/>
        <w:numPr>
          <w:ilvl w:val="0"/>
          <w:numId w:val="0"/>
        </w:numPr>
        <w:kinsoku w:val="true"/>
        <w:overflowPunct w:val="true"/>
        <w:autoSpaceDE w:val="true"/>
        <w:bidi w:val="0"/>
        <w:snapToGrid w:val="false"/>
        <w:spacing w:lineRule="exact" w:line="560"/>
        <w:ind w:left="0" w:firstLine="640"/>
        <w:jc w:val="left"/>
        <w:textAlignment w:val="auto"/>
        <w:rPr>
          <w:rFonts w:ascii="仿宋_GB2312;方正仿宋_GBK" w:hAnsi="仿宋_GB2312;方正仿宋_GBK" w:eastAsia="仿宋_GB2312;方正仿宋_GBK" w:cs="仿宋_GB2312;方正仿宋_GBK"/>
          <w:kern w:val="0"/>
          <w:sz w:val="32"/>
          <w:szCs w:val="32"/>
          <w:lang w:val="en" w:eastAsia="zh-CN"/>
        </w:rPr>
      </w:pPr>
      <w:r>
        <w:rPr>
          <w:rFonts w:ascii="仿宋_GB2312;方正仿宋_GBK" w:hAnsi="仿宋_GB2312;方正仿宋_GBK" w:cs="仿宋_GB2312;方正仿宋_GBK"/>
          <w:b w:val="false"/>
          <w:bCs/>
          <w:kern w:val="0"/>
          <w:sz w:val="32"/>
          <w:szCs w:val="32"/>
          <w:lang w:val="en"/>
        </w:rPr>
        <w:t>对</w:t>
      </w:r>
      <w:r>
        <w:rPr>
          <w:rFonts w:eastAsia="仿宋_GB2312;方正仿宋_GBK" w:cs="仿宋_GB2312;方正仿宋_GBK" w:ascii="仿宋_GB2312;方正仿宋_GBK" w:hAnsi="仿宋_GB2312;方正仿宋_GBK"/>
          <w:b w:val="false"/>
          <w:bCs/>
          <w:kern w:val="0"/>
          <w:sz w:val="32"/>
          <w:szCs w:val="32"/>
          <w:lang w:val="en"/>
        </w:rPr>
        <w:t>202</w:t>
      </w:r>
      <w:r>
        <w:rPr>
          <w:rFonts w:eastAsia="仿宋_GB2312;方正仿宋_GBK" w:cs="仿宋_GB2312;方正仿宋_GBK" w:ascii="仿宋_GB2312;方正仿宋_GBK" w:hAnsi="仿宋_GB2312;方正仿宋_GBK"/>
          <w:b w:val="false"/>
          <w:bCs/>
          <w:kern w:val="0"/>
          <w:sz w:val="32"/>
          <w:szCs w:val="32"/>
          <w:lang w:val="en-US" w:eastAsia="zh-CN"/>
        </w:rPr>
        <w:t>5</w:t>
      </w:r>
      <w:r>
        <w:rPr>
          <w:rFonts w:ascii="仿宋_GB2312;方正仿宋_GBK" w:hAnsi="仿宋_GB2312;方正仿宋_GBK" w:cs="仿宋_GB2312;方正仿宋_GBK"/>
          <w:b w:val="false"/>
          <w:bCs/>
          <w:kern w:val="0"/>
          <w:sz w:val="32"/>
          <w:szCs w:val="32"/>
          <w:lang w:val="en"/>
        </w:rPr>
        <w:t>年</w:t>
      </w:r>
      <w:r>
        <w:rPr>
          <w:rFonts w:eastAsia="仿宋_GB2312;方正仿宋_GBK" w:cs="仿宋_GB2312;方正仿宋_GBK" w:ascii="仿宋_GB2312;方正仿宋_GBK" w:hAnsi="仿宋_GB2312;方正仿宋_GBK"/>
          <w:b w:val="false"/>
          <w:bCs/>
          <w:kern w:val="0"/>
          <w:sz w:val="32"/>
          <w:szCs w:val="32"/>
          <w:lang w:val="en"/>
        </w:rPr>
        <w:t>1</w:t>
      </w:r>
      <w:r>
        <w:rPr>
          <w:rFonts w:eastAsia="仿宋_GB2312;方正仿宋_GBK" w:cs="仿宋_GB2312;方正仿宋_GBK" w:ascii="仿宋_GB2312;方正仿宋_GBK" w:hAnsi="仿宋_GB2312;方正仿宋_GBK"/>
          <w:b w:val="false"/>
          <w:bCs/>
          <w:kern w:val="0"/>
          <w:sz w:val="32"/>
          <w:szCs w:val="32"/>
          <w:lang w:val="en-US" w:eastAsia="zh-CN"/>
        </w:rPr>
        <w:t>1</w:t>
      </w:r>
      <w:r>
        <w:rPr>
          <w:rFonts w:ascii="仿宋_GB2312;方正仿宋_GBK" w:hAnsi="仿宋_GB2312;方正仿宋_GBK" w:cs="仿宋_GB2312;方正仿宋_GBK"/>
          <w:b w:val="false"/>
          <w:bCs/>
          <w:kern w:val="0"/>
          <w:sz w:val="32"/>
          <w:szCs w:val="32"/>
          <w:lang w:val="en"/>
        </w:rPr>
        <w:t>月以来制修订的市场监管</w:t>
      </w:r>
      <w:r>
        <w:rPr>
          <w:rFonts w:ascii="仿宋_GB2312;方正仿宋_GBK" w:hAnsi="仿宋_GB2312;方正仿宋_GBK" w:cs="仿宋_GB2312;方正仿宋_GBK"/>
          <w:b w:val="false"/>
          <w:bCs/>
          <w:kern w:val="0"/>
          <w:sz w:val="32"/>
          <w:szCs w:val="32"/>
          <w:lang w:val="en" w:eastAsia="zh-CN"/>
        </w:rPr>
        <w:t>领域的法律</w:t>
      </w:r>
      <w:r>
        <w:rPr>
          <w:rFonts w:ascii="仿宋_GB2312;方正仿宋_GBK" w:hAnsi="仿宋_GB2312;方正仿宋_GBK" w:cs="仿宋_GB2312;方正仿宋_GBK"/>
          <w:b w:val="false"/>
          <w:bCs/>
          <w:kern w:val="0"/>
          <w:sz w:val="32"/>
          <w:szCs w:val="32"/>
          <w:lang w:val="en"/>
        </w:rPr>
        <w:t>尽可能纳入</w:t>
      </w:r>
      <w:r>
        <w:rPr>
          <w:rFonts w:ascii="仿宋_GB2312;方正仿宋_GBK" w:hAnsi="仿宋_GB2312;方正仿宋_GBK" w:cs="仿宋_GB2312;方正仿宋_GBK"/>
          <w:b w:val="false"/>
          <w:bCs/>
          <w:kern w:val="0"/>
          <w:sz w:val="32"/>
          <w:szCs w:val="32"/>
          <w:lang w:val="en" w:eastAsia="zh-CN"/>
        </w:rPr>
        <w:t>，</w:t>
      </w:r>
      <w:r>
        <w:rPr>
          <w:rFonts w:ascii="仿宋_GB2312;方正仿宋_GBK" w:hAnsi="仿宋_GB2312;方正仿宋_GBK" w:cs="仿宋_GB2312;方正仿宋_GBK"/>
          <w:b w:val="false"/>
          <w:bCs/>
          <w:w w:val="100"/>
          <w:kern w:val="2"/>
          <w:sz w:val="32"/>
          <w:szCs w:val="32"/>
          <w:lang w:val="en" w:eastAsia="zh-CN" w:bidi="ar-SA"/>
        </w:rPr>
        <w:t>现行</w:t>
      </w:r>
      <w:r>
        <w:rPr>
          <w:rFonts w:ascii="仿宋_GB2312;方正仿宋_GBK" w:hAnsi="仿宋_GB2312;方正仿宋_GBK" w:cs="仿宋_GB2312;方正仿宋_GBK"/>
          <w:b w:val="false"/>
          <w:bCs/>
          <w:kern w:val="0"/>
          <w:sz w:val="32"/>
          <w:szCs w:val="32"/>
          <w:lang w:val="en"/>
        </w:rPr>
        <w:t>《</w:t>
      </w:r>
      <w:r>
        <w:rPr>
          <w:rFonts w:ascii="仿宋_GB2312;方正仿宋_GBK" w:hAnsi="仿宋_GB2312;方正仿宋_GBK" w:cs="仿宋_GB2312;方正仿宋_GBK"/>
          <w:kern w:val="0"/>
          <w:sz w:val="32"/>
          <w:szCs w:val="32"/>
          <w:lang w:val="en" w:eastAsia="zh-CN"/>
        </w:rPr>
        <w:t>河南省市场监督管理</w:t>
      </w:r>
      <w:r>
        <w:rPr>
          <w:rFonts w:ascii="仿宋_GB2312;方正仿宋_GBK" w:hAnsi="仿宋_GB2312;方正仿宋_GBK" w:cs="仿宋_GB2312;方正仿宋_GBK"/>
          <w:b w:val="false"/>
          <w:bCs/>
          <w:kern w:val="0"/>
          <w:sz w:val="32"/>
          <w:szCs w:val="32"/>
          <w:lang w:val="en"/>
        </w:rPr>
        <w:t>行政处罚裁量权适用通则</w:t>
      </w:r>
      <w:r>
        <w:rPr>
          <w:rFonts w:ascii="仿宋_GB2312;方正仿宋_GBK" w:hAnsi="仿宋_GB2312;方正仿宋_GBK" w:cs="仿宋_GB2312;方正仿宋_GBK"/>
          <w:kern w:val="0"/>
          <w:sz w:val="32"/>
          <w:szCs w:val="32"/>
          <w:lang w:val="en"/>
        </w:rPr>
        <w:t>（</w:t>
      </w:r>
      <w:r>
        <w:rPr>
          <w:rFonts w:eastAsia="仿宋_GB2312;方正仿宋_GBK" w:cs="仿宋_GB2312;方正仿宋_GBK" w:ascii="仿宋_GB2312;方正仿宋_GBK" w:hAnsi="仿宋_GB2312;方正仿宋_GBK"/>
          <w:kern w:val="0"/>
          <w:sz w:val="32"/>
          <w:szCs w:val="32"/>
          <w:lang w:val="en"/>
        </w:rPr>
        <w:t>202</w:t>
      </w:r>
      <w:r>
        <w:rPr>
          <w:rFonts w:eastAsia="仿宋_GB2312;方正仿宋_GBK" w:cs="仿宋_GB2312;方正仿宋_GBK" w:ascii="仿宋_GB2312;方正仿宋_GBK" w:hAnsi="仿宋_GB2312;方正仿宋_GBK"/>
          <w:kern w:val="0"/>
          <w:sz w:val="32"/>
          <w:szCs w:val="32"/>
          <w:lang w:val="en-US" w:eastAsia="zh-CN"/>
        </w:rPr>
        <w:t>5</w:t>
      </w:r>
      <w:r>
        <w:rPr>
          <w:rFonts w:ascii="仿宋_GB2312;方正仿宋_GBK" w:hAnsi="仿宋_GB2312;方正仿宋_GBK" w:cs="仿宋_GB2312;方正仿宋_GBK"/>
          <w:kern w:val="0"/>
          <w:sz w:val="32"/>
          <w:szCs w:val="32"/>
          <w:lang w:val="en"/>
        </w:rPr>
        <w:t>版）</w:t>
      </w:r>
      <w:r>
        <w:rPr>
          <w:rFonts w:ascii="仿宋_GB2312;方正仿宋_GBK" w:hAnsi="仿宋_GB2312;方正仿宋_GBK" w:cs="仿宋_GB2312;方正仿宋_GBK"/>
          <w:b w:val="false"/>
          <w:bCs/>
          <w:kern w:val="0"/>
          <w:sz w:val="32"/>
          <w:szCs w:val="32"/>
          <w:lang w:val="en"/>
        </w:rPr>
        <w:t>》，</w:t>
      </w:r>
      <w:r>
        <w:rPr>
          <w:rFonts w:ascii="仿宋_GB2312;方正仿宋_GBK" w:hAnsi="仿宋_GB2312;方正仿宋_GBK" w:cs="仿宋_GB2312;方正仿宋_GBK"/>
          <w:b w:val="false"/>
          <w:bCs/>
          <w:kern w:val="0"/>
          <w:sz w:val="32"/>
          <w:szCs w:val="32"/>
          <w:lang w:val="en" w:eastAsia="zh-CN"/>
        </w:rPr>
        <w:t>充分</w:t>
      </w:r>
      <w:r>
        <w:rPr>
          <w:rFonts w:ascii="仿宋_GB2312;方正仿宋_GBK" w:hAnsi="仿宋_GB2312;方正仿宋_GBK" w:cs="仿宋_GB2312;方正仿宋_GBK"/>
          <w:b w:val="false"/>
          <w:bCs/>
          <w:kern w:val="0"/>
          <w:sz w:val="32"/>
          <w:szCs w:val="32"/>
          <w:lang w:val="en"/>
        </w:rPr>
        <w:t>体现行政处罚法最新要求，</w:t>
      </w:r>
      <w:r>
        <w:rPr>
          <w:rFonts w:ascii="仿宋_GB2312;方正仿宋_GBK" w:hAnsi="仿宋_GB2312;方正仿宋_GBK" w:cs="仿宋_GB2312;方正仿宋_GBK"/>
          <w:b w:val="false"/>
          <w:bCs/>
          <w:kern w:val="0"/>
          <w:sz w:val="32"/>
          <w:szCs w:val="32"/>
          <w:lang w:val="en" w:eastAsia="zh-CN"/>
        </w:rPr>
        <w:t>且</w:t>
      </w:r>
      <w:r>
        <w:rPr>
          <w:rFonts w:ascii="仿宋_GB2312;方正仿宋_GBK" w:hAnsi="仿宋_GB2312;方正仿宋_GBK" w:cs="仿宋_GB2312;方正仿宋_GBK"/>
          <w:b w:val="false"/>
          <w:bCs/>
          <w:kern w:val="0"/>
          <w:sz w:val="32"/>
          <w:szCs w:val="32"/>
          <w:lang w:val="en" w:eastAsia="zh-CN"/>
        </w:rPr>
        <w:t>市场监管</w:t>
      </w:r>
      <w:r>
        <w:rPr>
          <w:rFonts w:ascii="仿宋_GB2312;方正仿宋_GBK" w:hAnsi="仿宋_GB2312;方正仿宋_GBK" w:cs="仿宋_GB2312;方正仿宋_GBK"/>
          <w:b w:val="false"/>
          <w:bCs/>
          <w:kern w:val="0"/>
          <w:sz w:val="32"/>
          <w:szCs w:val="32"/>
          <w:lang w:val="en"/>
        </w:rPr>
        <w:t>总局</w:t>
      </w:r>
      <w:r>
        <w:rPr>
          <w:rFonts w:ascii="仿宋_GB2312;方正仿宋_GBK" w:hAnsi="仿宋_GB2312;方正仿宋_GBK" w:cs="仿宋_GB2312;方正仿宋_GBK"/>
          <w:b w:val="false"/>
          <w:bCs/>
          <w:kern w:val="0"/>
          <w:sz w:val="32"/>
          <w:szCs w:val="32"/>
          <w:lang w:val="en" w:eastAsia="zh-CN"/>
        </w:rPr>
        <w:t>正在制定</w:t>
      </w:r>
      <w:r>
        <w:rPr>
          <w:rFonts w:ascii="仿宋_GB2312;方正仿宋_GBK" w:hAnsi="仿宋_GB2312;方正仿宋_GBK" w:cs="仿宋_GB2312;方正仿宋_GBK"/>
          <w:b w:val="false"/>
          <w:bCs/>
          <w:kern w:val="0"/>
          <w:sz w:val="32"/>
          <w:szCs w:val="32"/>
          <w:lang w:val="en" w:eastAsia="zh-CN"/>
        </w:rPr>
        <w:t>部门规章</w:t>
      </w:r>
      <w:r>
        <w:rPr>
          <w:rFonts w:ascii="仿宋_GB2312;方正仿宋_GBK" w:hAnsi="仿宋_GB2312;方正仿宋_GBK" w:cs="仿宋_GB2312;方正仿宋_GBK"/>
          <w:b w:val="false"/>
          <w:bCs/>
          <w:kern w:val="0"/>
          <w:sz w:val="32"/>
          <w:szCs w:val="32"/>
          <w:lang w:val="en" w:eastAsia="zh-CN"/>
        </w:rPr>
        <w:t>《市场监督管理行政处罚裁量规定》，不再进行修改</w:t>
      </w:r>
      <w:r>
        <w:rPr>
          <w:rFonts w:ascii="仿宋_GB2312;方正仿宋_GBK" w:hAnsi="仿宋_GB2312;方正仿宋_GBK" w:cs="仿宋_GB2312;方正仿宋_GBK"/>
          <w:b w:val="false"/>
          <w:bCs/>
          <w:kern w:val="0"/>
          <w:sz w:val="32"/>
          <w:szCs w:val="32"/>
          <w:lang w:val="en"/>
        </w:rPr>
        <w:t>。</w:t>
      </w:r>
      <w:r>
        <w:rPr>
          <w:rFonts w:ascii="仿宋_GB2312;方正仿宋_GBK" w:hAnsi="仿宋_GB2312;方正仿宋_GBK" w:cs="仿宋_GB2312;方正仿宋_GBK"/>
          <w:b w:val="false"/>
          <w:bCs/>
          <w:kern w:val="0"/>
          <w:sz w:val="32"/>
          <w:szCs w:val="32"/>
          <w:lang w:val="en" w:eastAsia="zh-CN"/>
        </w:rPr>
        <w:t>另外，</w:t>
      </w:r>
      <w:r>
        <w:rPr>
          <w:rFonts w:ascii="仿宋_GB2312;方正仿宋_GBK" w:hAnsi="仿宋_GB2312;方正仿宋_GBK" w:cs="仿宋_GB2312;方正仿宋_GBK"/>
          <w:kern w:val="0"/>
          <w:sz w:val="32"/>
          <w:szCs w:val="32"/>
          <w:lang w:val="en"/>
        </w:rPr>
        <w:t>市场监管</w:t>
      </w:r>
      <w:r>
        <w:rPr>
          <w:rFonts w:ascii="仿宋_GB2312;方正仿宋_GBK" w:hAnsi="仿宋_GB2312;方正仿宋_GBK" w:cs="仿宋_GB2312;方正仿宋_GBK"/>
          <w:kern w:val="0"/>
          <w:sz w:val="32"/>
          <w:szCs w:val="32"/>
          <w:lang w:val="en" w:eastAsia="zh-CN"/>
        </w:rPr>
        <w:t>法律</w:t>
      </w:r>
      <w:r>
        <w:rPr>
          <w:rFonts w:ascii="仿宋_GB2312;方正仿宋_GBK" w:hAnsi="仿宋_GB2312;方正仿宋_GBK" w:cs="仿宋_GB2312;方正仿宋_GBK"/>
          <w:kern w:val="0"/>
          <w:sz w:val="32"/>
          <w:szCs w:val="32"/>
          <w:lang w:val="en"/>
        </w:rPr>
        <w:t>法规规章，尤其是部门规章，仍处于密集</w:t>
      </w:r>
      <w:r>
        <w:rPr>
          <w:rFonts w:ascii="仿宋_GB2312;方正仿宋_GBK" w:hAnsi="仿宋_GB2312;方正仿宋_GBK" w:cs="仿宋_GB2312;方正仿宋_GBK"/>
          <w:kern w:val="0"/>
          <w:sz w:val="32"/>
          <w:szCs w:val="32"/>
          <w:lang w:val="en" w:eastAsia="zh-CN"/>
        </w:rPr>
        <w:t>制</w:t>
      </w:r>
      <w:r>
        <w:rPr>
          <w:rFonts w:ascii="仿宋_GB2312;方正仿宋_GBK" w:hAnsi="仿宋_GB2312;方正仿宋_GBK" w:cs="仿宋_GB2312;方正仿宋_GBK"/>
          <w:kern w:val="0"/>
          <w:sz w:val="32"/>
          <w:szCs w:val="32"/>
          <w:lang w:val="en"/>
        </w:rPr>
        <w:t>修订期，为保障《</w:t>
      </w:r>
      <w:r>
        <w:rPr>
          <w:rFonts w:ascii="仿宋_GB2312;方正仿宋_GBK" w:hAnsi="仿宋_GB2312;方正仿宋_GBK" w:cs="仿宋_GB2312;方正仿宋_GBK"/>
          <w:kern w:val="0"/>
          <w:sz w:val="32"/>
          <w:szCs w:val="32"/>
          <w:lang w:val="en" w:eastAsia="zh-CN"/>
        </w:rPr>
        <w:t>河南省市场监督管理</w:t>
      </w:r>
      <w:r>
        <w:rPr>
          <w:rFonts w:ascii="仿宋_GB2312;方正仿宋_GBK" w:hAnsi="仿宋_GB2312;方正仿宋_GBK" w:cs="仿宋_GB2312;方正仿宋_GBK"/>
          <w:kern w:val="0"/>
          <w:sz w:val="32"/>
          <w:szCs w:val="32"/>
          <w:lang w:val="en"/>
        </w:rPr>
        <w:t>行政处罚裁量基准（</w:t>
      </w:r>
      <w:r>
        <w:rPr>
          <w:rFonts w:eastAsia="仿宋_GB2312;方正仿宋_GBK" w:cs="仿宋_GB2312;方正仿宋_GBK" w:ascii="仿宋_GB2312;方正仿宋_GBK" w:hAnsi="仿宋_GB2312;方正仿宋_GBK"/>
          <w:kern w:val="0"/>
          <w:sz w:val="32"/>
          <w:szCs w:val="32"/>
          <w:lang w:val="en"/>
        </w:rPr>
        <w:t>202</w:t>
      </w:r>
      <w:r>
        <w:rPr>
          <w:rFonts w:eastAsia="仿宋_GB2312;方正仿宋_GBK" w:cs="仿宋_GB2312;方正仿宋_GBK" w:ascii="仿宋_GB2312;方正仿宋_GBK" w:hAnsi="仿宋_GB2312;方正仿宋_GBK"/>
          <w:kern w:val="0"/>
          <w:sz w:val="32"/>
          <w:szCs w:val="32"/>
          <w:lang w:val="en-US" w:eastAsia="zh-CN"/>
        </w:rPr>
        <w:t>5</w:t>
      </w:r>
      <w:r>
        <w:rPr>
          <w:rFonts w:ascii="仿宋_GB2312;方正仿宋_GBK" w:hAnsi="仿宋_GB2312;方正仿宋_GBK" w:cs="仿宋_GB2312;方正仿宋_GBK"/>
          <w:kern w:val="0"/>
          <w:sz w:val="32"/>
          <w:szCs w:val="32"/>
          <w:lang w:val="en"/>
        </w:rPr>
        <w:t>版）》的稳定性和适用性，采用</w:t>
      </w:r>
      <w:r>
        <w:rPr>
          <w:rFonts w:ascii="仿宋_GB2312;方正仿宋_GBK" w:hAnsi="仿宋_GB2312;方正仿宋_GBK" w:cs="仿宋_GB2312;方正仿宋_GBK"/>
          <w:kern w:val="0"/>
          <w:sz w:val="32"/>
          <w:szCs w:val="32"/>
          <w:lang w:val="en" w:eastAsia="zh-CN"/>
        </w:rPr>
        <w:t>“</w:t>
      </w:r>
      <w:r>
        <w:rPr>
          <w:rFonts w:ascii="仿宋_GB2312;方正仿宋_GBK" w:hAnsi="仿宋_GB2312;方正仿宋_GBK" w:cs="仿宋_GB2312;方正仿宋_GBK"/>
          <w:kern w:val="0"/>
          <w:sz w:val="32"/>
          <w:szCs w:val="32"/>
          <w:lang w:val="en"/>
        </w:rPr>
        <w:t>修改单</w:t>
      </w:r>
      <w:r>
        <w:rPr>
          <w:rFonts w:ascii="仿宋_GB2312;方正仿宋_GBK" w:hAnsi="仿宋_GB2312;方正仿宋_GBK" w:cs="仿宋_GB2312;方正仿宋_GBK"/>
          <w:kern w:val="0"/>
          <w:sz w:val="32"/>
          <w:szCs w:val="32"/>
          <w:lang w:val="en" w:eastAsia="zh-CN"/>
        </w:rPr>
        <w:t>”</w:t>
      </w:r>
      <w:r>
        <w:rPr>
          <w:rFonts w:ascii="仿宋_GB2312;方正仿宋_GBK" w:hAnsi="仿宋_GB2312;方正仿宋_GBK" w:cs="仿宋_GB2312;方正仿宋_GBK"/>
          <w:kern w:val="0"/>
          <w:sz w:val="32"/>
          <w:szCs w:val="32"/>
          <w:lang w:val="en"/>
        </w:rPr>
        <w:t>的形式，对行政处罚裁量基准（</w:t>
      </w:r>
      <w:r>
        <w:rPr>
          <w:rFonts w:eastAsia="仿宋_GB2312;方正仿宋_GBK" w:cs="仿宋_GB2312;方正仿宋_GBK" w:ascii="仿宋_GB2312;方正仿宋_GBK" w:hAnsi="仿宋_GB2312;方正仿宋_GBK"/>
          <w:kern w:val="0"/>
          <w:sz w:val="32"/>
          <w:szCs w:val="32"/>
          <w:lang w:val="en"/>
        </w:rPr>
        <w:t>202</w:t>
      </w:r>
      <w:r>
        <w:rPr>
          <w:rFonts w:eastAsia="仿宋_GB2312;方正仿宋_GBK" w:cs="仿宋_GB2312;方正仿宋_GBK" w:ascii="仿宋_GB2312;方正仿宋_GBK" w:hAnsi="仿宋_GB2312;方正仿宋_GBK"/>
          <w:kern w:val="0"/>
          <w:sz w:val="32"/>
          <w:szCs w:val="32"/>
          <w:lang w:val="en-US" w:eastAsia="zh-CN"/>
        </w:rPr>
        <w:t>5</w:t>
      </w:r>
      <w:r>
        <w:rPr>
          <w:rFonts w:ascii="仿宋_GB2312;方正仿宋_GBK" w:hAnsi="仿宋_GB2312;方正仿宋_GBK" w:cs="仿宋_GB2312;方正仿宋_GBK"/>
          <w:kern w:val="0"/>
          <w:sz w:val="32"/>
          <w:szCs w:val="32"/>
          <w:lang w:val="en"/>
        </w:rPr>
        <w:t>版）予以调整</w:t>
      </w:r>
      <w:r>
        <w:rPr>
          <w:rFonts w:ascii="仿宋_GB2312;方正仿宋_GBK" w:hAnsi="仿宋_GB2312;方正仿宋_GBK" w:cs="仿宋_GB2312;方正仿宋_GBK"/>
          <w:kern w:val="0"/>
          <w:sz w:val="32"/>
          <w:szCs w:val="32"/>
          <w:lang w:val="en" w:eastAsia="zh-CN"/>
        </w:rPr>
        <w:t>。</w:t>
      </w:r>
      <w:r>
        <w:rPr>
          <w:rFonts w:ascii="仿宋_GB2312;方正仿宋_GBK" w:hAnsi="仿宋_GB2312;方正仿宋_GBK" w:cs="仿宋_GB2312;方正仿宋_GBK"/>
          <w:kern w:val="0"/>
          <w:sz w:val="32"/>
          <w:szCs w:val="32"/>
          <w:lang w:val="en" w:eastAsia="zh-CN"/>
        </w:rPr>
        <w:t>具体内容为：</w:t>
      </w:r>
    </w:p>
    <w:p>
      <w:pPr>
        <w:pStyle w:val="Normal"/>
        <w:keepNext w:val="false"/>
        <w:keepLines w:val="false"/>
        <w:pageBreakBefore w:val="false"/>
        <w:widowControl w:val="false"/>
        <w:numPr>
          <w:ilvl w:val="0"/>
          <w:numId w:val="0"/>
        </w:numPr>
        <w:kinsoku w:val="true"/>
        <w:overflowPunct w:val="false"/>
        <w:autoSpaceDE w:val="true"/>
        <w:bidi w:val="0"/>
        <w:snapToGrid w:val="false"/>
        <w:spacing w:lineRule="exact" w:line="560"/>
        <w:ind w:left="0" w:firstLine="640"/>
        <w:jc w:val="both"/>
        <w:textAlignment w:val="auto"/>
        <w:rPr>
          <w:rFonts w:ascii="仿宋_GB2312;方正仿宋_GBK" w:hAnsi="仿宋_GB2312;方正仿宋_GBK" w:eastAsia="仿宋_GB2312;方正仿宋_GBK" w:cs="仿宋_GB2312;方正仿宋_GBK"/>
          <w:color w:val="000000"/>
          <w:w w:val="100"/>
          <w:kern w:val="2"/>
          <w:sz w:val="32"/>
          <w:szCs w:val="32"/>
          <w:lang w:val="en-US" w:eastAsia="zh-CN" w:bidi="ar-SA"/>
        </w:rPr>
      </w:pPr>
      <w:r>
        <w:rPr>
          <w:rFonts w:cs="仿宋_GB2312;方正仿宋_GBK" w:ascii="仿宋_GB2312;方正仿宋_GBK" w:hAnsi="仿宋_GB2312;方正仿宋_GBK"/>
          <w:color w:val="000000"/>
          <w:w w:val="100"/>
          <w:kern w:val="2"/>
          <w:sz w:val="32"/>
          <w:szCs w:val="32"/>
          <w:lang w:val="en-US" w:eastAsia="zh-CN" w:bidi="ar-SA"/>
        </w:rPr>
        <w:t>1.</w:t>
      </w:r>
      <w:r>
        <w:rPr>
          <w:rFonts w:ascii="仿宋_GB2312;方正仿宋_GBK" w:hAnsi="仿宋_GB2312;方正仿宋_GBK" w:cs="仿宋_GB2312;方正仿宋_GBK"/>
          <w:color w:val="000000"/>
          <w:w w:val="100"/>
          <w:kern w:val="2"/>
          <w:sz w:val="32"/>
          <w:szCs w:val="32"/>
          <w:lang w:val="en-US" w:eastAsia="zh-CN" w:bidi="ar-SA"/>
        </w:rPr>
        <w:t>根据法律、规章修改情况，修改《中华人民共和国商标法</w:t>
      </w:r>
      <w:r>
        <w:rPr>
          <w:rFonts w:ascii="仿宋_GB2312;方正仿宋_GBK" w:hAnsi="仿宋_GB2312;方正仿宋_GBK" w:cs="仿宋_GB2312;方正仿宋_GBK"/>
          <w:color w:val="000000"/>
          <w:w w:val="100"/>
          <w:kern w:val="2"/>
          <w:sz w:val="32"/>
          <w:szCs w:val="32"/>
          <w:lang w:val="en" w:eastAsia="zh-CN" w:bidi="ar-SA"/>
        </w:rPr>
        <w:t>行政处罚裁量基准</w:t>
      </w:r>
      <w:r>
        <w:rPr>
          <w:rFonts w:ascii="仿宋_GB2312;方正仿宋_GBK" w:hAnsi="仿宋_GB2312;方正仿宋_GBK" w:cs="仿宋_GB2312;方正仿宋_GBK"/>
          <w:color w:val="000000"/>
          <w:w w:val="100"/>
          <w:kern w:val="2"/>
          <w:sz w:val="32"/>
          <w:szCs w:val="32"/>
          <w:lang w:val="en-US" w:eastAsia="zh-CN" w:bidi="ar-SA"/>
        </w:rPr>
        <w:t>》《</w:t>
      </w:r>
      <w:r>
        <w:rPr>
          <w:rFonts w:ascii="仿宋_GB2312;方正仿宋_GBK" w:hAnsi="仿宋_GB2312;方正仿宋_GBK" w:cs="仿宋_GB2312;方正仿宋_GBK"/>
          <w:color w:val="000000"/>
          <w:w w:val="100"/>
          <w:kern w:val="2"/>
          <w:sz w:val="32"/>
          <w:szCs w:val="32"/>
          <w:lang w:val="en" w:eastAsia="zh-CN" w:bidi="ar-SA"/>
        </w:rPr>
        <w:t>纤维制品质量监督管理办法行政处罚裁量基准</w:t>
      </w:r>
      <w:r>
        <w:rPr>
          <w:rFonts w:ascii="仿宋_GB2312;方正仿宋_GBK" w:hAnsi="仿宋_GB2312;方正仿宋_GBK" w:cs="仿宋_GB2312;方正仿宋_GBK"/>
          <w:color w:val="000000"/>
          <w:w w:val="100"/>
          <w:kern w:val="2"/>
          <w:sz w:val="32"/>
          <w:szCs w:val="32"/>
          <w:lang w:val="en-US" w:eastAsia="zh-CN" w:bidi="ar-SA"/>
        </w:rPr>
        <w:t>》《商品条码管理办法行政处罚裁量基准》《食品召回管理办法行政处罚裁量基准》。</w:t>
      </w:r>
    </w:p>
    <w:p>
      <w:pPr>
        <w:pStyle w:val="Normal"/>
        <w:keepNext w:val="false"/>
        <w:keepLines w:val="false"/>
        <w:pageBreakBefore w:val="false"/>
        <w:widowControl w:val="false"/>
        <w:numPr>
          <w:ilvl w:val="0"/>
          <w:numId w:val="0"/>
        </w:numPr>
        <w:kinsoku w:val="true"/>
        <w:overflowPunct w:val="false"/>
        <w:autoSpaceDE w:val="true"/>
        <w:bidi w:val="0"/>
        <w:snapToGrid w:val="false"/>
        <w:spacing w:lineRule="exact" w:line="560"/>
        <w:ind w:left="0" w:firstLine="640"/>
        <w:jc w:val="both"/>
        <w:textAlignment w:val="auto"/>
        <w:rPr>
          <w:rFonts w:ascii="仿宋_GB2312;方正仿宋_GBK" w:hAnsi="仿宋_GB2312;方正仿宋_GBK" w:eastAsia="仿宋_GB2312;方正仿宋_GBK" w:cs="仿宋_GB2312;方正仿宋_GBK"/>
          <w:color w:val="000000"/>
          <w:w w:val="100"/>
          <w:kern w:val="2"/>
          <w:sz w:val="32"/>
          <w:szCs w:val="32"/>
          <w:lang w:val="en-US" w:eastAsia="zh-CN" w:bidi="ar-SA"/>
        </w:rPr>
      </w:pPr>
      <w:r>
        <w:rPr>
          <w:rFonts w:cs="仿宋_GB2312;方正仿宋_GBK" w:ascii="仿宋_GB2312;方正仿宋_GBK" w:hAnsi="仿宋_GB2312;方正仿宋_GBK"/>
          <w:color w:val="000000"/>
          <w:w w:val="100"/>
          <w:kern w:val="2"/>
          <w:sz w:val="32"/>
          <w:szCs w:val="32"/>
          <w:lang w:val="en-US" w:eastAsia="zh-CN" w:bidi="ar-SA"/>
        </w:rPr>
        <w:t>2.</w:t>
      </w:r>
      <w:r>
        <w:rPr>
          <w:rFonts w:ascii="仿宋_GB2312;方正仿宋_GBK" w:hAnsi="仿宋_GB2312;方正仿宋_GBK" w:cs="仿宋_GB2312;方正仿宋_GBK"/>
          <w:color w:val="000000"/>
          <w:w w:val="100"/>
          <w:kern w:val="2"/>
          <w:sz w:val="32"/>
          <w:szCs w:val="32"/>
          <w:lang w:val="en-US" w:eastAsia="zh-CN" w:bidi="ar-SA"/>
        </w:rPr>
        <w:t>根据法律、规章制定情况，增加《中华人民共和国生态环境法典行政处罚裁量基准》《组织机构统一社会信用代码管理办法行政处罚裁量基准》《直播电商监督管理办法行政处罚裁量基准》《网络交易平台规则监督管理办法行政处罚裁量基准》《网络销售重点工业产品质量安全监督管理规定行政处罚裁量基准》《直播电商经营者落实食品安全主体责任监督管理规定行政处罚裁量基准》《网络餐饮服务经营者落实食品安全主体责任监督管理规定行政处罚裁量基准》《网络食品销售经营者落实食品安全主体责任监督管理规定行政处罚裁量基准》《食品销售连锁企业落实食品安全主体责任监督管理规定行政处罚裁量基准》《食品委托生产监督管理办法行政处罚裁量基准》《重点液态食品道路散装运输准运管理办法行政处罚裁量基准》。</w:t>
      </w:r>
    </w:p>
    <w:p>
      <w:pPr>
        <w:pStyle w:val="2"/>
        <w:keepNext w:val="false"/>
        <w:keepLines w:val="false"/>
        <w:pageBreakBefore w:val="false"/>
        <w:widowControl w:val="false"/>
        <w:kinsoku w:val="true"/>
        <w:overflowPunct w:val="false"/>
        <w:autoSpaceDE w:val="true"/>
        <w:bidi w:val="0"/>
        <w:snapToGrid w:val="false"/>
        <w:spacing w:lineRule="exact" w:line="560" w:before="0" w:after="0"/>
        <w:ind w:left="0" w:firstLine="640"/>
        <w:jc w:val="both"/>
        <w:textAlignment w:val="auto"/>
        <w:rPr>
          <w:rFonts w:ascii="仿宋_GB2312;方正仿宋_GBK" w:hAnsi="仿宋_GB2312;方正仿宋_GBK" w:eastAsia="仿宋_GB2312;方正仿宋_GBK" w:cs="仿宋_GB2312;方正仿宋_GBK"/>
          <w:color w:val="000000"/>
          <w:w w:val="100"/>
          <w:kern w:val="2"/>
          <w:sz w:val="32"/>
          <w:szCs w:val="32"/>
          <w:lang w:val="en-US" w:eastAsia="zh-CN" w:bidi="ar-SA"/>
        </w:rPr>
      </w:pPr>
      <w:r>
        <w:rPr>
          <w:rFonts w:eastAsia="仿宋_GB2312;方正仿宋_GBK" w:cs="仿宋_GB2312;方正仿宋_GBK" w:ascii="仿宋_GB2312;方正仿宋_GBK" w:hAnsi="仿宋_GB2312;方正仿宋_GBK"/>
          <w:color w:val="000000"/>
          <w:w w:val="100"/>
          <w:kern w:val="2"/>
          <w:sz w:val="32"/>
          <w:szCs w:val="32"/>
          <w:lang w:val="en-US" w:eastAsia="zh-CN" w:bidi="ar-SA"/>
        </w:rPr>
        <w:t>3.</w:t>
      </w:r>
      <w:r>
        <w:rPr>
          <w:rFonts w:ascii="仿宋_GB2312;方正仿宋_GBK" w:hAnsi="仿宋_GB2312;方正仿宋_GBK" w:cs="仿宋_GB2312;方正仿宋_GBK" w:eastAsia="仿宋_GB2312;方正仿宋_GBK"/>
          <w:color w:val="000000"/>
          <w:w w:val="100"/>
          <w:kern w:val="2"/>
          <w:sz w:val="32"/>
          <w:szCs w:val="32"/>
          <w:lang w:val="en-US" w:eastAsia="zh-CN" w:bidi="ar-SA"/>
        </w:rPr>
        <w:t>根据法律废止情况，废止《中华人民共和国大气污染防治法行政处罚裁量基准》《中华人民共和国固体废物污染环境防治法行政处罚裁量基准》。</w:t>
      </w:r>
    </w:p>
    <w:p>
      <w:pPr>
        <w:pStyle w:val="2"/>
        <w:keepNext w:val="false"/>
        <w:keepLines w:val="false"/>
        <w:pageBreakBefore w:val="false"/>
        <w:widowControl w:val="false"/>
        <w:kinsoku w:val="true"/>
        <w:overflowPunct w:val="false"/>
        <w:autoSpaceDE w:val="true"/>
        <w:bidi w:val="0"/>
        <w:snapToGrid w:val="false"/>
        <w:spacing w:lineRule="exact" w:line="560" w:before="0" w:after="0"/>
        <w:ind w:left="0" w:firstLine="640"/>
        <w:jc w:val="both"/>
        <w:textAlignment w:val="auto"/>
        <w:rPr>
          <w:rFonts w:ascii="仿宋_GB2312;方正仿宋_GBK" w:hAnsi="仿宋_GB2312;方正仿宋_GBK" w:eastAsia="仿宋_GB2312;方正仿宋_GBK" w:cs="仿宋_GB2312;方正仿宋_GBK"/>
          <w:color w:val="000000"/>
          <w:w w:val="100"/>
          <w:kern w:val="2"/>
          <w:sz w:val="32"/>
          <w:szCs w:val="32"/>
          <w:lang w:val="en-US" w:eastAsia="zh-CN" w:bidi="ar-SA"/>
        </w:rPr>
      </w:pPr>
      <w:r>
        <w:rPr>
          <w:rFonts w:eastAsia="仿宋_GB2312;方正仿宋_GBK" w:cs="仿宋_GB2312;方正仿宋_GBK" w:ascii="仿宋_GB2312;方正仿宋_GBK" w:hAnsi="仿宋_GB2312;方正仿宋_GBK"/>
          <w:color w:val="000000"/>
          <w:w w:val="100"/>
          <w:kern w:val="2"/>
          <w:sz w:val="32"/>
          <w:szCs w:val="32"/>
          <w:lang w:val="en-US" w:eastAsia="zh-CN" w:bidi="ar-SA"/>
        </w:rPr>
        <w:t>4.</w:t>
      </w:r>
      <w:r>
        <w:rPr>
          <w:rFonts w:ascii="仿宋_GB2312;方正仿宋_GBK" w:hAnsi="仿宋_GB2312;方正仿宋_GBK" w:cs="仿宋_GB2312;方正仿宋_GBK" w:eastAsia="仿宋_GB2312;方正仿宋_GBK"/>
          <w:color w:val="000000"/>
          <w:w w:val="100"/>
          <w:kern w:val="2"/>
          <w:sz w:val="32"/>
          <w:szCs w:val="32"/>
          <w:lang w:val="en-US" w:eastAsia="zh-CN" w:bidi="ar-SA"/>
        </w:rPr>
        <w:t>根据地方性法规修订情况，增加《河南省烟草专卖管理条例行政处罚裁量基准》，废止《河南省优化营商环境条例行政处罚裁量基准》。</w:t>
      </w:r>
    </w:p>
    <w:p>
      <w:pPr>
        <w:pStyle w:val="2"/>
        <w:keepNext w:val="false"/>
        <w:keepLines w:val="false"/>
        <w:pageBreakBefore w:val="false"/>
        <w:widowControl w:val="false"/>
        <w:kinsoku w:val="true"/>
        <w:overflowPunct w:val="false"/>
        <w:autoSpaceDE w:val="true"/>
        <w:bidi w:val="0"/>
        <w:snapToGrid w:val="false"/>
        <w:spacing w:lineRule="exact" w:line="560" w:before="0" w:after="0"/>
        <w:ind w:left="0" w:firstLine="640"/>
        <w:jc w:val="both"/>
        <w:textAlignment w:val="auto"/>
        <w:rPr>
          <w:rFonts w:ascii="仿宋_GB2312;方正仿宋_GBK" w:hAnsi="仿宋_GB2312;方正仿宋_GBK" w:eastAsia="仿宋_GB2312;方正仿宋_GBK" w:cs="仿宋_GB2312;方正仿宋_GBK"/>
          <w:kern w:val="0"/>
          <w:sz w:val="32"/>
          <w:szCs w:val="32"/>
          <w:lang w:val="en"/>
        </w:rPr>
      </w:pPr>
      <w:r>
        <w:rPr>
          <w:rFonts w:eastAsia="仿宋_GB2312;方正仿宋_GBK" w:cs="仿宋_GB2312;方正仿宋_GBK" w:ascii="仿宋_GB2312;方正仿宋_GBK" w:hAnsi="仿宋_GB2312;方正仿宋_GBK"/>
          <w:color w:val="000000"/>
          <w:w w:val="100"/>
          <w:kern w:val="2"/>
          <w:sz w:val="32"/>
          <w:szCs w:val="32"/>
          <w:lang w:val="en-US" w:eastAsia="zh-CN" w:bidi="ar-SA"/>
        </w:rPr>
        <w:t>5.</w:t>
      </w:r>
      <w:r>
        <w:rPr>
          <w:rFonts w:ascii="仿宋_GB2312;方正仿宋_GBK" w:hAnsi="仿宋_GB2312;方正仿宋_GBK" w:cs="仿宋_GB2312;方正仿宋_GBK" w:eastAsia="仿宋_GB2312;方正仿宋_GBK"/>
          <w:color w:val="000000"/>
          <w:w w:val="100"/>
          <w:kern w:val="2"/>
          <w:sz w:val="32"/>
          <w:szCs w:val="32"/>
          <w:lang w:val="en-US" w:eastAsia="zh-CN" w:bidi="ar-SA"/>
        </w:rPr>
        <w:t>根据执法工作需要，增加《商用密码管理条例行政处罚裁量基准》，废止《中华人民共和国烟草专卖法实施条例行政处罚裁量基准》。</w:t>
      </w:r>
    </w:p>
    <w:p>
      <w:pPr>
        <w:pStyle w:val="Normal"/>
        <w:keepNext w:val="false"/>
        <w:keepLines w:val="false"/>
        <w:pageBreakBefore w:val="false"/>
        <w:widowControl w:val="false"/>
        <w:kinsoku w:val="true"/>
        <w:autoSpaceDE w:val="true"/>
        <w:bidi w:val="0"/>
        <w:snapToGrid w:val="false"/>
        <w:spacing w:lineRule="exact" w:line="560"/>
        <w:ind w:firstLine="630"/>
        <w:textAlignment w:val="auto"/>
        <w:rPr>
          <w:rFonts w:ascii="仿宋_GB2312;方正仿宋_GBK" w:hAnsi="仿宋_GB2312;方正仿宋_GBK" w:eastAsia="仿宋_GB2312;方正仿宋_GBK" w:cs="仿宋_GB2312;方正仿宋_GBK"/>
          <w:sz w:val="32"/>
          <w:szCs w:val="32"/>
        </w:rPr>
      </w:pPr>
      <w:r>
        <w:rPr>
          <w:rFonts w:ascii="仿宋_GB2312;方正仿宋_GBK" w:hAnsi="仿宋_GB2312;方正仿宋_GBK" w:cs="仿宋_GB2312;方正仿宋_GBK"/>
          <w:color w:val="000000"/>
          <w:w w:val="100"/>
          <w:kern w:val="2"/>
          <w:sz w:val="32"/>
          <w:szCs w:val="32"/>
          <w:lang w:val="en-US" w:eastAsia="zh-CN" w:bidi="ar-SA"/>
        </w:rPr>
        <w:t>下一步，将按照统一</w:t>
      </w:r>
      <w:r>
        <w:rPr>
          <w:rFonts w:ascii="仿宋_GB2312;方正仿宋_GBK" w:hAnsi="仿宋_GB2312;方正仿宋_GBK" w:cs="仿宋_GB2312;方正仿宋_GBK"/>
          <w:kern w:val="0"/>
          <w:sz w:val="32"/>
          <w:szCs w:val="32"/>
          <w:lang w:eastAsia="zh-CN"/>
        </w:rPr>
        <w:t>监管执法规则的相关要求</w:t>
      </w:r>
      <w:r>
        <w:rPr>
          <w:rFonts w:ascii="仿宋_GB2312;方正仿宋_GBK" w:hAnsi="仿宋_GB2312;方正仿宋_GBK" w:cs="仿宋_GB2312;方正仿宋_GBK"/>
          <w:kern w:val="0"/>
          <w:sz w:val="32"/>
          <w:szCs w:val="32"/>
        </w:rPr>
        <w:t>，对行政处罚裁量基准实施情况进行跟踪评估。同时，结合法律法规规章的立改废情况，对裁量基准内容</w:t>
      </w:r>
      <w:r>
        <w:rPr>
          <w:rFonts w:ascii="仿宋_GB2312;方正仿宋_GBK" w:hAnsi="仿宋_GB2312;方正仿宋_GBK" w:cs="仿宋_GB2312;方正仿宋_GBK"/>
          <w:kern w:val="0"/>
          <w:sz w:val="32"/>
          <w:szCs w:val="32"/>
          <w:lang w:eastAsia="zh-CN"/>
        </w:rPr>
        <w:t>进行动态</w:t>
      </w:r>
      <w:r>
        <w:rPr>
          <w:rFonts w:ascii="仿宋_GB2312;方正仿宋_GBK" w:hAnsi="仿宋_GB2312;方正仿宋_GBK" w:cs="仿宋_GB2312;方正仿宋_GBK"/>
          <w:kern w:val="0"/>
          <w:sz w:val="32"/>
          <w:szCs w:val="32"/>
        </w:rPr>
        <w:t>调整，</w:t>
      </w:r>
      <w:r>
        <w:rPr>
          <w:rFonts w:ascii="仿宋_GB2312;方正仿宋_GBK" w:hAnsi="仿宋_GB2312;方正仿宋_GBK" w:cs="仿宋_GB2312;方正仿宋_GBK"/>
          <w:kern w:val="0"/>
          <w:sz w:val="32"/>
          <w:szCs w:val="32"/>
          <w:lang w:eastAsia="zh-CN"/>
        </w:rPr>
        <w:t>必要时进行</w:t>
      </w:r>
      <w:r>
        <w:rPr>
          <w:rFonts w:ascii="仿宋_GB2312;方正仿宋_GBK" w:hAnsi="仿宋_GB2312;方正仿宋_GBK" w:cs="仿宋_GB2312;方正仿宋_GBK"/>
          <w:kern w:val="0"/>
          <w:sz w:val="32"/>
          <w:szCs w:val="32"/>
        </w:rPr>
        <w:t>全面修订。</w:t>
      </w:r>
    </w:p>
    <w:p>
      <w:pPr>
        <w:pStyle w:val="1"/>
        <w:keepNext w:val="false"/>
        <w:keepLines w:val="false"/>
        <w:pageBreakBefore w:val="false"/>
        <w:widowControl w:val="false"/>
        <w:kinsoku w:val="true"/>
        <w:autoSpaceDE w:val="true"/>
        <w:bidi w:val="0"/>
        <w:snapToGrid w:val="false"/>
        <w:spacing w:lineRule="exact" w:line="560" w:before="0" w:after="0"/>
        <w:ind w:left="0" w:hanging="0"/>
        <w:textAlignment w:val="auto"/>
        <w:rPr>
          <w:rFonts w:ascii="仿宋_GB2312;方正仿宋_GBK" w:hAnsi="仿宋_GB2312;方正仿宋_GBK" w:eastAsia="仿宋_GB2312;方正仿宋_GBK" w:cs="仿宋_GB2312;方正仿宋_GBK"/>
          <w:sz w:val="32"/>
          <w:szCs w:val="32"/>
        </w:rPr>
      </w:pPr>
      <w:r>
        <w:rPr>
          <w:rFonts w:eastAsia="仿宋_GB2312;方正仿宋_GBK" w:cs="仿宋_GB2312;方正仿宋_GBK" w:ascii="仿宋_GB2312;方正仿宋_GBK" w:hAnsi="仿宋_GB2312;方正仿宋_GBK"/>
          <w:sz w:val="32"/>
          <w:szCs w:val="32"/>
        </w:rPr>
      </w:r>
    </w:p>
    <w:p>
      <w:pPr>
        <w:pStyle w:val="Normal"/>
        <w:rPr>
          <w:rFonts w:ascii="仿宋_GB2312;方正仿宋_GBK" w:hAnsi="仿宋_GB2312;方正仿宋_GBK" w:eastAsia="仿宋_GB2312;方正仿宋_GBK" w:cs="仿宋_GB2312;方正仿宋_GBK"/>
          <w:b/>
          <w:b/>
          <w:bCs/>
        </w:rPr>
      </w:pPr>
      <w:r>
        <w:rPr>
          <w:rFonts w:eastAsia="仿宋_GB2312;方正仿宋_GBK" w:cs="仿宋_GB2312;方正仿宋_GBK" w:ascii="仿宋_GB2312;方正仿宋_GBK" w:hAnsi="仿宋_GB2312;方正仿宋_GBK"/>
          <w:b/>
          <w:bCs/>
        </w:rPr>
      </w:r>
    </w:p>
    <w:sectPr>
      <w:headerReference w:type="default" r:id="rId2"/>
      <w:footerReference w:type="default" r:id="rId3"/>
      <w:type w:val="nextPage"/>
      <w:pgSz w:w="11906" w:h="16838"/>
      <w:pgMar w:left="1800" w:right="1800" w:gutter="0" w:header="851" w:top="1440" w:footer="992"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宋体">
    <w:altName w:val="方正书宋_GBK"/>
    <w:charset w:val="86"/>
    <w:family w:val="auto"/>
    <w:pitch w:val="default"/>
  </w:font>
  <w:font w:name="Liberation Sans">
    <w:altName w:val="Arial"/>
    <w:charset w:val="01"/>
    <w:family w:val="swiss"/>
    <w:pitch w:val="variable"/>
  </w:font>
  <w:font w:name="Verdana">
    <w:altName w:val="Ubuntu Light"/>
    <w:charset w:val="00"/>
    <w:family w:val="swiss"/>
    <w:pitch w:val="default"/>
  </w:font>
  <w:font w:name="Times New Roman">
    <w:charset w:val="00"/>
    <w:family w:val="roman"/>
    <w:pitch w:val="default"/>
  </w:font>
  <w:font w:name="方正小标宋简体">
    <w:charset w:val="86"/>
    <w:family w:val="auto"/>
    <w:pitch w:val="default"/>
  </w:font>
  <w:font w:name="仿宋_GB2312">
    <w:altName w:val="方正仿宋_GBK"/>
    <w:charset w:val="00"/>
    <w:family w:val="auto"/>
    <w:pitch w:val="default"/>
  </w:font>
  <w:font w:name="黑体">
    <w:altName w:val="方正黑体_GBK"/>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firstLine="360"/>
      <w:rPr>
        <w:rFonts w:ascii="仿宋_GB2312;方正仿宋_GBK" w:hAnsi="仿宋_GB2312;方正仿宋_GBK" w:eastAsia="仿宋_GB2312;方正仿宋_GBK" w:cs="仿宋_GB2312;方正仿宋_GBK"/>
        <w:sz w:val="28"/>
        <w:szCs w:val="28"/>
      </w:rPr>
    </w:pPr>
    <w:r>
      <w:rPr>
        <w:rFonts w:eastAsia="仿宋_GB2312;方正仿宋_GBK" w:cs="仿宋_GB2312;方正仿宋_GBK" w:ascii="仿宋_GB2312;方正仿宋_GBK" w:hAnsi="仿宋_GB2312;方正仿宋_GBK"/>
        <w:sz w:val="28"/>
        <w:szCs w:val="28"/>
      </w:rPr>
    </w:r>
    <w:r>
      <mc:AlternateContent>
        <mc:Choice Requires="wps">
          <w:drawing>
            <wp:anchor behindDoc="1" distT="0" distB="0" distL="114935" distR="114935" simplePos="0" locked="0" layoutInCell="0" allowOverlap="1" relativeHeight="4">
              <wp:simplePos x="0" y="0"/>
              <wp:positionH relativeFrom="margin">
                <wp:posOffset>4638675</wp:posOffset>
              </wp:positionH>
              <wp:positionV relativeFrom="paragraph">
                <wp:posOffset>66675</wp:posOffset>
              </wp:positionV>
              <wp:extent cx="5046980" cy="341630"/>
              <wp:effectExtent l="0" t="0" r="0" b="0"/>
              <wp:wrapNone/>
              <wp:docPr id="1" name="Frame1"/>
              <a:graphic xmlns:a="http://schemas.openxmlformats.org/drawingml/2006/main">
                <a:graphicData uri="http://schemas.microsoft.com/office/word/2010/wordprocessingShape">
                  <wps:wsp>
                    <wps:cNvSpPr txBox="1"/>
                    <wps:spPr>
                      <a:xfrm>
                        <a:off x="0" y="0"/>
                        <a:ext cx="5046980" cy="341630"/>
                      </a:xfrm>
                      <a:prstGeom prst="rect"/>
                      <a:solidFill>
                        <a:srgbClr val="FFFFFF">
                          <a:alpha val="0"/>
                        </a:srgbClr>
                      </a:solidFill>
                    </wps:spPr>
                    <wps:txbx>
                      <w:txbxContent>
                        <w:p>
                          <w:pPr>
                            <w:pStyle w:val="Footer"/>
                            <w:rPr>
                              <w:rStyle w:val="PageNumber"/>
                              <w:rFonts w:ascii="仿宋_GB2312;方正仿宋_GBK" w:hAnsi="仿宋_GB2312;方正仿宋_GBK" w:eastAsia="仿宋_GB2312;方正仿宋_GBK" w:cs="仿宋_GB2312;方正仿宋_GBK"/>
                              <w:sz w:val="28"/>
                            </w:rPr>
                          </w:pPr>
                          <w:r>
                            <w:rPr>
                              <w:rStyle w:val="PageNumber"/>
                              <w:rFonts w:eastAsia="仿宋_GB2312;方正仿宋_GBK" w:cs="仿宋_GB2312;方正仿宋_GBK" w:ascii="仿宋_GB2312;方正仿宋_GBK" w:hAnsi="仿宋_GB2312;方正仿宋_GBK"/>
                              <w:color w:val="FFFFFF"/>
                              <w:sz w:val="28"/>
                            </w:rPr>
                            <w:t>—</w:t>
                          </w:r>
                          <w:r>
                            <w:rPr>
                              <w:rStyle w:val="PageNumber"/>
                              <w:rFonts w:eastAsia="仿宋_GB2312;方正仿宋_GBK" w:cs="仿宋_GB2312;方正仿宋_GBK" w:ascii="仿宋_GB2312;方正仿宋_GBK" w:hAnsi="仿宋_GB2312;方正仿宋_GBK"/>
                              <w:b w:val="false"/>
                              <w:bCs/>
                              <w:sz w:val="28"/>
                            </w:rPr>
                            <w:t xml:space="preserve">— </w:t>
                          </w:r>
                          <w:r>
                            <w:rPr>
                              <w:rFonts w:eastAsia="仿宋_GB2312;方正仿宋_GBK" w:cs="仿宋_GB2312;方正仿宋_GBK" w:ascii="仿宋_GB2312;方正仿宋_GBK" w:hAnsi="仿宋_GB2312;方正仿宋_GBK"/>
                              <w:b w:val="false"/>
                              <w:bCs/>
                              <w:sz w:val="28"/>
                            </w:rPr>
                            <w:fldChar w:fldCharType="begin"/>
                          </w:r>
                          <w:r>
                            <w:rPr>
                              <w:sz w:val="28"/>
                              <w:b w:val="false"/>
                              <w:bCs/>
                              <w:rFonts w:eastAsia="仿宋_GB2312;方正仿宋_GBK" w:cs="仿宋_GB2312;方正仿宋_GBK" w:ascii="仿宋_GB2312;方正仿宋_GBK" w:hAnsi="仿宋_GB2312;方正仿宋_GBK"/>
                            </w:rPr>
                            <w:instrText xml:space="preserve"> PAGE </w:instrText>
                          </w:r>
                          <w:r>
                            <w:rPr>
                              <w:sz w:val="28"/>
                              <w:b w:val="false"/>
                              <w:bCs/>
                              <w:rFonts w:eastAsia="仿宋_GB2312;方正仿宋_GBK" w:cs="仿宋_GB2312;方正仿宋_GBK" w:ascii="仿宋_GB2312;方正仿宋_GBK" w:hAnsi="仿宋_GB2312;方正仿宋_GBK"/>
                            </w:rPr>
                            <w:fldChar w:fldCharType="separate"/>
                          </w:r>
                          <w:r>
                            <w:rPr>
                              <w:sz w:val="28"/>
                              <w:b w:val="false"/>
                              <w:bCs/>
                              <w:rFonts w:eastAsia="仿宋_GB2312;方正仿宋_GBK" w:cs="仿宋_GB2312;方正仿宋_GBK" w:ascii="仿宋_GB2312;方正仿宋_GBK" w:hAnsi="仿宋_GB2312;方正仿宋_GBK"/>
                            </w:rPr>
                            <w:t>3</w:t>
                          </w:r>
                          <w:r>
                            <w:rPr>
                              <w:sz w:val="28"/>
                              <w:b w:val="false"/>
                              <w:bCs/>
                              <w:rFonts w:eastAsia="仿宋_GB2312;方正仿宋_GBK" w:cs="仿宋_GB2312;方正仿宋_GBK" w:ascii="仿宋_GB2312;方正仿宋_GBK" w:hAnsi="仿宋_GB2312;方正仿宋_GBK"/>
                            </w:rPr>
                            <w:fldChar w:fldCharType="end"/>
                          </w:r>
                          <w:r>
                            <w:rPr>
                              <w:rStyle w:val="PageNumber"/>
                              <w:rFonts w:eastAsia="仿宋_GB2312;方正仿宋_GBK" w:cs="仿宋_GB2312;方正仿宋_GBK" w:ascii="仿宋_GB2312;方正仿宋_GBK" w:hAnsi="仿宋_GB2312;方正仿宋_GBK"/>
                              <w:b w:val="false"/>
                              <w:bCs/>
                              <w:sz w:val="28"/>
                            </w:rPr>
                            <w:t xml:space="preserve"> —</w:t>
                          </w:r>
                          <w:r>
                            <w:rPr>
                              <w:rStyle w:val="PageNumber"/>
                              <w:rFonts w:eastAsia="仿宋_GB2312;方正仿宋_GBK" w:cs="仿宋_GB2312;方正仿宋_GBK" w:ascii="仿宋_GB2312;方正仿宋_GBK" w:hAnsi="仿宋_GB2312;方正仿宋_GBK"/>
                              <w:color w:val="FFFFFF"/>
                              <w:sz w:val="28"/>
                            </w:rPr>
                            <w:t>—</w:t>
                          </w:r>
                        </w:p>
                        <w:p>
                          <w:pPr>
                            <w:pStyle w:val="Footer"/>
                            <w:rPr/>
                          </w:pPr>
                          <w:r>
                            <w:rPr>
                              <w:rFonts w:cs="仿宋_GB2312;方正仿宋_GBK" w:ascii="仿宋_GB2312;方正仿宋_GBK" w:hAnsi="仿宋_GB2312;方正仿宋_GBK"/>
                              <w:sz w:val="28"/>
                              <w:szCs w:val="28"/>
                              <w:lang w:val="en-US" w:eastAsia="zh-CN"/>
                            </w:rPr>
                            <w:t xml:space="preserve">  </w:t>
                          </w:r>
                        </w:p>
                      </w:txbxContent>
                    </wps:txbx>
                    <wps:bodyPr anchor="t" lIns="635" tIns="635" rIns="635" bIns="635">
                      <a:spAutoFit/>
                    </wps:bodyPr>
                  </wps:wsp>
                </a:graphicData>
              </a:graphic>
            </wp:anchor>
          </w:drawing>
        </mc:Choice>
        <mc:Fallback>
          <w:pict>
            <v:rect fillcolor="#FFFFFF" style="position:absolute;rotation:-0;width:397.4pt;height:26.9pt;mso-wrap-distance-left:9.05pt;mso-wrap-distance-right:9.05pt;mso-wrap-distance-top:0pt;mso-wrap-distance-bottom:0pt;margin-top:5.25pt;mso-position-vertical-relative:text;margin-left:365.25pt;mso-position-horizontal-relative:margin">
              <v:fill opacity="0f"/>
              <v:textbox inset="0.000694444444444444in,0.000694444444444444in,0.000694444444444444in,0.000694444444444444in">
                <w:txbxContent>
                  <w:p>
                    <w:pPr>
                      <w:pStyle w:val="Footer"/>
                      <w:rPr>
                        <w:rStyle w:val="PageNumber"/>
                        <w:rFonts w:ascii="仿宋_GB2312;方正仿宋_GBK" w:hAnsi="仿宋_GB2312;方正仿宋_GBK" w:eastAsia="仿宋_GB2312;方正仿宋_GBK" w:cs="仿宋_GB2312;方正仿宋_GBK"/>
                        <w:sz w:val="28"/>
                      </w:rPr>
                    </w:pPr>
                    <w:r>
                      <w:rPr>
                        <w:rStyle w:val="PageNumber"/>
                        <w:rFonts w:eastAsia="仿宋_GB2312;方正仿宋_GBK" w:cs="仿宋_GB2312;方正仿宋_GBK" w:ascii="仿宋_GB2312;方正仿宋_GBK" w:hAnsi="仿宋_GB2312;方正仿宋_GBK"/>
                        <w:color w:val="FFFFFF"/>
                        <w:sz w:val="28"/>
                      </w:rPr>
                      <w:t>—</w:t>
                    </w:r>
                    <w:r>
                      <w:rPr>
                        <w:rStyle w:val="PageNumber"/>
                        <w:rFonts w:eastAsia="仿宋_GB2312;方正仿宋_GBK" w:cs="仿宋_GB2312;方正仿宋_GBK" w:ascii="仿宋_GB2312;方正仿宋_GBK" w:hAnsi="仿宋_GB2312;方正仿宋_GBK"/>
                        <w:b w:val="false"/>
                        <w:bCs/>
                        <w:sz w:val="28"/>
                      </w:rPr>
                      <w:t xml:space="preserve">— </w:t>
                    </w:r>
                    <w:r>
                      <w:rPr>
                        <w:rFonts w:eastAsia="仿宋_GB2312;方正仿宋_GBK" w:cs="仿宋_GB2312;方正仿宋_GBK" w:ascii="仿宋_GB2312;方正仿宋_GBK" w:hAnsi="仿宋_GB2312;方正仿宋_GBK"/>
                        <w:b w:val="false"/>
                        <w:bCs/>
                        <w:sz w:val="28"/>
                      </w:rPr>
                      <w:fldChar w:fldCharType="begin"/>
                    </w:r>
                    <w:r>
                      <w:rPr>
                        <w:sz w:val="28"/>
                        <w:b w:val="false"/>
                        <w:bCs/>
                        <w:rFonts w:eastAsia="仿宋_GB2312;方正仿宋_GBK" w:cs="仿宋_GB2312;方正仿宋_GBK" w:ascii="仿宋_GB2312;方正仿宋_GBK" w:hAnsi="仿宋_GB2312;方正仿宋_GBK"/>
                      </w:rPr>
                      <w:instrText xml:space="preserve"> PAGE </w:instrText>
                    </w:r>
                    <w:r>
                      <w:rPr>
                        <w:sz w:val="28"/>
                        <w:b w:val="false"/>
                        <w:bCs/>
                        <w:rFonts w:eastAsia="仿宋_GB2312;方正仿宋_GBK" w:cs="仿宋_GB2312;方正仿宋_GBK" w:ascii="仿宋_GB2312;方正仿宋_GBK" w:hAnsi="仿宋_GB2312;方正仿宋_GBK"/>
                      </w:rPr>
                      <w:fldChar w:fldCharType="separate"/>
                    </w:r>
                    <w:r>
                      <w:rPr>
                        <w:sz w:val="28"/>
                        <w:b w:val="false"/>
                        <w:bCs/>
                        <w:rFonts w:eastAsia="仿宋_GB2312;方正仿宋_GBK" w:cs="仿宋_GB2312;方正仿宋_GBK" w:ascii="仿宋_GB2312;方正仿宋_GBK" w:hAnsi="仿宋_GB2312;方正仿宋_GBK"/>
                      </w:rPr>
                      <w:t>3</w:t>
                    </w:r>
                    <w:r>
                      <w:rPr>
                        <w:sz w:val="28"/>
                        <w:b w:val="false"/>
                        <w:bCs/>
                        <w:rFonts w:eastAsia="仿宋_GB2312;方正仿宋_GBK" w:cs="仿宋_GB2312;方正仿宋_GBK" w:ascii="仿宋_GB2312;方正仿宋_GBK" w:hAnsi="仿宋_GB2312;方正仿宋_GBK"/>
                      </w:rPr>
                      <w:fldChar w:fldCharType="end"/>
                    </w:r>
                    <w:r>
                      <w:rPr>
                        <w:rStyle w:val="PageNumber"/>
                        <w:rFonts w:eastAsia="仿宋_GB2312;方正仿宋_GBK" w:cs="仿宋_GB2312;方正仿宋_GBK" w:ascii="仿宋_GB2312;方正仿宋_GBK" w:hAnsi="仿宋_GB2312;方正仿宋_GBK"/>
                        <w:b w:val="false"/>
                        <w:bCs/>
                        <w:sz w:val="28"/>
                      </w:rPr>
                      <w:t xml:space="preserve"> —</w:t>
                    </w:r>
                    <w:r>
                      <w:rPr>
                        <w:rStyle w:val="PageNumber"/>
                        <w:rFonts w:eastAsia="仿宋_GB2312;方正仿宋_GBK" w:cs="仿宋_GB2312;方正仿宋_GBK" w:ascii="仿宋_GB2312;方正仿宋_GBK" w:hAnsi="仿宋_GB2312;方正仿宋_GBK"/>
                        <w:color w:val="FFFFFF"/>
                        <w:sz w:val="28"/>
                      </w:rPr>
                      <w:t>—</w:t>
                    </w:r>
                  </w:p>
                  <w:p>
                    <w:pPr>
                      <w:pStyle w:val="Footer"/>
                      <w:rPr/>
                    </w:pPr>
                    <w:r>
                      <w:rPr>
                        <w:rFonts w:cs="仿宋_GB2312;方正仿宋_GBK" w:ascii="仿宋_GB2312;方正仿宋_GBK" w:hAnsi="仿宋_GB2312;方正仿宋_GBK"/>
                        <w:sz w:val="28"/>
                        <w:szCs w:val="28"/>
                        <w:lang w:val="en-US" w:eastAsia="zh-CN"/>
                      </w:rPr>
                      <w:t xml:space="preserve">  </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chineseCountingThousand"/>
      <w:suff w:val="nothing"/>
      <w:lvlText w:val="%1、"/>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9"/>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next w:val="2"/>
    <w:qFormat/>
    <w:pPr>
      <w:widowControl w:val="false"/>
      <w:bidi w:val="0"/>
      <w:jc w:val="both"/>
    </w:pPr>
    <w:rPr>
      <w:rFonts w:ascii="宋体;方正书宋_GBK" w:hAnsi="宋体;方正书宋_GBK" w:eastAsia="仿宋_GB2312;方正仿宋_GBK" w:cs="Times New Roman"/>
      <w:color w:val="auto"/>
      <w:kern w:val="2"/>
      <w:sz w:val="32"/>
      <w:szCs w:val="32"/>
      <w:lang w:val="en-US" w:eastAsia="zh-CN" w:bidi="ar-SA"/>
    </w:rPr>
  </w:style>
  <w:style w:type="character" w:styleId="WW8Num1z0">
    <w:name w:val="WW8Num1z0"/>
    <w:qFormat/>
    <w:rPr/>
  </w:style>
  <w:style w:type="character" w:styleId="Style14">
    <w:name w:val="默认段落字体"/>
    <w:qFormat/>
    <w:rPr/>
  </w:style>
  <w:style w:type="character" w:styleId="PageNumber">
    <w:name w:val="Page Number"/>
    <w:basedOn w:val="Style14"/>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before="0" w:after="12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extBodyIndent">
    <w:name w:val="Body Text Indent"/>
    <w:basedOn w:val="Normal"/>
    <w:pPr>
      <w:spacing w:before="0" w:after="120"/>
      <w:ind w:left="420" w:hanging="0"/>
    </w:pPr>
    <w:rPr/>
  </w:style>
  <w:style w:type="paragraph" w:styleId="2">
    <w:name w:val="正文首行缩进 2"/>
    <w:basedOn w:val="TextBodyIndent"/>
    <w:qFormat/>
    <w:pPr>
      <w:ind w:left="420" w:firstLine="420"/>
    </w:pPr>
    <w:rPr>
      <w:rFonts w:eastAsia="宋体;方正书宋_GBK"/>
      <w:w w:val="88"/>
      <w:kern w:val="2"/>
      <w:sz w:val="21"/>
      <w:szCs w:val="21"/>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1">
    <w:name w:val="正文首行缩进1"/>
    <w:basedOn w:val="TextBody"/>
    <w:qFormat/>
    <w:pPr>
      <w:ind w:firstLine="420"/>
    </w:pPr>
    <w:rPr/>
  </w:style>
  <w:style w:type="paragraph" w:styleId="CharCharCharChar">
    <w:name w:val=" Char Char Char Char"/>
    <w:basedOn w:val="Normal"/>
    <w:qFormat/>
    <w:pPr>
      <w:widowControl/>
      <w:spacing w:lineRule="exact" w:line="240" w:before="0" w:after="160"/>
      <w:jc w:val="left"/>
    </w:pPr>
    <w:rPr>
      <w:rFonts w:ascii="Verdana;Ubuntu Light" w:hAnsi="Verdana;Ubuntu Light" w:eastAsia="宋体;方正书宋_GBK" w:cs="Verdana;Ubuntu Light"/>
      <w:kern w:val="0"/>
      <w:sz w:val="20"/>
      <w:szCs w:val="20"/>
      <w:lang w:eastAsia="en-US"/>
    </w:rPr>
  </w:style>
  <w:style w:type="paragraph" w:styleId="FrameContents">
    <w:name w:val="Frame Contents"/>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16320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2026-10-22T07:44:00Z</dcterms:created>
  <dc:creator>huanghe</dc:creator>
  <dc:description/>
  <dc:language>en-US</dc:language>
  <cp:lastModifiedBy>huanghe</cp:lastModifiedBy>
  <dcterms:modified xsi:type="dcterms:W3CDTF">2026-10-22T09:43:36Z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